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259"/>
        <w:jc w:val="center"/>
        <w:rPr>
          <w:b/>
          <w:bCs/>
        </w:rPr>
      </w:pPr>
      <w:r>
        <w:rPr>
          <w:noProof/>
        </w:rPr>
        <w:drawing>
          <wp:inline distL="0" distT="0" distB="0" distR="0">
            <wp:extent cx="3848100" cy="2137833"/>
            <wp:effectExtent l="0" t="0" r="0" b="0"/>
            <wp:docPr id="1026" name="Picture 1" descr="university-of-wales-trinity-saint-david-logo-vector | ESRC Wales Doctoral  Training Partnership"/>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3848100" cy="2137833"/>
                    </a:xfrm>
                    <a:prstGeom prst="rect"/>
                    <a:ln>
                      <a:noFill/>
                    </a:ln>
                  </pic:spPr>
                </pic:pic>
              </a:graphicData>
            </a:graphic>
          </wp:inline>
        </w:drawing>
      </w:r>
    </w:p>
    <w:p>
      <w:pPr>
        <w:pStyle w:val="style0"/>
        <w:spacing w:lineRule="auto" w:line="259"/>
        <w:jc w:val="center"/>
        <w:rPr>
          <w:sz w:val="32"/>
          <w:szCs w:val="28"/>
        </w:rPr>
      </w:pPr>
      <w:r>
        <w:rPr>
          <w:b/>
          <w:bCs/>
          <w:sz w:val="32"/>
          <w:szCs w:val="28"/>
        </w:rPr>
        <w:t>Module Title:</w:t>
      </w:r>
      <w:r>
        <w:rPr>
          <w:sz w:val="32"/>
          <w:szCs w:val="28"/>
        </w:rPr>
        <w:t> Marketing Management</w:t>
      </w:r>
      <w:r>
        <w:rPr>
          <w:sz w:val="32"/>
          <w:szCs w:val="28"/>
        </w:rPr>
        <w:br/>
      </w:r>
      <w:r>
        <w:rPr>
          <w:b/>
          <w:bCs/>
          <w:sz w:val="32"/>
          <w:szCs w:val="28"/>
        </w:rPr>
        <w:t>Module Code:</w:t>
      </w:r>
      <w:r>
        <w:rPr>
          <w:sz w:val="32"/>
          <w:szCs w:val="28"/>
        </w:rPr>
        <w:t> LCMB7024</w:t>
      </w:r>
    </w:p>
    <w:p>
      <w:pPr>
        <w:pStyle w:val="style0"/>
        <w:spacing w:lineRule="auto" w:line="259"/>
        <w:jc w:val="center"/>
        <w:rPr>
          <w:sz w:val="32"/>
          <w:szCs w:val="28"/>
        </w:rPr>
      </w:pPr>
    </w:p>
    <w:p>
      <w:pPr>
        <w:pStyle w:val="style0"/>
        <w:spacing w:lineRule="auto" w:line="259"/>
        <w:jc w:val="center"/>
        <w:rPr>
          <w:sz w:val="32"/>
          <w:szCs w:val="28"/>
        </w:rPr>
      </w:pPr>
    </w:p>
    <w:p>
      <w:pPr>
        <w:pStyle w:val="style0"/>
        <w:spacing w:lineRule="auto" w:line="259"/>
        <w:jc w:val="center"/>
        <w:rPr>
          <w:sz w:val="32"/>
          <w:szCs w:val="28"/>
        </w:rPr>
      </w:pPr>
      <w:r>
        <w:rPr>
          <w:b/>
          <w:bCs/>
          <w:sz w:val="32"/>
          <w:szCs w:val="28"/>
        </w:rPr>
        <w:t>Assessment Title:</w:t>
      </w:r>
      <w:r>
        <w:rPr>
          <w:sz w:val="32"/>
          <w:szCs w:val="28"/>
        </w:rPr>
        <w:t> Assessment Component 2: Marketing Portfolio</w:t>
      </w:r>
      <w:r>
        <w:rPr>
          <w:sz w:val="32"/>
          <w:szCs w:val="28"/>
        </w:rPr>
        <w:br/>
      </w:r>
      <w:r>
        <w:rPr>
          <w:b/>
          <w:bCs/>
          <w:sz w:val="32"/>
          <w:szCs w:val="28"/>
        </w:rPr>
        <w:t>Assignment:</w:t>
      </w:r>
      <w:r>
        <w:rPr>
          <w:sz w:val="32"/>
          <w:szCs w:val="28"/>
        </w:rPr>
        <w:t> Marketing Strategy for a New Brand – Apple Aureate</w:t>
      </w:r>
    </w:p>
    <w:p>
      <w:pPr>
        <w:pStyle w:val="style0"/>
        <w:spacing w:lineRule="auto" w:line="259"/>
        <w:jc w:val="center"/>
        <w:rPr>
          <w:sz w:val="32"/>
          <w:szCs w:val="28"/>
        </w:rPr>
      </w:pPr>
    </w:p>
    <w:p>
      <w:pPr>
        <w:pStyle w:val="style0"/>
        <w:spacing w:lineRule="auto" w:line="259"/>
        <w:jc w:val="center"/>
        <w:rPr>
          <w:sz w:val="32"/>
          <w:szCs w:val="28"/>
        </w:rPr>
      </w:pPr>
    </w:p>
    <w:p>
      <w:pPr>
        <w:pStyle w:val="style0"/>
        <w:spacing w:lineRule="auto" w:line="259"/>
        <w:jc w:val="center"/>
        <w:rPr>
          <w:sz w:val="32"/>
          <w:szCs w:val="28"/>
        </w:rPr>
      </w:pPr>
      <w:r>
        <w:rPr>
          <w:b/>
          <w:bCs/>
          <w:sz w:val="32"/>
          <w:szCs w:val="28"/>
        </w:rPr>
        <w:t>Submitted by:</w:t>
      </w:r>
      <w:r>
        <w:rPr>
          <w:sz w:val="32"/>
          <w:szCs w:val="28"/>
        </w:rPr>
        <w:br/>
      </w:r>
      <w:r>
        <w:rPr>
          <w:sz w:val="32"/>
          <w:szCs w:val="28"/>
        </w:rPr>
        <w:t xml:space="preserve">Syed </w:t>
      </w:r>
      <w:r>
        <w:rPr>
          <w:sz w:val="32"/>
          <w:szCs w:val="28"/>
        </w:rPr>
        <w:t>Tahbib</w:t>
      </w:r>
      <w:r>
        <w:rPr>
          <w:sz w:val="32"/>
          <w:szCs w:val="28"/>
        </w:rPr>
        <w:t xml:space="preserve"> Baksh</w:t>
      </w:r>
      <w:r>
        <w:rPr>
          <w:sz w:val="32"/>
          <w:szCs w:val="28"/>
        </w:rPr>
        <w:br/>
      </w:r>
      <w:r>
        <w:rPr>
          <w:sz w:val="32"/>
          <w:szCs w:val="28"/>
        </w:rPr>
        <w:t>Student ID: 243186</w:t>
      </w:r>
      <w:r>
        <w:rPr>
          <w:sz w:val="32"/>
          <w:szCs w:val="28"/>
          <w:lang w:val="en-US"/>
        </w:rPr>
        <w:t>9</w:t>
      </w:r>
    </w:p>
    <w:p>
      <w:pPr>
        <w:pStyle w:val="style0"/>
        <w:spacing w:lineRule="auto" w:line="259"/>
        <w:jc w:val="center"/>
        <w:rPr>
          <w:b/>
          <w:bCs/>
          <w:sz w:val="32"/>
          <w:szCs w:val="28"/>
        </w:rPr>
      </w:pPr>
      <w:r>
        <w:rPr>
          <w:b/>
          <w:bCs/>
          <w:sz w:val="32"/>
          <w:szCs w:val="28"/>
          <w:lang w:val="en-US"/>
        </w:rPr>
        <w:t>Lecturer Name: Dr Jayalakshmi Gopalkrishnan</w:t>
      </w:r>
    </w:p>
    <w:p>
      <w:pPr>
        <w:pStyle w:val="style0"/>
        <w:spacing w:lineRule="auto" w:line="259"/>
        <w:jc w:val="left"/>
        <w:rPr>
          <w:rFonts w:cs="Times New Roman" w:eastAsia="宋体"/>
          <w:b/>
          <w:bCs/>
          <w:color w:val="000000"/>
          <w:sz w:val="32"/>
          <w:szCs w:val="32"/>
        </w:rPr>
      </w:pPr>
      <w:r>
        <w:br w:type="page"/>
      </w:r>
    </w:p>
    <w:p>
      <w:pPr>
        <w:pStyle w:val="style266"/>
        <w:rPr/>
      </w:pPr>
      <w:r>
        <w:t>Table of Contents</w:t>
      </w:r>
    </w:p>
    <w:p>
      <w:pPr>
        <w:pStyle w:val="style19"/>
        <w:tabs>
          <w:tab w:val="right" w:leader="dot" w:pos="9350"/>
        </w:tabs>
        <w:rPr>
          <w:noProof/>
        </w:rPr>
      </w:pPr>
      <w:r>
        <w:rPr/>
        <w:fldChar w:fldCharType="begin"/>
      </w:r>
      <w:r>
        <w:instrText xml:space="preserve"> TOC \o "1-3" \h \z \u </w:instrText>
      </w:r>
      <w:r>
        <w:rPr/>
        <w:fldChar w:fldCharType="separate"/>
      </w:r>
      <w:r>
        <w:rPr/>
        <w:fldChar w:fldCharType="begin"/>
      </w:r>
      <w:r>
        <w:instrText xml:space="preserve"> HYPERLINK \l "_Toc216396348" </w:instrText>
      </w:r>
      <w:r>
        <w:rPr/>
        <w:fldChar w:fldCharType="separate"/>
      </w:r>
      <w:r>
        <w:rPr>
          <w:rStyle w:val="style85"/>
          <w:noProof/>
        </w:rPr>
        <w:t>STDP Analysis for Apple Aureate</w:t>
      </w:r>
      <w:r>
        <w:rPr>
          <w:noProof/>
          <w:webHidden/>
        </w:rPr>
        <w:tab/>
      </w:r>
      <w:r>
        <w:rPr>
          <w:noProof/>
          <w:webHidden/>
        </w:rPr>
        <w:fldChar w:fldCharType="begin"/>
      </w:r>
      <w:r>
        <w:rPr>
          <w:noProof/>
          <w:webHidden/>
        </w:rPr>
        <w:instrText xml:space="preserve"> PAGEREF _Toc216396348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"_Toc216396349" </w:instrText>
      </w:r>
      <w:r>
        <w:rPr/>
        <w:fldChar w:fldCharType="separate"/>
      </w:r>
      <w:r>
        <w:rPr>
          <w:rStyle w:val="style85"/>
          <w:noProof/>
        </w:rPr>
        <w:t>Introduction and Company Overview</w:t>
      </w:r>
      <w:r>
        <w:rPr>
          <w:noProof/>
          <w:webHidden/>
        </w:rPr>
        <w:tab/>
      </w:r>
      <w:r>
        <w:rPr>
          <w:noProof/>
          <w:webHidden/>
        </w:rPr>
        <w:fldChar w:fldCharType="begin"/>
      </w:r>
      <w:r>
        <w:rPr>
          <w:noProof/>
          <w:webHidden/>
        </w:rPr>
        <w:instrText xml:space="preserve"> PAGEREF _Toc216396349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"_Toc216396350" </w:instrText>
      </w:r>
      <w:r>
        <w:rPr/>
        <w:fldChar w:fldCharType="separate"/>
      </w:r>
      <w:r>
        <w:rPr>
          <w:rStyle w:val="style85"/>
          <w:noProof/>
        </w:rPr>
        <w:t>New Brand Concept: Apple Aureate</w:t>
      </w:r>
      <w:r>
        <w:rPr>
          <w:noProof/>
          <w:webHidden/>
        </w:rPr>
        <w:tab/>
      </w:r>
      <w:r>
        <w:rPr>
          <w:noProof/>
          <w:webHidden/>
        </w:rPr>
        <w:fldChar w:fldCharType="begin"/>
      </w:r>
      <w:r>
        <w:rPr>
          <w:noProof/>
          <w:webHidden/>
        </w:rPr>
        <w:instrText xml:space="preserve"> PAGEREF _Toc216396350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"_Toc216396351" </w:instrText>
      </w:r>
      <w:r>
        <w:rPr/>
        <w:fldChar w:fldCharType="separate"/>
      </w:r>
      <w:r>
        <w:rPr>
          <w:rStyle w:val="style85"/>
          <w:noProof/>
        </w:rPr>
        <w:t>Segmentation</w:t>
      </w:r>
      <w:r>
        <w:rPr>
          <w:noProof/>
          <w:webHidden/>
        </w:rPr>
        <w:tab/>
      </w:r>
      <w:r>
        <w:rPr>
          <w:noProof/>
          <w:webHidden/>
        </w:rPr>
        <w:fldChar w:fldCharType="begin"/>
      </w:r>
      <w:r>
        <w:rPr>
          <w:noProof/>
          <w:webHidden/>
        </w:rPr>
        <w:instrText xml:space="preserve"> PAGEREF _Toc216396351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"_Toc216396352" </w:instrText>
      </w:r>
      <w:r>
        <w:rPr/>
        <w:fldChar w:fldCharType="separate"/>
      </w:r>
      <w:r>
        <w:rPr>
          <w:rStyle w:val="style85"/>
          <w:noProof/>
        </w:rPr>
        <w:t>Targeting</w:t>
      </w:r>
      <w:r>
        <w:rPr>
          <w:noProof/>
          <w:webHidden/>
        </w:rPr>
        <w:tab/>
      </w:r>
      <w:r>
        <w:rPr>
          <w:noProof/>
          <w:webHidden/>
        </w:rPr>
        <w:fldChar w:fldCharType="begin"/>
      </w:r>
      <w:r>
        <w:rPr>
          <w:noProof/>
          <w:webHidden/>
        </w:rPr>
        <w:instrText xml:space="preserve"> PAGEREF _Toc216396352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"_Toc216396353" </w:instrText>
      </w:r>
      <w:r>
        <w:rPr/>
        <w:fldChar w:fldCharType="separate"/>
      </w:r>
      <w:r>
        <w:rPr>
          <w:rStyle w:val="style85"/>
          <w:noProof/>
        </w:rPr>
        <w:t>Differentiation.</w:t>
      </w:r>
      <w:r>
        <w:rPr>
          <w:noProof/>
          <w:webHidden/>
        </w:rPr>
        <w:tab/>
      </w:r>
      <w:r>
        <w:rPr>
          <w:noProof/>
          <w:webHidden/>
        </w:rPr>
        <w:fldChar w:fldCharType="begin"/>
      </w:r>
      <w:r>
        <w:rPr>
          <w:noProof/>
          <w:webHidden/>
        </w:rPr>
        <w:instrText xml:space="preserve"> PAGEREF _Toc216396353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"_Toc216396354" </w:instrText>
      </w:r>
      <w:r>
        <w:rPr/>
        <w:fldChar w:fldCharType="separate"/>
      </w:r>
      <w:r>
        <w:rPr>
          <w:rStyle w:val="style85"/>
          <w:noProof/>
        </w:rPr>
        <w:t>Positioning</w:t>
      </w:r>
      <w:r>
        <w:rPr>
          <w:noProof/>
          <w:webHidden/>
        </w:rPr>
        <w:tab/>
      </w:r>
      <w:r>
        <w:rPr>
          <w:noProof/>
          <w:webHidden/>
        </w:rPr>
        <w:fldChar w:fldCharType="begin"/>
      </w:r>
      <w:r>
        <w:rPr>
          <w:noProof/>
          <w:webHidden/>
        </w:rPr>
        <w:instrText xml:space="preserve"> PAGEREF _Toc216396354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"_Toc216396355" </w:instrText>
      </w:r>
      <w:r>
        <w:rPr/>
        <w:fldChar w:fldCharType="separate"/>
      </w:r>
      <w:r>
        <w:rPr>
          <w:rStyle w:val="style85"/>
          <w:noProof/>
        </w:rPr>
        <w:t>Marketing Mix (7Ps) Strategy</w:t>
      </w:r>
      <w:r>
        <w:rPr>
          <w:noProof/>
          <w:webHidden/>
        </w:rPr>
        <w:tab/>
      </w:r>
      <w:r>
        <w:rPr>
          <w:noProof/>
          <w:webHidden/>
        </w:rPr>
        <w:fldChar w:fldCharType="begin"/>
      </w:r>
      <w:r>
        <w:rPr>
          <w:noProof/>
          <w:webHidden/>
        </w:rPr>
        <w:instrText xml:space="preserve"> PAGEREF _Toc216396355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"_Toc216396356" </w:instrText>
      </w:r>
      <w:r>
        <w:rPr/>
        <w:fldChar w:fldCharType="separate"/>
      </w:r>
      <w:r>
        <w:rPr>
          <w:rStyle w:val="style85"/>
          <w:noProof/>
        </w:rPr>
        <w:t>Marketing Strategy Pitch Summary</w:t>
      </w:r>
      <w:r>
        <w:rPr>
          <w:noProof/>
          <w:webHidden/>
        </w:rPr>
        <w:tab/>
      </w:r>
      <w:r>
        <w:rPr>
          <w:noProof/>
          <w:webHidden/>
        </w:rPr>
        <w:fldChar w:fldCharType="begin"/>
      </w:r>
      <w:r>
        <w:rPr>
          <w:noProof/>
          <w:webHidden/>
        </w:rPr>
        <w:instrText xml:space="preserve"> PAGEREF _Toc216396356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"_Toc216396357" </w:instrText>
      </w:r>
      <w:r>
        <w:rPr/>
        <w:fldChar w:fldCharType="separate"/>
      </w:r>
      <w:r>
        <w:rPr>
          <w:rStyle w:val="style85"/>
          <w:noProof/>
        </w:rPr>
        <w:t>Personal Reflection</w:t>
      </w:r>
      <w:r>
        <w:rPr>
          <w:noProof/>
          <w:webHidden/>
        </w:rPr>
        <w:tab/>
      </w:r>
      <w:r>
        <w:rPr>
          <w:noProof/>
          <w:webHidden/>
        </w:rPr>
        <w:fldChar w:fldCharType="begin"/>
      </w:r>
      <w:r>
        <w:rPr>
          <w:noProof/>
          <w:webHidden/>
        </w:rPr>
        <w:instrText xml:space="preserve"> PAGEREF _Toc216396357 \h </w:instrText>
      </w:r>
      <w:r>
        <w:rPr>
          <w:noProof/>
          <w:webHidden/>
        </w:rPr>
        <w:fldChar w:fldCharType="separate"/>
      </w:r>
      <w:r>
        <w:rPr>
          <w:noProof/>
          <w:webHidden/>
        </w:rPr>
        <w:t>10</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"_Toc216396358" </w:instrText>
      </w:r>
      <w:r>
        <w:rPr/>
        <w:fldChar w:fldCharType="separate"/>
      </w:r>
      <w:r>
        <w:rPr>
          <w:rStyle w:val="style85"/>
          <w:noProof/>
        </w:rPr>
        <w:t>Reference List</w:t>
      </w:r>
      <w:r>
        <w:rPr>
          <w:noProof/>
          <w:webHidden/>
        </w:rPr>
        <w:tab/>
      </w:r>
      <w:r>
        <w:rPr>
          <w:noProof/>
          <w:webHidden/>
        </w:rPr>
        <w:fldChar w:fldCharType="begin"/>
      </w:r>
      <w:r>
        <w:rPr>
          <w:noProof/>
          <w:webHidden/>
        </w:rPr>
        <w:instrText xml:space="preserve"> PAGEREF _Toc216396358 \h </w:instrText>
      </w:r>
      <w:r>
        <w:rPr>
          <w:noProof/>
          <w:webHidden/>
        </w:rPr>
        <w:fldChar w:fldCharType="separate"/>
      </w:r>
      <w:r>
        <w:rPr>
          <w:noProof/>
          <w:webHidden/>
        </w:rPr>
        <w:t>12</w:t>
      </w:r>
      <w:r>
        <w:rPr>
          <w:noProof/>
          <w:webHidden/>
        </w:rPr>
        <w:fldChar w:fldCharType="end"/>
      </w:r>
      <w:r>
        <w:rPr/>
        <w:fldChar w:fldCharType="end"/>
      </w:r>
    </w:p>
    <w:p>
      <w:pPr>
        <w:pStyle w:val="style0"/>
        <w:rPr/>
      </w:pPr>
      <w:r>
        <w:rPr>
          <w:b/>
          <w:bCs/>
          <w:noProof/>
        </w:rPr>
        <w:fldChar w:fldCharType="end"/>
      </w:r>
    </w:p>
    <w:p>
      <w:pPr>
        <w:pStyle w:val="style0"/>
        <w:spacing w:lineRule="auto" w:line="259"/>
        <w:jc w:val="left"/>
        <w:rPr>
          <w:rFonts w:cs="Times New Roman" w:eastAsia="宋体"/>
          <w:b/>
          <w:bCs/>
          <w:color w:val="000000"/>
          <w:sz w:val="32"/>
          <w:szCs w:val="32"/>
        </w:rPr>
      </w:pPr>
      <w:r>
        <w:br w:type="page"/>
      </w:r>
    </w:p>
    <w:bookmarkStart w:id="0" w:name="_Toc216396348"/>
    <w:p>
      <w:pPr>
        <w:pStyle w:val="style1"/>
        <w:rPr/>
      </w:pPr>
      <w:r>
        <w:t>ST</w:t>
      </w:r>
      <w:r>
        <w:t>D</w:t>
      </w:r>
      <w:r>
        <w:t>P Analysis for Apple Aureate</w:t>
      </w:r>
      <w:bookmarkEnd w:id="0"/>
      <w:r>
        <w:t> </w:t>
      </w:r>
    </w:p>
    <w:bookmarkStart w:id="1" w:name="_Toc216396349"/>
    <w:p>
      <w:pPr>
        <w:pStyle w:val="style2"/>
        <w:rPr/>
      </w:pPr>
      <w:r>
        <w:t>Introduction</w:t>
      </w:r>
      <w:r>
        <w:t xml:space="preserve"> and Company Overview</w:t>
      </w:r>
      <w:bookmarkEnd w:id="1"/>
    </w:p>
    <w:p>
      <w:pPr>
        <w:pStyle w:val="style0"/>
        <w:rPr/>
      </w:pPr>
      <w:r>
        <w:t xml:space="preserve">Apple Inc. is a company that was founded in 1976, and it is a paradigm of innovation and strong brand equity in the world of </w:t>
      </w:r>
      <w:r>
        <w:t>technology</w:t>
      </w:r>
      <w:r>
        <w:t xml:space="preserve"> </w:t>
      </w:r>
      <w:r>
        <w:t>(Reuters, 2025)</w:t>
      </w:r>
      <w:r>
        <w:t xml:space="preserve">. Apple has been redefining personal computing, communication and entertainment, and is known to have its master brand that is founded on simplicity, design excellence and seamless integration to </w:t>
      </w:r>
      <w:r>
        <w:t xml:space="preserve">its </w:t>
      </w:r>
      <w:r>
        <w:t>ecosystem</w:t>
      </w:r>
      <w:r>
        <w:t xml:space="preserve"> </w:t>
      </w:r>
      <w:r>
        <w:t>(Apple, 2025)</w:t>
      </w:r>
      <w:r>
        <w:t>. It maintains a resolute belief in proprietary hardware-software synergy</w:t>
      </w:r>
      <w:r>
        <w:t>,</w:t>
      </w:r>
      <w:r>
        <w:t xml:space="preserve"> as evidenced by the products such as the iPhone and the Mac</w:t>
      </w:r>
      <w:r>
        <w:t>,</w:t>
      </w:r>
      <w:r>
        <w:t xml:space="preserve"> and this has fostered a level of customer loyalty that is unmatched and </w:t>
      </w:r>
      <w:r>
        <w:t>has placed</w:t>
      </w:r>
      <w:r>
        <w:t xml:space="preserve"> the company at the top of the market. This reputation of curated and high-value experience is the best to base on to introduce </w:t>
      </w:r>
      <w:r>
        <w:t>groundbreaking</w:t>
      </w:r>
      <w:r>
        <w:t xml:space="preserve"> new sub-brands in new technology segments.</w:t>
      </w:r>
    </w:p>
    <w:bookmarkStart w:id="2" w:name="_Toc216396350"/>
    <w:p>
      <w:pPr>
        <w:pStyle w:val="style2"/>
        <w:rPr/>
      </w:pPr>
      <w:r>
        <w:t>New Brand Concept: Apple Aureate</w:t>
      </w:r>
      <w:bookmarkEnd w:id="2"/>
      <w:r>
        <w:t> </w:t>
      </w:r>
    </w:p>
    <w:p>
      <w:pPr>
        <w:pStyle w:val="style0"/>
        <w:rPr/>
      </w:pPr>
      <w:r>
        <w:t xml:space="preserve">Apple Aureate is a calculated and justified venture in the Apple portfolio, not just an additional line of products, but a sovereign sub-brand that will stake a claim on the new frontier of the foldable form factor. This requires a new </w:t>
      </w:r>
      <w:r>
        <w:t>brand's</w:t>
      </w:r>
      <w:r>
        <w:t xml:space="preserve"> strategy, according to the Kotler matrix. By introducing a separate brand, "Aureate" has the capability of enabling Apple to rise above the incremental demands of the iPhone, creating space to innovate radically and charge higher prices, and carefully shield the mother brand </w:t>
      </w:r>
      <w:r>
        <w:t>from</w:t>
      </w:r>
      <w:r>
        <w:t xml:space="preserve"> the conjectural instability of an infantile sector. The rationale behind the business of the </w:t>
      </w:r>
      <w:r>
        <w:t>aurate</w:t>
      </w:r>
      <w:r>
        <w:t xml:space="preserve"> is to reinvent the foldable market definitions, not to pursue them but to approach them in a distinctively Apple manner: integrating the physical urge to have a big and versatile screen with the immaterial but equally essential need to have </w:t>
      </w:r>
      <w:r>
        <w:t xml:space="preserve">a </w:t>
      </w:r>
      <w:r>
        <w:t>flawless user experience across the ecosystem</w:t>
      </w:r>
      <w:r>
        <w:t xml:space="preserve"> </w:t>
      </w:r>
      <w:r>
        <w:t>(Apple, 2025)</w:t>
      </w:r>
      <w:r>
        <w:t>. It targets the high-end consumer, whose workflow has already been thoroughly entrenched in the Apple architecture but is currently divided among a MacBook, an iPad, and an iPhone</w:t>
      </w:r>
      <w:r>
        <w:t xml:space="preserve"> </w:t>
      </w:r>
      <w:r>
        <w:t>(Duffy, 2025)</w:t>
      </w:r>
      <w:r>
        <w:t>. Aureate will offer a synthesis</w:t>
      </w:r>
      <w:r>
        <w:t xml:space="preserve"> </w:t>
      </w:r>
      <w:r>
        <w:t>one, pivotable product, which takes the next logical step in integrated personal computing, with Apple leveraging its core capabilities in custom silicon, software integrity, and luxury materials to produce a category that is itself.</w:t>
      </w:r>
    </w:p>
    <w:p>
      <w:pPr>
        <w:pStyle w:val="style0"/>
        <w:rPr/>
      </w:pPr>
    </w:p>
    <w:bookmarkStart w:id="3" w:name="_Toc216396351"/>
    <w:p>
      <w:pPr>
        <w:pStyle w:val="style2"/>
        <w:rPr/>
      </w:pPr>
      <w:r>
        <w:t>Segmentation</w:t>
      </w:r>
      <w:bookmarkEnd w:id="3"/>
    </w:p>
    <w:p>
      <w:pPr>
        <w:pStyle w:val="style0"/>
        <w:rPr/>
      </w:pPr>
      <w:r>
        <w:rPr>
          <w:b/>
          <w:bCs/>
        </w:rPr>
        <w:t>Generic Technologists</w:t>
      </w:r>
      <w:r>
        <w:t xml:space="preserve">: </w:t>
      </w:r>
      <w:r>
        <w:t xml:space="preserve">The target market of a high-end foldable device is not limited to generic technologists. The major segments are determined by a combination of high disposable income, certain psychographic motivations, and behavioural trends. The former is Tech-Hungry Early Adopters. They are upscale and urban, </w:t>
      </w:r>
      <w:r>
        <w:t>Psychographically</w:t>
      </w:r>
      <w:r>
        <w:t xml:space="preserve"> driven by their desire to be first, and innovation is a status symbol to them</w:t>
      </w:r>
      <w:r>
        <w:t xml:space="preserve"> </w:t>
      </w:r>
      <w:r>
        <w:t xml:space="preserve">(Calder, Malthouse and </w:t>
      </w:r>
      <w:r>
        <w:t>Maslowska</w:t>
      </w:r>
      <w:r>
        <w:t>, 2016)</w:t>
      </w:r>
      <w:r>
        <w:t>. They act as an opinion leader who is characterised by being ardently interested in news of technology and waiting in line at a launch.</w:t>
      </w:r>
    </w:p>
    <w:p>
      <w:pPr>
        <w:pStyle w:val="style0"/>
        <w:rPr/>
      </w:pPr>
      <w:r>
        <w:rPr>
          <w:b/>
          <w:bCs/>
        </w:rPr>
        <w:t>Mobile Professionals:</w:t>
      </w:r>
      <w:r>
        <w:t xml:space="preserve"> </w:t>
      </w:r>
      <w:r>
        <w:t>The second strategic segment is Mobile Professionals. This segment has consultants, top executives, and digital nomads who do not compromise mobility</w:t>
      </w:r>
      <w:r>
        <w:t xml:space="preserve"> </w:t>
      </w:r>
      <w:r>
        <w:t>(Kaye, 2025)</w:t>
      </w:r>
      <w:r>
        <w:t xml:space="preserve">. </w:t>
      </w:r>
      <w:r>
        <w:t>Psychographically</w:t>
      </w:r>
      <w:r>
        <w:t>, they put more emphasis on tools that increase productivity and create an impression of success and state-of-the-art ability. Their work indicates that they have a high brand loyalty towards the ecosystems that simplify their workflow and are less price-sensitive to the correct tool.</w:t>
      </w:r>
    </w:p>
    <w:p>
      <w:pPr>
        <w:pStyle w:val="style0"/>
        <w:rPr/>
      </w:pPr>
      <w:r>
        <w:rPr>
          <w:b/>
          <w:bCs/>
        </w:rPr>
        <w:t>Premium Multimedia Consumers</w:t>
      </w:r>
      <w:r>
        <w:t xml:space="preserve">: </w:t>
      </w:r>
      <w:r>
        <w:t>The third target group is Premium Multimedia Consumers. These are people surpassing large amounts of viewing, gaming, and digital content, and they want the finest portable experience</w:t>
      </w:r>
      <w:r>
        <w:t xml:space="preserve"> </w:t>
      </w:r>
      <w:r>
        <w:t>(</w:t>
      </w:r>
      <w:r>
        <w:t>Khamwon</w:t>
      </w:r>
      <w:r>
        <w:t xml:space="preserve"> and </w:t>
      </w:r>
      <w:r>
        <w:t>Pattanajak</w:t>
      </w:r>
      <w:r>
        <w:t>, 2021)</w:t>
      </w:r>
      <w:r>
        <w:t>. They attach importance to screen space and high-quality audio-visual integrity. Their buying habits are motivated by entertainment and social prestige in having conspicuously innovative technology.</w:t>
      </w:r>
    </w:p>
    <w:bookmarkStart w:id="4" w:name="_Toc216396352"/>
    <w:p>
      <w:pPr>
        <w:pStyle w:val="style2"/>
        <w:rPr/>
      </w:pPr>
      <w:r>
        <w:t>Targeting</w:t>
      </w:r>
      <w:bookmarkEnd w:id="4"/>
    </w:p>
    <w:p>
      <w:pPr>
        <w:pStyle w:val="style0"/>
        <w:rPr/>
      </w:pPr>
      <w:r>
        <w:t>Apple Aureate will specifically focus on the Elite Prosumer</w:t>
      </w:r>
      <w:r>
        <w:t>,</w:t>
      </w:r>
      <w:r>
        <w:t xml:space="preserve"> which is a high-value segment that combines features of the fundamental segments</w:t>
      </w:r>
      <w:r>
        <w:t>. This person is also characterised by a good income that does not consider high-quality technology as a luxury, but as a tool</w:t>
      </w:r>
      <w:r>
        <w:t xml:space="preserve"> </w:t>
      </w:r>
      <w:r>
        <w:t>(Pandita, 2022)</w:t>
      </w:r>
      <w:r>
        <w:t xml:space="preserve">. At a psychographic level, they are motivated by a combination of both professional and personal desire. </w:t>
      </w:r>
    </w:p>
    <w:p>
      <w:pPr>
        <w:pStyle w:val="style0"/>
        <w:rPr/>
      </w:pPr>
      <w:r>
        <w:t>The reason behind its choice in this segment is its strategic proximity to the core pursuits of Apple, which are the integrated ecosystems and upscale branding. The Elite Prosumer is the highest construct of lifetime value due to loyalty and cross-purchasing within the Apple ecosystem</w:t>
      </w:r>
      <w:r>
        <w:t xml:space="preserve"> </w:t>
      </w:r>
      <w:r>
        <w:t>(Pandita, 2022)</w:t>
      </w:r>
      <w:r>
        <w:t xml:space="preserve">. </w:t>
      </w:r>
    </w:p>
    <w:p>
      <w:pPr>
        <w:pStyle w:val="style0"/>
        <w:rPr/>
      </w:pPr>
    </w:p>
    <w:p>
      <w:pPr>
        <w:pStyle w:val="style0"/>
        <w:rPr/>
      </w:pPr>
    </w:p>
    <w:bookmarkStart w:id="5" w:name="_Toc216396353"/>
    <w:p>
      <w:pPr>
        <w:pStyle w:val="style2"/>
        <w:rPr/>
      </w:pPr>
      <w:r>
        <w:t>Differentiation.</w:t>
      </w:r>
      <w:bookmarkEnd w:id="5"/>
    </w:p>
    <w:p>
      <w:pPr>
        <w:pStyle w:val="style0"/>
        <w:rPr/>
      </w:pPr>
      <w:r>
        <w:t xml:space="preserve">The multi-layered strategy that Apple Aureate will use to differentiate itself will not be easy to duplicate by its rivals. Its foundation is an unblemished, creaseless display, a material hardware innovation that goes right to the core of the most frequent criticism of current foldables. It runs on </w:t>
      </w:r>
      <w:r>
        <w:t>AureateOS</w:t>
      </w:r>
      <w:r>
        <w:t>, a ground-up software platform with foldable interactions and without compromising integrity with the rest of the iOS ecosystem, which Android-based competitors can never achieve such harmony</w:t>
      </w:r>
      <w:r>
        <w:t xml:space="preserve"> </w:t>
      </w:r>
      <w:r>
        <w:t>(Porter, 2018)</w:t>
      </w:r>
      <w:r>
        <w:t>. The titanium casing is used in conveying unsurpassed durability and prestige. Importantly, differentiation is applied to the service model, allowing having Aureate Specialists and a super-personalised purchase process, and even the process of the purchase is a premium one.</w:t>
      </w:r>
    </w:p>
    <w:bookmarkStart w:id="6" w:name="_Toc216396354"/>
    <w:p>
      <w:pPr>
        <w:pStyle w:val="style2"/>
        <w:rPr/>
      </w:pPr>
      <w:r>
        <w:t>Positioning</w:t>
      </w:r>
      <w:bookmarkEnd w:id="6"/>
      <w:r>
        <w:t xml:space="preserve"> </w:t>
      </w:r>
    </w:p>
    <w:p>
      <w:pPr>
        <w:pStyle w:val="style0"/>
        <w:rPr/>
      </w:pPr>
      <w:r>
        <w:t>This distinction is sealed by the positioning in the mind of the Elite Prosumer. The following is the positioning statement. Apple Aureate is the first foldable product that offers a perfect, seamless, and integrated experience, and sets the new standard of mobile computing for the high-end prosumer who values uncompromising innovation. In this case, the niche is the extreme premium prosumer</w:t>
      </w:r>
      <w:r>
        <w:t xml:space="preserve"> </w:t>
      </w:r>
      <w:r>
        <w:t>(Reuters, 2025)</w:t>
      </w:r>
      <w:r>
        <w:t xml:space="preserve">. The category is positioned in terms of the first genuine foldable standard rather than another device. The major advantage is an exceptionally flawless experience, which refers to the hardware and software wholeness. </w:t>
      </w:r>
    </w:p>
    <w:bookmarkStart w:id="7" w:name="_Toc216396355"/>
    <w:p>
      <w:pPr>
        <w:pStyle w:val="style1"/>
        <w:rPr/>
      </w:pPr>
      <w:r>
        <w:t>Marketing Mix (7Ps) Strategy</w:t>
      </w:r>
      <w:bookmarkEnd w:id="7"/>
    </w:p>
    <w:p>
      <w:pPr>
        <w:pStyle w:val="style0"/>
        <w:rPr>
          <w:b/>
          <w:bCs/>
        </w:rPr>
      </w:pPr>
      <w:r>
        <w:rPr>
          <w:b/>
          <w:bCs/>
        </w:rPr>
        <w:t>Introduction to 7Ps Choice</w:t>
      </w:r>
    </w:p>
    <w:p>
      <w:pPr>
        <w:pStyle w:val="style0"/>
        <w:rPr/>
      </w:pPr>
      <w:r>
        <w:t>The 7Ps model will be valuable in Apple Aureate because it is not just a product launch but a complete service-enriched experience</w:t>
      </w:r>
      <w:r>
        <w:t xml:space="preserve"> </w:t>
      </w:r>
      <w:r>
        <w:t>(Lin </w:t>
      </w:r>
      <w:r>
        <w:rPr>
          <w:i/>
          <w:iCs/>
        </w:rPr>
        <w:t>et al.</w:t>
      </w:r>
      <w:r>
        <w:t>, 2021)</w:t>
      </w:r>
      <w:r>
        <w:t>. The approach will not be solely based on the physical device, but on the high-quality of personalised services that accompany the device, such as the expert advice and custom installation</w:t>
      </w:r>
      <w:r>
        <w:t xml:space="preserve"> </w:t>
      </w:r>
      <w:r>
        <w:t>(Lin </w:t>
      </w:r>
      <w:r>
        <w:rPr>
          <w:i/>
          <w:iCs/>
        </w:rPr>
        <w:t>et al.</w:t>
      </w:r>
      <w:r>
        <w:t>, 2021)</w:t>
      </w:r>
      <w:r>
        <w:t>. This increased model is essential to operationalize a brand that was placed on the unrewarding integration and exclusivity, which would make each customer touch point reinforce the superior proposal.</w:t>
      </w:r>
    </w:p>
    <w:p>
      <w:pPr>
        <w:pStyle w:val="style0"/>
        <w:rPr/>
      </w:pPr>
      <w:r>
        <w:rPr>
          <w:b/>
          <w:bCs/>
        </w:rPr>
        <w:t>Product:</w:t>
      </w:r>
      <w:r>
        <w:t xml:space="preserve"> Their main product consists of a foldable mobile, having an extremely smooth, creaseless OLED display with titanium in the chassis, and it is one of the fundamental technologies of materials and display engineering. True differentiation comes in the augmented product layers. </w:t>
      </w:r>
      <w:r>
        <w:t>AureateOS</w:t>
      </w:r>
      <w:r>
        <w:t xml:space="preserve"> is an operating system that is designed as a special-purpose operating system, which is based on iOS but is re-engineered with dynamic screen transitions and professional multi-tasking workflows, with unique applications that use the foldable form</w:t>
      </w:r>
      <w:r>
        <w:t xml:space="preserve"> </w:t>
      </w:r>
      <w:r>
        <w:t>(</w:t>
      </w:r>
      <w:r>
        <w:t>Brexendorf</w:t>
      </w:r>
      <w:r>
        <w:t xml:space="preserve">, </w:t>
      </w:r>
      <w:r>
        <w:t>Bayus</w:t>
      </w:r>
      <w:r>
        <w:t xml:space="preserve"> and Keller, 2015)</w:t>
      </w:r>
      <w:r>
        <w:t xml:space="preserve">. Aureate is the sub-brand that is more or less alienated from the mother brand Apple, with a specific yet compatible visual image, giving the possibility to devise designs and prices, as well. </w:t>
      </w:r>
    </w:p>
    <w:p>
      <w:pPr>
        <w:pStyle w:val="style0"/>
        <w:rPr>
          <w:b/>
          <w:bCs/>
        </w:rPr>
      </w:pPr>
      <w:r>
        <w:rPr>
          <w:b/>
          <w:bCs/>
        </w:rPr>
        <w:t>Price:</w:t>
      </w:r>
      <w:r>
        <w:rPr>
          <w:b/>
          <w:bCs/>
        </w:rPr>
        <w:t xml:space="preserve"> </w:t>
      </w:r>
      <w:r>
        <w:t>Aureate will use a premium price skimming business model</w:t>
      </w:r>
      <w:r>
        <w:t>,</w:t>
      </w:r>
      <w:r>
        <w:t xml:space="preserve"> and the entry price will be above 2500 dollars. This is explained by a pricing model that is based on value-based, which is pegged on its technological breakthroughs, proprietary hinge and display technology, and the magnitude of the investment in research and development to come up with </w:t>
      </w:r>
      <w:r>
        <w:t>AureateOS</w:t>
      </w:r>
      <w:r>
        <w:t xml:space="preserve"> </w:t>
      </w:r>
      <w:r>
        <w:t>(Yao </w:t>
      </w:r>
      <w:r>
        <w:rPr>
          <w:i/>
          <w:iCs/>
        </w:rPr>
        <w:t>et al.</w:t>
      </w:r>
      <w:r>
        <w:t>, 2019)</w:t>
      </w:r>
      <w:r>
        <w:t>. Pricing is a power that supports psychological positioning</w:t>
      </w:r>
      <w:r>
        <w:t>. I</w:t>
      </w:r>
      <w:r>
        <w:t>t serves as an indicator of exclusivity and high values, and creates a high barrier to entry intentionally, to isolate the market and defend the aura of the elite brand. This places Aureate at about 30-40% higher than the leading products, such as the Samsung Galaxy Z Fold series, not in direct relation, but as a statement of a categorically higher level of product</w:t>
      </w:r>
      <w:r>
        <w:t xml:space="preserve"> </w:t>
      </w:r>
      <w:r>
        <w:t>(Kaye, 2025)</w:t>
      </w:r>
      <w:r>
        <w:t>.</w:t>
      </w:r>
    </w:p>
    <w:p>
      <w:pPr>
        <w:pStyle w:val="style0"/>
        <w:rPr/>
      </w:pPr>
      <w:r>
        <w:rPr>
          <w:b/>
          <w:bCs/>
        </w:rPr>
        <w:t>Place:</w:t>
      </w:r>
      <w:r>
        <w:t xml:space="preserve"> Distribution will be competitive as it will ensure that there is control in brand experience and perception. Aureate will be sold in Apple-owned distribution: in its official store, in retail outlets of the flagship stores of Apple, and in the Apple Store application. The secondary touchpoints to target the professional audience will be some carefully selected premium partners, including high-end department stores and exclusive business-to-business technology providers. For example, Selfridges, Harrods. Such a regulated omnichannel strategy will mean that all the customer engagements are done in a setting that portrays the high-end positioning of the product, to avoid discounts and maintain the aspirational worth of the brand</w:t>
      </w:r>
      <w:r>
        <w:t xml:space="preserve"> </w:t>
      </w:r>
      <w:r>
        <w:t>(Kaye, 2025)</w:t>
      </w:r>
      <w:r>
        <w:t>.</w:t>
      </w:r>
    </w:p>
    <w:p>
      <w:pPr>
        <w:pStyle w:val="style0"/>
        <w:rPr/>
      </w:pPr>
      <w:r>
        <w:rPr>
          <w:b/>
          <w:bCs/>
        </w:rPr>
        <w:t>Promotion</w:t>
      </w:r>
      <w:r>
        <w:t>: The Integrated Marketing Communications plan will occur in phases. The pre-launch stage will create hype with the help of cryptic previews on the Apple platforms, with an emphasis on the shape and substance of the gadget</w:t>
      </w:r>
      <w:r>
        <w:t xml:space="preserve"> </w:t>
      </w:r>
      <w:r>
        <w:t>(</w:t>
      </w:r>
      <w:r>
        <w:t>Khamwon</w:t>
      </w:r>
      <w:r>
        <w:t xml:space="preserve"> and </w:t>
      </w:r>
      <w:r>
        <w:t>Pattanajak</w:t>
      </w:r>
      <w:r>
        <w:t>, 2021)</w:t>
      </w:r>
      <w:r>
        <w:t xml:space="preserve">. The introduction will focus on a special event, such as a WWDC keynote, where the message of the unfolding of a new era is completely presented with the focus on integration and professional utility. The adoption </w:t>
      </w:r>
      <w:r>
        <w:t>stage will also utilise the high-profile influencer marketing approach, collaborating with experts in the industrial design, architecture, and venture capital industries, whose recommendations are important to the Elite Prosumer. Specific paid marketing will be performed through such websites as LinkedIn and high-quality online publications</w:t>
      </w:r>
      <w:r>
        <w:t xml:space="preserve"> </w:t>
      </w:r>
      <w:r>
        <w:t>(Pandita, 2022)</w:t>
      </w:r>
      <w:r>
        <w:t>. The retention stage will facilitate user-created content that demonstrates an actual-world practice of using both the product and creative application, creating a group of supporters</w:t>
      </w:r>
      <w:r>
        <w:t xml:space="preserve"> </w:t>
      </w:r>
      <w:r>
        <w:t>(Borah </w:t>
      </w:r>
      <w:r>
        <w:rPr>
          <w:i/>
          <w:iCs/>
        </w:rPr>
        <w:t>et al.</w:t>
      </w:r>
      <w:r>
        <w:t>, 2023)</w:t>
      </w:r>
      <w:r>
        <w:t>.</w:t>
      </w:r>
    </w:p>
    <w:p>
      <w:pPr>
        <w:pStyle w:val="style0"/>
        <w:rPr/>
      </w:pPr>
      <w:r>
        <w:rPr>
          <w:b/>
          <w:bCs/>
        </w:rPr>
        <w:t>People:</w:t>
      </w:r>
      <w:r>
        <w:t xml:space="preserve"> Apple Store employees who are of the highest calibre will be the frontline of the Aureate experience, and these are the Aureate Specialists. These people will undergo further training on the technical features of the device, professional software packages, and better client relationship management</w:t>
      </w:r>
      <w:r>
        <w:t xml:space="preserve"> </w:t>
      </w:r>
      <w:r>
        <w:t>(</w:t>
      </w:r>
      <w:r>
        <w:t>Khamwon</w:t>
      </w:r>
      <w:r>
        <w:t xml:space="preserve"> and </w:t>
      </w:r>
      <w:r>
        <w:t>Pattanajak</w:t>
      </w:r>
      <w:r>
        <w:t>, 2021)</w:t>
      </w:r>
      <w:r>
        <w:t xml:space="preserve">. Their activity will go beyond the direct support of a technical character and become that of a productivity consultant, who should be able to comprehend the particular workflow of a client and show how Aureate will optimise it. </w:t>
      </w:r>
    </w:p>
    <w:p>
      <w:pPr>
        <w:pStyle w:val="style0"/>
        <w:rPr/>
      </w:pPr>
      <w:r>
        <w:rPr>
          <w:b/>
          <w:bCs/>
        </w:rPr>
        <w:t>Process:</w:t>
      </w:r>
      <w:r>
        <w:t xml:space="preserve"> The customer experience is created as a high-touch service with a seamless nature. It starts with an invitation-only preview or an appointment with an Aureate Specialist. When the customers purchase the product, they receive a super-personalised set-up session, whether at a separate section within the Apple Store or, in the case of valued clients, at home or office</w:t>
      </w:r>
      <w:r>
        <w:t xml:space="preserve"> </w:t>
      </w:r>
      <w:r>
        <w:t>(Borah </w:t>
      </w:r>
      <w:r>
        <w:rPr>
          <w:i/>
          <w:iCs/>
        </w:rPr>
        <w:t>et al.</w:t>
      </w:r>
      <w:r>
        <w:t>, 2023)</w:t>
      </w:r>
      <w:r>
        <w:t xml:space="preserve">. This session will involve the data migration into their new equipment without any difficulties, and the personalisation of the </w:t>
      </w:r>
      <w:r>
        <w:t>AureateOS</w:t>
      </w:r>
      <w:r>
        <w:t xml:space="preserve"> interface in their workflow and training them in the distinctive features.</w:t>
      </w:r>
    </w:p>
    <w:p>
      <w:pPr>
        <w:pStyle w:val="style0"/>
        <w:rPr/>
      </w:pPr>
      <w:r>
        <w:rPr>
          <w:b/>
          <w:bCs/>
        </w:rPr>
        <w:t>Physical Evidence:</w:t>
      </w:r>
      <w:r>
        <w:rPr>
          <w:b/>
          <w:bCs/>
        </w:rPr>
        <w:t xml:space="preserve"> </w:t>
      </w:r>
      <w:r>
        <w:t>All physical aspects are brand ambassadors. The container will be a large, magnetically closed container of recycled alloys and high-quality composites and will have a tactile feature</w:t>
      </w:r>
      <w:r>
        <w:t xml:space="preserve"> </w:t>
      </w:r>
      <w:r>
        <w:t>(Kotler, 2001)</w:t>
      </w:r>
      <w:r>
        <w:t xml:space="preserve">. In the Apple stores, there will be special Aureate spaces, which will be minimally designed with displays to enable the device to be touched and felt in a controlled and luxurious setting, possibly on sola wood or microfiber flooring. The ultimate physical evidence is the device itself, with its unique titanium frame and its perfect unfolding mechanism. </w:t>
      </w:r>
    </w:p>
    <w:p>
      <w:pPr>
        <w:pStyle w:val="style0"/>
        <w:rPr/>
      </w:pPr>
    </w:p>
    <w:p>
      <w:pPr>
        <w:pStyle w:val="style0"/>
        <w:rPr/>
      </w:pPr>
    </w:p>
    <w:p>
      <w:pPr>
        <w:pStyle w:val="style0"/>
        <w:rPr/>
      </w:pPr>
    </w:p>
    <w:bookmarkStart w:id="8" w:name="_Toc216396356"/>
    <w:p>
      <w:pPr>
        <w:pStyle w:val="style1"/>
        <w:rPr/>
      </w:pPr>
      <w:r>
        <w:t>Marketing Strategy Pitch Summary</w:t>
      </w:r>
      <w:bookmarkEnd w:id="8"/>
    </w:p>
    <w:p>
      <w:pPr>
        <w:pStyle w:val="style0"/>
        <w:ind w:left="720"/>
        <w:rPr/>
      </w:pPr>
      <w:r>
        <w:rPr>
          <w:noProof/>
        </w:rPr>
        <w:drawing>
          <wp:inline distL="0" distT="0" distB="0" distR="0">
            <wp:extent cx="5173980" cy="7338004"/>
            <wp:effectExtent l="0" t="0" r="7620" b="0"/>
            <wp:docPr id="1027"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0" r="0" b="0"/>
                    <a:stretch/>
                  </pic:blipFill>
                  <pic:spPr>
                    <a:xfrm rot="0">
                      <a:off x="0" y="0"/>
                      <a:ext cx="5173980" cy="7338004"/>
                    </a:xfrm>
                    <a:prstGeom prst="rect"/>
                  </pic:spPr>
                </pic:pic>
              </a:graphicData>
            </a:graphic>
          </wp:inline>
        </w:drawing>
      </w:r>
    </w:p>
    <w:p>
      <w:pPr>
        <w:pStyle w:val="style0"/>
        <w:ind w:left="2160"/>
        <w:rPr>
          <w:i/>
          <w:iCs/>
        </w:rPr>
      </w:pPr>
      <w:r>
        <w:rPr>
          <w:i/>
          <w:iCs/>
        </w:rPr>
        <w:t xml:space="preserve">Figure: Poster </w:t>
      </w:r>
      <w:r>
        <w:rPr>
          <w:i/>
          <w:iCs/>
        </w:rPr>
        <w:t>of the Apple Aureate (Source: Author)</w:t>
      </w:r>
    </w:p>
    <w:bookmarkStart w:id="9" w:name="_Toc216396357"/>
    <w:p>
      <w:pPr>
        <w:pStyle w:val="style1"/>
        <w:rPr/>
      </w:pPr>
      <w:r>
        <w:t>Personal Reflection</w:t>
      </w:r>
      <w:bookmarkEnd w:id="9"/>
    </w:p>
    <w:p>
      <w:pPr>
        <w:pStyle w:val="style0"/>
        <w:rPr/>
      </w:pPr>
      <w:r>
        <w:t xml:space="preserve">Here, the reflection is attached to the Gibbs Reflective Model. </w:t>
      </w:r>
    </w:p>
    <w:p>
      <w:pPr>
        <w:pStyle w:val="style0"/>
        <w:rPr/>
      </w:pPr>
      <w:r>
        <w:rPr>
          <w:noProof/>
        </w:rPr>
        <w:drawing>
          <wp:inline distL="0" distT="0" distB="0" distR="0">
            <wp:extent cx="5943600" cy="4457700"/>
            <wp:effectExtent l="0" t="0" r="0" b="0"/>
            <wp:docPr id="1028" name="Picture 1" descr="Gibbs Reflective Cycle"/>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4" cstate="print"/>
                    <a:srcRect l="0" t="0" r="0" b="0"/>
                    <a:stretch/>
                  </pic:blipFill>
                  <pic:spPr>
                    <a:xfrm rot="0">
                      <a:off x="0" y="0"/>
                      <a:ext cx="5943600" cy="4457700"/>
                    </a:xfrm>
                    <a:prstGeom prst="rect"/>
                    <a:ln>
                      <a:noFill/>
                    </a:ln>
                  </pic:spPr>
                </pic:pic>
              </a:graphicData>
            </a:graphic>
          </wp:inline>
        </w:drawing>
      </w:r>
    </w:p>
    <w:p>
      <w:pPr>
        <w:pStyle w:val="style0"/>
        <w:ind w:left="2880"/>
        <w:rPr>
          <w:i/>
          <w:iCs/>
        </w:rPr>
      </w:pPr>
      <w:r>
        <w:rPr>
          <w:i/>
          <w:iCs/>
        </w:rPr>
        <w:t xml:space="preserve">Figure: Gibbs reflective cycle </w:t>
      </w:r>
      <w:r>
        <w:rPr>
          <w:i/>
          <w:iCs/>
        </w:rPr>
        <w:t xml:space="preserve"> </w:t>
      </w:r>
      <w:r>
        <w:rPr>
          <w:i/>
          <w:iCs/>
        </w:rPr>
        <w:t>(Pandita, 2022)</w:t>
      </w:r>
    </w:p>
    <w:p>
      <w:pPr>
        <w:pStyle w:val="style0"/>
        <w:rPr/>
      </w:pPr>
      <w:r>
        <w:rPr>
          <w:b/>
          <w:bCs/>
        </w:rPr>
        <w:t>Description</w:t>
      </w:r>
      <w:r>
        <w:t>: This portfolio entailed working on the overall marketing plan of a new brand, Apple Aureate, a proposed high-end foldable device of Apple Inc. The assignment consisted of developing a Segmentation, Targeting, and Positioning analysis, developing a 7Ps marketing mix, and condensing the strategy into a selling pitch</w:t>
      </w:r>
      <w:r>
        <w:t xml:space="preserve"> </w:t>
      </w:r>
      <w:r>
        <w:t>(Porter, 2018)</w:t>
      </w:r>
      <w:r>
        <w:t>. The final work was to synthesise these pieces into a final report and a visual poster to be used in representing the main idea.</w:t>
      </w:r>
    </w:p>
    <w:p>
      <w:pPr>
        <w:pStyle w:val="style0"/>
        <w:rPr/>
      </w:pPr>
      <w:r>
        <w:rPr>
          <w:b/>
          <w:bCs/>
        </w:rPr>
        <w:t>Feelings:</w:t>
      </w:r>
      <w:r>
        <w:rPr>
          <w:b/>
          <w:bCs/>
        </w:rPr>
        <w:t xml:space="preserve"> </w:t>
      </w:r>
      <w:r>
        <w:t xml:space="preserve">I was </w:t>
      </w:r>
      <w:r>
        <w:t>initially overwhelmed with excitement at the prospect of strategizing for a brand that Apple had a history of producing, as I saw it as an opportunity to apply theoretical foundations to</w:t>
      </w:r>
      <w:r>
        <w:t xml:space="preserve"> a high-concept, innovative product. This was, however, soon replaced by a feeling of complexity </w:t>
      </w:r>
      <w:r>
        <w:t>and difficulty in the development stage</w:t>
      </w:r>
      <w:r>
        <w:t xml:space="preserve"> </w:t>
      </w:r>
      <w:r>
        <w:t>(Porter, 2018)</w:t>
      </w:r>
      <w:r>
        <w:t xml:space="preserve">. There was </w:t>
      </w:r>
      <w:r>
        <w:t>considerable confusion in devising a credible yet bold differentiation for</w:t>
      </w:r>
      <w:r>
        <w:t xml:space="preserve"> Aureate in a new market. </w:t>
      </w:r>
    </w:p>
    <w:p>
      <w:pPr>
        <w:pStyle w:val="style0"/>
        <w:rPr/>
      </w:pPr>
      <w:r>
        <w:rPr>
          <w:b/>
          <w:bCs/>
        </w:rPr>
        <w:t>Evaluation:</w:t>
      </w:r>
      <w:r>
        <w:t xml:space="preserve"> This experience was very positive in terms of requiring applied strategic thinking. My most useful feature of the work was the strategic choice of the use of a new </w:t>
      </w:r>
      <w:r>
        <w:t>brand's</w:t>
      </w:r>
      <w:r>
        <w:t xml:space="preserve"> approach, which gave a logical system to all the following decisions, such as prices, promotion</w:t>
      </w:r>
      <w:r>
        <w:t xml:space="preserve"> </w:t>
      </w:r>
      <w:r>
        <w:t>(Borah </w:t>
      </w:r>
      <w:r>
        <w:rPr>
          <w:i/>
          <w:iCs/>
        </w:rPr>
        <w:t>et al.</w:t>
      </w:r>
      <w:r>
        <w:t>, 2023)</w:t>
      </w:r>
      <w:r>
        <w:t xml:space="preserve">. On the other hand, a weaker side was that I tended to revert to generic luxury marketing cliches. The initial versions of the differentiation points were based on the ambiguous terms such as premium and innovative until I made the people focus a little bit on specific, ownable assets such as the creaseless display and </w:t>
      </w:r>
      <w:r>
        <w:t>AureateOS</w:t>
      </w:r>
      <w:r>
        <w:t>.</w:t>
      </w:r>
    </w:p>
    <w:p>
      <w:pPr>
        <w:pStyle w:val="style0"/>
        <w:rPr>
          <w:b/>
          <w:bCs/>
        </w:rPr>
      </w:pPr>
      <w:r>
        <w:rPr>
          <w:b/>
          <w:bCs/>
        </w:rPr>
        <w:t>Analysis:</w:t>
      </w:r>
      <w:r>
        <w:rPr>
          <w:b/>
          <w:bCs/>
        </w:rPr>
        <w:t xml:space="preserve"> </w:t>
      </w:r>
      <w:r>
        <w:t xml:space="preserve">This </w:t>
      </w:r>
      <w:r>
        <w:t>generic-to-specific</w:t>
      </w:r>
      <w:r>
        <w:t xml:space="preserve"> change happened to be the key learning point. It </w:t>
      </w:r>
      <w:r>
        <w:t>emphasised</w:t>
      </w:r>
      <w:r>
        <w:t xml:space="preserve"> that the genuine differentiation in a saturated high-end market is to be based on tangible, technical or experiential assertions that </w:t>
      </w:r>
      <w:r>
        <w:t>cannot</w:t>
      </w:r>
      <w:r>
        <w:t xml:space="preserve"> be instantly imitated by competitors</w:t>
      </w:r>
      <w:r>
        <w:t xml:space="preserve"> </w:t>
      </w:r>
      <w:r>
        <w:t>(Yao </w:t>
      </w:r>
      <w:r>
        <w:rPr>
          <w:i/>
          <w:iCs/>
        </w:rPr>
        <w:t>et al.</w:t>
      </w:r>
      <w:r>
        <w:t>, 2019)</w:t>
      </w:r>
      <w:r>
        <w:t xml:space="preserve">. The review of Apple core competencies brought me to </w:t>
      </w:r>
      <w:r>
        <w:t>AureateOS</w:t>
      </w:r>
      <w:r>
        <w:t xml:space="preserve"> and </w:t>
      </w:r>
      <w:r>
        <w:t xml:space="preserve">the </w:t>
      </w:r>
      <w:r>
        <w:t xml:space="preserve">integrated model of services as sustainable benefits, which are much more justified than specs of hardware. </w:t>
      </w:r>
    </w:p>
    <w:p>
      <w:pPr>
        <w:pStyle w:val="style0"/>
        <w:rPr/>
      </w:pPr>
      <w:r>
        <w:rPr>
          <w:b/>
          <w:bCs/>
        </w:rPr>
        <w:t>Conclusion</w:t>
      </w:r>
      <w:r>
        <w:t>:</w:t>
      </w:r>
      <w:r>
        <w:t xml:space="preserve"> </w:t>
      </w:r>
      <w:r>
        <w:t>Finally, it is possible to note that the most important lesson that was acquired is that one single strong strategic decision is needed to base all the tactical actions on, and that the differentiation should be based on the specific, ownable assets that are associated with corporate strengths</w:t>
      </w:r>
      <w:r>
        <w:t xml:space="preserve"> </w:t>
      </w:r>
      <w:r>
        <w:t>(Borah </w:t>
      </w:r>
      <w:r>
        <w:rPr>
          <w:i/>
          <w:iCs/>
        </w:rPr>
        <w:t>et al.</w:t>
      </w:r>
      <w:r>
        <w:t>, 2023)</w:t>
      </w:r>
      <w:r>
        <w:t xml:space="preserve">. I have also found out that synthesis and simplification to a pitch are skills that go further and challenge the clarity and the strength of the underlying strategy itself. </w:t>
      </w:r>
    </w:p>
    <w:p>
      <w:pPr>
        <w:pStyle w:val="style0"/>
        <w:rPr/>
      </w:pPr>
      <w:r>
        <w:rPr>
          <w:b/>
          <w:bCs/>
        </w:rPr>
        <w:t>Action Plan:</w:t>
      </w:r>
      <w:r>
        <w:t xml:space="preserve"> </w:t>
      </w:r>
      <w:r>
        <w:t>In order to improve my performance in future projects, I would make a number of changes. To start with, I would embark on the creative process with a stricter examination of competitor weaknesses and unfulfilled consumer pains to initiate a more specific differentiation at the very beginning. Second, I would attempt to involve the primary data</w:t>
      </w:r>
      <w:r>
        <w:t>,</w:t>
      </w:r>
      <w:r>
        <w:t xml:space="preserve"> including surveys or focus group responses to the concept visuals. Lastly, as a tip in future pitches</w:t>
      </w:r>
      <w:r>
        <w:t>,</w:t>
      </w:r>
      <w:r>
        <w:t xml:space="preserve"> I would rehearse the story prior to the process, and the need to simplify the explanation, as a means of finding and removing strategic vagueness of the main plan itself</w:t>
      </w:r>
      <w:r>
        <w:t xml:space="preserve"> </w:t>
      </w:r>
      <w:r>
        <w:t>(Duffy, 2025)</w:t>
      </w:r>
      <w:r>
        <w:t xml:space="preserve">. </w:t>
      </w:r>
    </w:p>
    <w:p>
      <w:pPr>
        <w:pStyle w:val="style0"/>
        <w:spacing w:lineRule="auto" w:line="259"/>
        <w:jc w:val="left"/>
        <w:rPr>
          <w:b/>
          <w:bCs/>
        </w:rPr>
      </w:pPr>
      <w:r>
        <w:rPr>
          <w:b/>
          <w:bCs/>
        </w:rPr>
        <w:br w:type="page"/>
      </w:r>
    </w:p>
    <w:bookmarkStart w:id="10" w:name="_Toc216396358"/>
    <w:p>
      <w:pPr>
        <w:pStyle w:val="style1"/>
        <w:rPr/>
      </w:pPr>
      <w:r>
        <w:t>Reference List</w:t>
      </w:r>
      <w:bookmarkEnd w:id="10"/>
    </w:p>
    <w:p>
      <w:pPr>
        <w:pStyle w:val="style0"/>
        <w:rPr/>
      </w:pPr>
      <w:r>
        <w:t>Apple (2025) </w:t>
      </w:r>
      <w:r>
        <w:rPr>
          <w:i/>
          <w:iCs/>
        </w:rPr>
        <w:t>Apple Fitness+ expands to 28 new markets</w:t>
      </w:r>
      <w:r>
        <w:t>, </w:t>
      </w:r>
      <w:r>
        <w:rPr>
          <w:i/>
          <w:iCs/>
        </w:rPr>
        <w:t>Apple</w:t>
      </w:r>
      <w:r>
        <w:t>. Available at: https://www.apple.com/newsroom/2025/12/apple-fitness-plus-expands-to-28-new-markets/ (Accessed: December 11, 2025).</w:t>
      </w:r>
    </w:p>
    <w:p>
      <w:pPr>
        <w:pStyle w:val="style0"/>
        <w:rPr/>
      </w:pPr>
      <w:r>
        <w:t>Borah, P.S. </w:t>
      </w:r>
      <w:r>
        <w:rPr>
          <w:i/>
          <w:iCs/>
        </w:rPr>
        <w:t>et al.</w:t>
      </w:r>
      <w:r>
        <w:t> (2023) “Green market orientation, green innovation capability, green knowledge acquisition and green brand positioning as determinants of new product success,” </w:t>
      </w:r>
      <w:r>
        <w:rPr>
          <w:i/>
          <w:iCs/>
        </w:rPr>
        <w:t>European journal of innovation management</w:t>
      </w:r>
      <w:r>
        <w:t>, 26(2), pp. 364–385. Available at: https://doi.org/10.1108/ejim-09-2020-0345.</w:t>
      </w:r>
    </w:p>
    <w:p>
      <w:pPr>
        <w:pStyle w:val="style0"/>
        <w:rPr/>
      </w:pPr>
      <w:r>
        <w:t>Brexendorf</w:t>
      </w:r>
      <w:r>
        <w:t xml:space="preserve">, T.O., </w:t>
      </w:r>
      <w:r>
        <w:t>Bayus</w:t>
      </w:r>
      <w:r>
        <w:t>, B. and Keller, K.L. (2015) “Understanding the interplay between brand and innovation management: findings and future research directions,” </w:t>
      </w:r>
      <w:r>
        <w:rPr>
          <w:i/>
          <w:iCs/>
        </w:rPr>
        <w:t>Journal of the Academy of Marketing Science</w:t>
      </w:r>
      <w:r>
        <w:t>, 43(5), pp. 548–557. Available at: https://doi.org/10.1007/s11747-015-0445-6.</w:t>
      </w:r>
    </w:p>
    <w:p>
      <w:pPr>
        <w:pStyle w:val="style0"/>
        <w:rPr/>
      </w:pPr>
      <w:r>
        <w:t xml:space="preserve">Calder, B.J., Malthouse, E.C. and </w:t>
      </w:r>
      <w:r>
        <w:t>Maslowska</w:t>
      </w:r>
      <w:r>
        <w:t>, E. (2016) “Brand marketing, big data and social innovation as future research directions for engagement,” </w:t>
      </w:r>
      <w:r>
        <w:rPr>
          <w:i/>
          <w:iCs/>
        </w:rPr>
        <w:t>Journal of marketing management</w:t>
      </w:r>
      <w:r>
        <w:t>, 32(5–6), pp. 579–585. Available at: https://doi.org/10.1080/0267257x.2016.1144326.</w:t>
      </w:r>
    </w:p>
    <w:p>
      <w:pPr>
        <w:pStyle w:val="style0"/>
        <w:rPr/>
      </w:pPr>
      <w:r>
        <w:t>Duffy, C. (2025) “Everything Apple announced at its big event: iPhone Air, iPhone 17, new Apple Watches and more,” </w:t>
      </w:r>
      <w:r>
        <w:rPr>
          <w:i/>
          <w:iCs/>
        </w:rPr>
        <w:t>CNN</w:t>
      </w:r>
      <w:r>
        <w:t>, 9 September. Available at: https://www.cnn.com/2025/09/09/tech/new-apple-devices-announcement-event (Accessed: December 11, 2025).</w:t>
      </w:r>
    </w:p>
    <w:p>
      <w:pPr>
        <w:pStyle w:val="style0"/>
        <w:rPr/>
      </w:pPr>
      <w:r>
        <w:t>Kaye, D. (2025) “Apple claims ‘tremendous’ global uptake of latest iPhones,” </w:t>
      </w:r>
      <w:r>
        <w:rPr>
          <w:i/>
          <w:iCs/>
        </w:rPr>
        <w:t>BBC</w:t>
      </w:r>
      <w:r>
        <w:t>, 30 October. Available at: https://www.bbc.com/news/articles/cz6n98exv9zo (Accessed: December 11, 2025).</w:t>
      </w:r>
    </w:p>
    <w:p>
      <w:pPr>
        <w:pStyle w:val="style0"/>
        <w:rPr/>
      </w:pPr>
      <w:r>
        <w:t>Khamwon</w:t>
      </w:r>
      <w:r>
        <w:t xml:space="preserve">, A. and </w:t>
      </w:r>
      <w:r>
        <w:t>Pattanajak</w:t>
      </w:r>
      <w:r>
        <w:t>, P. (2021) “Brand innovation, brand trust, and brand loyalty of e-marketplace in Thailand,” </w:t>
      </w:r>
      <w:r>
        <w:rPr>
          <w:i/>
          <w:iCs/>
        </w:rPr>
        <w:t>International Journal of Business and Technology Management</w:t>
      </w:r>
      <w:r>
        <w:t>, 3(3), pp. 29–35.</w:t>
      </w:r>
    </w:p>
    <w:p>
      <w:pPr>
        <w:pStyle w:val="style0"/>
        <w:rPr/>
      </w:pPr>
      <w:r>
        <w:t>Kotler, P. (2001) </w:t>
      </w:r>
      <w:r>
        <w:rPr>
          <w:i/>
          <w:iCs/>
        </w:rPr>
        <w:t>Kotler On Marketing</w:t>
      </w:r>
      <w:r>
        <w:t>. New York, NY: Simon &amp; Schuster.</w:t>
      </w:r>
    </w:p>
    <w:p>
      <w:pPr>
        <w:pStyle w:val="style0"/>
        <w:rPr/>
      </w:pPr>
    </w:p>
    <w:p>
      <w:pPr>
        <w:pStyle w:val="style0"/>
        <w:rPr/>
      </w:pPr>
      <w:r>
        <w:t>Lin, W.L. </w:t>
      </w:r>
      <w:r>
        <w:rPr>
          <w:i/>
          <w:iCs/>
        </w:rPr>
        <w:t>et al.</w:t>
      </w:r>
      <w:r>
        <w:t> (2021) “Influence of green innovation strategy on brand value: The role of marketing capability and R&amp;D intensity,” </w:t>
      </w:r>
      <w:r>
        <w:rPr>
          <w:i/>
          <w:iCs/>
        </w:rPr>
        <w:t>Technological forecasting and social change</w:t>
      </w:r>
      <w:r>
        <w:t>, 171(120946), p. 120946. Available at: https://doi.org/10.1016/j.techfore.2021.120946.</w:t>
      </w:r>
    </w:p>
    <w:p>
      <w:pPr>
        <w:pStyle w:val="style0"/>
        <w:rPr/>
      </w:pPr>
      <w:r>
        <w:t>Pandita, D. (2022) “Innovation in talent management practices: creating an innovative employer branding strategy to attract generation Z,” </w:t>
      </w:r>
      <w:r>
        <w:rPr>
          <w:i/>
          <w:iCs/>
        </w:rPr>
        <w:t>International journal of innovation science</w:t>
      </w:r>
      <w:r>
        <w:t>, 14(3/4), pp. 556–569. Available at: https://doi.org/10.1108/ijis-10-2020-0217.</w:t>
      </w:r>
    </w:p>
    <w:p>
      <w:pPr>
        <w:pStyle w:val="style0"/>
        <w:rPr/>
      </w:pPr>
      <w:r>
        <w:t>Porter, S. (2018) “Five big things that have made Apple,” </w:t>
      </w:r>
      <w:r>
        <w:rPr>
          <w:i/>
          <w:iCs/>
        </w:rPr>
        <w:t>BBC</w:t>
      </w:r>
      <w:r>
        <w:t>, 3 August. Available at: https://www.bbc.com/news/business-45044963 (Accessed: December 11, 2025).</w:t>
      </w:r>
    </w:p>
    <w:p>
      <w:pPr>
        <w:pStyle w:val="style0"/>
        <w:rPr/>
      </w:pPr>
      <w:r>
        <w:t>Reuters (2025) </w:t>
      </w:r>
      <w:r>
        <w:rPr>
          <w:i/>
          <w:iCs/>
        </w:rPr>
        <w:t xml:space="preserve">CNN pulls stories from Apple News feed, </w:t>
      </w:r>
      <w:r>
        <w:rPr>
          <w:i/>
          <w:iCs/>
        </w:rPr>
        <w:t>Semafor</w:t>
      </w:r>
      <w:r>
        <w:rPr>
          <w:i/>
          <w:iCs/>
        </w:rPr>
        <w:t xml:space="preserve"> reports</w:t>
      </w:r>
      <w:r>
        <w:t>, </w:t>
      </w:r>
      <w:r>
        <w:rPr>
          <w:i/>
          <w:iCs/>
        </w:rPr>
        <w:t>Reuters.com</w:t>
      </w:r>
      <w:r>
        <w:t>. Available at: https://www.reuters.com/business/media-telecom/cnn-pulls-stories-apple-news-feed-semafor-reports-2025-11-24/ (Accessed: December 11, 2025).</w:t>
      </w:r>
    </w:p>
    <w:p>
      <w:pPr>
        <w:pStyle w:val="style0"/>
        <w:rPr/>
      </w:pPr>
      <w:r>
        <w:t>Yao, Q. </w:t>
      </w:r>
      <w:r>
        <w:rPr>
          <w:i/>
          <w:iCs/>
        </w:rPr>
        <w:t>et al.</w:t>
      </w:r>
      <w:r>
        <w:t> (2019) “Green innovation and brand equity: moderating effects of industrial institutions,” </w:t>
      </w:r>
      <w:r>
        <w:rPr>
          <w:i/>
          <w:iCs/>
        </w:rPr>
        <w:t>Asia Pacific journal of management</w:t>
      </w:r>
      <w:r>
        <w:t> [Preprint]. Available at: https://doi.org/10.1007/s10490-019-09664-2.</w:t>
      </w:r>
    </w:p>
    <w:p>
      <w:pPr>
        <w:pStyle w:val="style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2030204"/>
    <w:charset w:val="00"/>
    <w:family w:val="swiss"/>
    <w:pitch w:val="variable"/>
    <w:sig w:usb0="E0002AFF" w:usb1="4000ACFF" w:usb2="00000001" w:usb3="00000000" w:csb0="000001FF" w:csb1="00000000"/>
  </w:font>
  <w:font w:name="Arial">
    <w:altName w:val="Arial"/>
    <w:panose1 w:val="020b0604020002020204"/>
    <w:charset w:val="00"/>
    <w:family w:val="swiss"/>
    <w:pitch w:val="variable"/>
    <w:sig w:usb0="E0002AFF" w:usb1="C0007843" w:usb2="00000009" w:usb3="00000000" w:csb0="000001FF" w:csb1="00000000"/>
  </w:font>
  <w:font w:name="Times New Roman">
    <w:altName w:val="Times New Roman"/>
    <w:panose1 w:val="02020603050004020304"/>
    <w:charset w:val="00"/>
    <w:family w:val="roman"/>
    <w:pitch w:val="variable"/>
    <w:sig w:usb0="E0002AFF" w:usb1="C0007843" w:usb2="00000009" w:usb3="00000000" w:csb0="000001FF" w:csb1="00000000"/>
  </w:font>
  <w:font w:name="Calibri Light">
    <w:altName w:val="Calibri Light"/>
    <w:panose1 w:val="020f0302020002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Arial" w:eastAsia="Calibri" w:hAnsi="Calibri"/>
        <w:kern w:val="2"/>
        <w:sz w:val="22"/>
        <w:szCs w:val="22"/>
        <w:lang w:val="en-GB" w:bidi="ar-SA" w:eastAsia="en-US"/>
        <w14:ligatures xmlns:w14="http://schemas.microsoft.com/office/word/2010/wordml" w14:val="standardContextual"/>
      </w:rPr>
    </w:rPrDefault>
    <w:pPrDefault>
      <w:pPr>
        <w:spacing w:after="160" w:lineRule="auto" w:line="259"/>
      </w:pPr>
    </w:pPrDefault>
  </w:docDefaults>
  <w:style w:type="paragraph" w:default="1" w:styleId="style0">
    <w:name w:val="Normal"/>
    <w:next w:val="style0"/>
    <w:qFormat/>
    <w:pPr>
      <w:spacing w:lineRule="auto" w:line="360"/>
      <w:jc w:val="both"/>
    </w:pPr>
    <w:rPr>
      <w:rFonts w:ascii="Times New Roman" w:hAnsi="Times New Roman"/>
      <w:kern w:val="0"/>
      <w:sz w:val="24"/>
      <w14:ligatures xmlns:w14="http://schemas.microsoft.com/office/word/2010/wordml" w14:val="none"/>
    </w:rPr>
  </w:style>
  <w:style w:type="paragraph" w:styleId="style1">
    <w:name w:val="heading 1"/>
    <w:basedOn w:val="style0"/>
    <w:next w:val="style0"/>
    <w:link w:val="style4097"/>
    <w:qFormat/>
    <w:uiPriority w:val="9"/>
    <w:pPr>
      <w:keepNext/>
      <w:keepLines/>
      <w:spacing w:before="240" w:after="0"/>
      <w:outlineLvl w:val="0"/>
    </w:pPr>
    <w:rPr>
      <w:rFonts w:cs="Times New Roman" w:eastAsia="宋体"/>
      <w:b/>
      <w:bCs/>
      <w:color w:val="000000"/>
      <w:sz w:val="32"/>
      <w:szCs w:val="32"/>
    </w:rPr>
  </w:style>
  <w:style w:type="paragraph" w:styleId="style2">
    <w:name w:val="heading 2"/>
    <w:basedOn w:val="style0"/>
    <w:next w:val="style0"/>
    <w:link w:val="style4098"/>
    <w:qFormat/>
    <w:uiPriority w:val="9"/>
    <w:pPr>
      <w:keepNext/>
      <w:keepLines/>
      <w:spacing w:before="40" w:after="0"/>
      <w:outlineLvl w:val="1"/>
    </w:pPr>
    <w:rPr>
      <w:rFonts w:cs="Times New Roman" w:eastAsia="宋体"/>
      <w:b/>
      <w:color w:val="000000"/>
      <w:sz w:val="26"/>
      <w:szCs w:val="26"/>
    </w:rPr>
  </w:style>
  <w:style w:type="paragraph" w:styleId="style3">
    <w:name w:val="heading 3"/>
    <w:basedOn w:val="style0"/>
    <w:next w:val="style0"/>
    <w:link w:val="style4100"/>
    <w:qFormat/>
    <w:uiPriority w:val="9"/>
    <w:pPr>
      <w:keepNext/>
      <w:keepLines/>
      <w:spacing w:before="40" w:after="0"/>
      <w:outlineLvl w:val="2"/>
    </w:pPr>
    <w:rPr>
      <w:rFonts w:cs="Times New Roman" w:eastAsia="宋体"/>
      <w:color w:val="000000"/>
      <w:szCs w:val="24"/>
    </w:rPr>
  </w:style>
  <w:style w:type="paragraph" w:styleId="style4">
    <w:name w:val="heading 4"/>
    <w:basedOn w:val="style0"/>
    <w:next w:val="style0"/>
    <w:link w:val="style4101"/>
    <w:qFormat/>
    <w:uiPriority w:val="9"/>
    <w:pPr>
      <w:keepNext/>
      <w:keepLines/>
      <w:spacing w:before="80" w:after="40"/>
      <w:outlineLvl w:val="3"/>
    </w:pPr>
    <w:rPr>
      <w:rFonts w:ascii="Calibri" w:cs="Times New Roman" w:eastAsia="宋体" w:hAnsi="Calibri"/>
      <w:i/>
      <w:iCs/>
      <w:color w:val="2f5496"/>
    </w:rPr>
  </w:style>
  <w:style w:type="paragraph" w:styleId="style5">
    <w:name w:val="heading 5"/>
    <w:basedOn w:val="style0"/>
    <w:next w:val="style0"/>
    <w:link w:val="style4102"/>
    <w:qFormat/>
    <w:uiPriority w:val="9"/>
    <w:pPr>
      <w:keepNext/>
      <w:keepLines/>
      <w:spacing w:before="80" w:after="40"/>
      <w:outlineLvl w:val="4"/>
    </w:pPr>
    <w:rPr>
      <w:rFonts w:ascii="Calibri" w:cs="Times New Roman" w:eastAsia="宋体" w:hAnsi="Calibri"/>
      <w:color w:val="2f5496"/>
    </w:rPr>
  </w:style>
  <w:style w:type="paragraph" w:styleId="style6">
    <w:name w:val="heading 6"/>
    <w:basedOn w:val="style0"/>
    <w:next w:val="style0"/>
    <w:link w:val="style4103"/>
    <w:qFormat/>
    <w:uiPriority w:val="9"/>
    <w:pPr>
      <w:keepNext/>
      <w:keepLines/>
      <w:spacing w:before="40" w:after="0"/>
      <w:outlineLvl w:val="5"/>
    </w:pPr>
    <w:rPr>
      <w:rFonts w:ascii="Calibri" w:cs="Times New Roman" w:eastAsia="宋体" w:hAnsi="Calibri"/>
      <w:i/>
      <w:iCs/>
      <w:color w:val="595959"/>
    </w:rPr>
  </w:style>
  <w:style w:type="paragraph" w:styleId="style7">
    <w:name w:val="heading 7"/>
    <w:basedOn w:val="style0"/>
    <w:next w:val="style0"/>
    <w:link w:val="style4104"/>
    <w:qFormat/>
    <w:uiPriority w:val="9"/>
    <w:pPr>
      <w:keepNext/>
      <w:keepLines/>
      <w:spacing w:before="40" w:after="0"/>
      <w:outlineLvl w:val="6"/>
    </w:pPr>
    <w:rPr>
      <w:rFonts w:ascii="Calibri" w:cs="Times New Roman" w:eastAsia="宋体" w:hAnsi="Calibri"/>
      <w:color w:val="595959"/>
    </w:rPr>
  </w:style>
  <w:style w:type="paragraph" w:styleId="style8">
    <w:name w:val="heading 8"/>
    <w:basedOn w:val="style0"/>
    <w:next w:val="style0"/>
    <w:link w:val="style4105"/>
    <w:qFormat/>
    <w:uiPriority w:val="9"/>
    <w:pPr>
      <w:keepNext/>
      <w:keepLines/>
      <w:spacing w:after="0"/>
      <w:outlineLvl w:val="7"/>
    </w:pPr>
    <w:rPr>
      <w:rFonts w:ascii="Calibri" w:cs="Times New Roman" w:eastAsia="宋体" w:hAnsi="Calibri"/>
      <w:i/>
      <w:iCs/>
      <w:color w:val="272727"/>
    </w:rPr>
  </w:style>
  <w:style w:type="paragraph" w:styleId="style9">
    <w:name w:val="heading 9"/>
    <w:basedOn w:val="style0"/>
    <w:next w:val="style0"/>
    <w:link w:val="style4106"/>
    <w:qFormat/>
    <w:uiPriority w:val="9"/>
    <w:pPr>
      <w:keepNext/>
      <w:keepLines/>
      <w:spacing w:after="0"/>
      <w:outlineLvl w:val="8"/>
    </w:pPr>
    <w:rPr>
      <w:rFonts w:ascii="Calibri" w:cs="Times New Roman" w:eastAsia="宋体" w:hAnsi="Calibri"/>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c9e6003f-236e-41ca-a70b-5ed961c61aec"/>
    <w:basedOn w:val="style65"/>
    <w:next w:val="style4097"/>
    <w:link w:val="style1"/>
    <w:uiPriority w:val="9"/>
    <w:rPr>
      <w:rFonts w:ascii="Times New Roman" w:cs="Times New Roman" w:eastAsia="宋体" w:hAnsi="Times New Roman"/>
      <w:b/>
      <w:bCs/>
      <w:color w:val="000000"/>
      <w:kern w:val="0"/>
      <w:sz w:val="32"/>
      <w:szCs w:val="32"/>
      <w14:ligatures xmlns:w14="http://schemas.microsoft.com/office/word/2010/wordml" w14:val="none"/>
    </w:rPr>
  </w:style>
  <w:style w:type="character" w:customStyle="1" w:styleId="style4098">
    <w:name w:val="Heading 2 Char_9b755531-29dd-4056-9dea-05edc69acb4e"/>
    <w:basedOn w:val="style65"/>
    <w:next w:val="style4098"/>
    <w:link w:val="style2"/>
    <w:uiPriority w:val="9"/>
    <w:rPr>
      <w:rFonts w:ascii="Times New Roman" w:cs="Times New Roman" w:eastAsia="宋体" w:hAnsi="Times New Roman"/>
      <w:b/>
      <w:color w:val="000000"/>
      <w:sz w:val="26"/>
      <w:szCs w:val="26"/>
    </w:rPr>
  </w:style>
  <w:style w:type="paragraph" w:customStyle="1" w:styleId="style4099">
    <w:name w:val="Table"/>
    <w:basedOn w:val="style0"/>
    <w:next w:val="style44"/>
    <w:qFormat/>
    <w:pPr/>
  </w:style>
  <w:style w:type="paragraph" w:styleId="style44">
    <w:name w:val="table of authorities"/>
    <w:basedOn w:val="style0"/>
    <w:next w:val="style0"/>
    <w:uiPriority w:val="99"/>
    <w:pPr>
      <w:spacing w:after="0"/>
      <w:ind w:left="240" w:hanging="240"/>
    </w:pPr>
    <w:rPr/>
  </w:style>
  <w:style w:type="character" w:customStyle="1" w:styleId="style4100">
    <w:name w:val="Heading 3 Char_3e03204c-818c-4083-9183-14310e832071"/>
    <w:basedOn w:val="style65"/>
    <w:next w:val="style4100"/>
    <w:link w:val="style3"/>
    <w:uiPriority w:val="9"/>
    <w:rPr>
      <w:rFonts w:ascii="Times New Roman" w:cs="Times New Roman" w:eastAsia="宋体" w:hAnsi="Times New Roman"/>
      <w:color w:val="000000"/>
      <w:kern w:val="0"/>
      <w:sz w:val="24"/>
      <w:szCs w:val="24"/>
      <w14:ligatures xmlns:w14="http://schemas.microsoft.com/office/word/2010/wordml" w14:val="none"/>
    </w:rPr>
  </w:style>
  <w:style w:type="character" w:customStyle="1" w:styleId="style4101">
    <w:name w:val="Heading 4 Char_b60e634b-1a6b-41cb-9fc1-c7d00f8459ea"/>
    <w:basedOn w:val="style65"/>
    <w:next w:val="style4101"/>
    <w:link w:val="style4"/>
    <w:uiPriority w:val="9"/>
    <w:rPr>
      <w:rFonts w:cs="Times New Roman" w:eastAsia="宋体"/>
      <w:i/>
      <w:iCs/>
      <w:color w:val="2f5496"/>
      <w:kern w:val="0"/>
      <w:sz w:val="24"/>
      <w14:ligatures xmlns:w14="http://schemas.microsoft.com/office/word/2010/wordml" w14:val="none"/>
    </w:rPr>
  </w:style>
  <w:style w:type="character" w:customStyle="1" w:styleId="style4102">
    <w:name w:val="Heading 5 Char_710836c6-c0ff-4058-a7e8-5b1620048aba"/>
    <w:basedOn w:val="style65"/>
    <w:next w:val="style4102"/>
    <w:link w:val="style5"/>
    <w:uiPriority w:val="9"/>
    <w:rPr>
      <w:rFonts w:cs="Times New Roman" w:eastAsia="宋体"/>
      <w:color w:val="2f5496"/>
      <w:kern w:val="0"/>
      <w:sz w:val="24"/>
      <w14:ligatures xmlns:w14="http://schemas.microsoft.com/office/word/2010/wordml" w14:val="none"/>
    </w:rPr>
  </w:style>
  <w:style w:type="character" w:customStyle="1" w:styleId="style4103">
    <w:name w:val="Heading 6 Char_1932b8e6-519c-4112-b3b3-a5ce95cb7bd9"/>
    <w:basedOn w:val="style65"/>
    <w:next w:val="style4103"/>
    <w:link w:val="style6"/>
    <w:uiPriority w:val="9"/>
    <w:rPr>
      <w:rFonts w:cs="Times New Roman" w:eastAsia="宋体"/>
      <w:i/>
      <w:iCs/>
      <w:color w:val="595959"/>
      <w:kern w:val="0"/>
      <w:sz w:val="24"/>
      <w14:ligatures xmlns:w14="http://schemas.microsoft.com/office/word/2010/wordml" w14:val="none"/>
    </w:rPr>
  </w:style>
  <w:style w:type="character" w:customStyle="1" w:styleId="style4104">
    <w:name w:val="Heading 7 Char_2b97f2aa-44f7-4251-b558-82708db54951"/>
    <w:basedOn w:val="style65"/>
    <w:next w:val="style4104"/>
    <w:link w:val="style7"/>
    <w:uiPriority w:val="9"/>
    <w:rPr>
      <w:rFonts w:cs="Times New Roman" w:eastAsia="宋体"/>
      <w:color w:val="595959"/>
      <w:kern w:val="0"/>
      <w:sz w:val="24"/>
      <w14:ligatures xmlns:w14="http://schemas.microsoft.com/office/word/2010/wordml" w14:val="none"/>
    </w:rPr>
  </w:style>
  <w:style w:type="character" w:customStyle="1" w:styleId="style4105">
    <w:name w:val="Heading 8 Char_13bb2ff6-4f57-4103-bec6-20975cb84ef6"/>
    <w:basedOn w:val="style65"/>
    <w:next w:val="style4105"/>
    <w:link w:val="style8"/>
    <w:uiPriority w:val="9"/>
    <w:rPr>
      <w:rFonts w:cs="Times New Roman" w:eastAsia="宋体"/>
      <w:i/>
      <w:iCs/>
      <w:color w:val="272727"/>
      <w:kern w:val="0"/>
      <w:sz w:val="24"/>
      <w14:ligatures xmlns:w14="http://schemas.microsoft.com/office/word/2010/wordml" w14:val="none"/>
    </w:rPr>
  </w:style>
  <w:style w:type="character" w:customStyle="1" w:styleId="style4106">
    <w:name w:val="Heading 9 Char_7698f3be-90b0-402f-bd97-1973f8587b6b"/>
    <w:basedOn w:val="style65"/>
    <w:next w:val="style4106"/>
    <w:link w:val="style9"/>
    <w:uiPriority w:val="9"/>
    <w:rPr>
      <w:rFonts w:cs="Times New Roman" w:eastAsia="宋体"/>
      <w:color w:val="272727"/>
      <w:kern w:val="0"/>
      <w:sz w:val="24"/>
      <w14:ligatures xmlns:w14="http://schemas.microsoft.com/office/word/2010/wordml" w14:val="none"/>
    </w:rPr>
  </w:style>
  <w:style w:type="paragraph" w:styleId="style62">
    <w:name w:val="Title"/>
    <w:basedOn w:val="style0"/>
    <w:next w:val="style0"/>
    <w:link w:val="style4107"/>
    <w:qFormat/>
    <w:uiPriority w:val="10"/>
    <w:pPr>
      <w:spacing w:after="80" w:lineRule="auto" w:line="240"/>
      <w:contextualSpacing/>
    </w:pPr>
    <w:rPr>
      <w:rFonts w:ascii="Calibri Light" w:cs="Times New Roman" w:eastAsia="宋体" w:hAnsi="Calibri Light"/>
      <w:spacing w:val="-10"/>
      <w:kern w:val="28"/>
      <w:sz w:val="56"/>
      <w:szCs w:val="56"/>
    </w:rPr>
  </w:style>
  <w:style w:type="character" w:customStyle="1" w:styleId="style4107">
    <w:name w:val="Title Char_8b3baca6-0615-4697-8570-0299bb9dfa97"/>
    <w:basedOn w:val="style65"/>
    <w:next w:val="style4107"/>
    <w:link w:val="style62"/>
    <w:uiPriority w:val="10"/>
    <w:rPr>
      <w:rFonts w:ascii="Calibri Light" w:cs="Times New Roman" w:eastAsia="宋体" w:hAnsi="Calibri Light"/>
      <w:spacing w:val="-10"/>
      <w:kern w:val="28"/>
      <w:sz w:val="56"/>
      <w:szCs w:val="56"/>
      <w14:ligatures xmlns:w14="http://schemas.microsoft.com/office/word/2010/wordml" w14:val="none"/>
    </w:rPr>
  </w:style>
  <w:style w:type="paragraph" w:styleId="style74">
    <w:name w:val="Subtitle"/>
    <w:basedOn w:val="style0"/>
    <w:next w:val="style0"/>
    <w:link w:val="style4108"/>
    <w:qFormat/>
    <w:uiPriority w:val="11"/>
    <w:pPr>
      <w:numPr>
        <w:ilvl w:val="1"/>
        <w:numId w:val="0"/>
      </w:numPr>
    </w:pPr>
    <w:rPr>
      <w:rFonts w:ascii="Calibri" w:cs="Times New Roman" w:eastAsia="宋体" w:hAnsi="Calibri"/>
      <w:color w:val="595959"/>
      <w:spacing w:val="15"/>
      <w:sz w:val="28"/>
      <w:szCs w:val="28"/>
    </w:rPr>
  </w:style>
  <w:style w:type="character" w:customStyle="1" w:styleId="style4108">
    <w:name w:val="Subtitle Char"/>
    <w:basedOn w:val="style65"/>
    <w:next w:val="style4108"/>
    <w:link w:val="style74"/>
    <w:uiPriority w:val="11"/>
    <w:rPr>
      <w:rFonts w:cs="Times New Roman" w:eastAsia="宋体"/>
      <w:color w:val="595959"/>
      <w:spacing w:val="15"/>
      <w:kern w:val="0"/>
      <w:sz w:val="28"/>
      <w:szCs w:val="28"/>
      <w14:ligatures xmlns:w14="http://schemas.microsoft.com/office/word/2010/wordml" w14:val="none"/>
    </w:rPr>
  </w:style>
  <w:style w:type="paragraph" w:styleId="style180">
    <w:name w:val="Quote"/>
    <w:basedOn w:val="style0"/>
    <w:next w:val="style0"/>
    <w:link w:val="style4109"/>
    <w:qFormat/>
    <w:uiPriority w:val="29"/>
    <w:pPr>
      <w:spacing w:before="160"/>
      <w:jc w:val="center"/>
    </w:pPr>
    <w:rPr>
      <w:i/>
      <w:iCs/>
      <w:color w:val="404040"/>
    </w:rPr>
  </w:style>
  <w:style w:type="character" w:customStyle="1" w:styleId="style4109">
    <w:name w:val="Quote Char_68ee520c-1d33-4e81-a6a5-dff7c08163a8"/>
    <w:basedOn w:val="style65"/>
    <w:next w:val="style4109"/>
    <w:link w:val="style180"/>
    <w:uiPriority w:val="29"/>
    <w:rPr>
      <w:rFonts w:ascii="Times New Roman" w:hAnsi="Times New Roman"/>
      <w:i/>
      <w:iCs/>
      <w:color w:val="404040"/>
      <w:kern w:val="0"/>
      <w:sz w:val="24"/>
      <w14:ligatures xmlns:w14="http://schemas.microsoft.com/office/word/2010/wordml" w14:val="none"/>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i/>
      <w:iCs/>
      <w:color w:val="2f5496"/>
    </w:rPr>
  </w:style>
  <w:style w:type="paragraph" w:styleId="style181">
    <w:name w:val="Intense Quote"/>
    <w:basedOn w:val="style0"/>
    <w:next w:val="style0"/>
    <w:link w:val="style4110"/>
    <w:qFormat/>
    <w:uiPriority w:val="30"/>
    <w:pPr>
      <w:pBdr>
        <w:top w:val="single" w:sz="4" w:space="10" w:color="2f5496"/>
        <w:bottom w:val="single" w:sz="4" w:space="10" w:color="2f5496"/>
      </w:pBdr>
      <w:spacing w:before="360" w:after="360"/>
      <w:ind w:left="864" w:right="864"/>
      <w:jc w:val="center"/>
    </w:pPr>
    <w:rPr>
      <w:i/>
      <w:iCs/>
      <w:color w:val="2f5496"/>
    </w:rPr>
  </w:style>
  <w:style w:type="character" w:customStyle="1" w:styleId="style4110">
    <w:name w:val="Intense Quote Char_91fb78e3-a884-40be-9a9f-f548bc291947"/>
    <w:basedOn w:val="style65"/>
    <w:next w:val="style4110"/>
    <w:link w:val="style181"/>
    <w:uiPriority w:val="30"/>
    <w:rPr>
      <w:rFonts w:ascii="Times New Roman" w:hAnsi="Times New Roman"/>
      <w:i/>
      <w:iCs/>
      <w:color w:val="2f5496"/>
      <w:kern w:val="0"/>
      <w:sz w:val="24"/>
      <w14:ligatures xmlns:w14="http://schemas.microsoft.com/office/word/2010/wordml" w14:val="none"/>
    </w:rPr>
  </w:style>
  <w:style w:type="character" w:styleId="style263">
    <w:name w:val="Intense Reference"/>
    <w:basedOn w:val="style65"/>
    <w:next w:val="style263"/>
    <w:qFormat/>
    <w:uiPriority w:val="32"/>
    <w:rPr>
      <w:b/>
      <w:bCs/>
      <w:smallCaps/>
      <w:color w:val="2f5496"/>
      <w:spacing w:val="5"/>
    </w:rPr>
  </w:style>
  <w:style w:type="paragraph" w:styleId="style266">
    <w:name w:val="TOC Heading"/>
    <w:basedOn w:val="style1"/>
    <w:next w:val="style0"/>
    <w:qFormat/>
    <w:uiPriority w:val="39"/>
    <w:pPr>
      <w:spacing w:lineRule="auto" w:line="259"/>
      <w:jc w:val="left"/>
      <w:outlineLvl w:val="9"/>
    </w:pPr>
    <w:rPr>
      <w:rFonts w:ascii="Calibri Light" w:hAnsi="Calibri Light"/>
      <w:b w:val="false"/>
      <w:bCs w:val="false"/>
      <w:color w:val="2f5496"/>
      <w:lang w:val="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563c1"/>
      <w:u w:val="single"/>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2.jpeg"/><Relationship Id="rId9" Type="http://schemas.openxmlformats.org/officeDocument/2006/relationships/customXml" Target="../customXml/item1.xml"/><Relationship Id="rId5" Type="http://schemas.openxmlformats.org/officeDocument/2006/relationships/styles" Target="styles.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131FEE-657A-413F-BBB0-581318D744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Words>2740</Words>
  <Pages>12</Pages>
  <Characters>15865</Characters>
  <Application>WPS Office</Application>
  <DocSecurity>0</DocSecurity>
  <Paragraphs>86</Paragraphs>
  <ScaleCrop>false</ScaleCrop>
  <LinksUpToDate>false</LinksUpToDate>
  <CharactersWithSpaces>18548</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2025-12-14T13:33:00Z</dcterms:created>
  <dc:creator>Rubayet Hossain</dc:creator>
  <lastModifiedBy>CPH2487</lastModifiedBy>
  <dcterms:modified xsi:type="dcterms:W3CDTF">2025-12-19T11:33:38Z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095998ef-fe78-4a45-813d-7fd47cda8ef9</vt:lpwstr>
  </property>
  <property fmtid="{D5CDD505-2E9C-101B-9397-08002B2CF9AE}" pid="3" name="ICV">
    <vt:lpwstr>be19175b0c67465cb41b51d803837cee</vt:lpwstr>
  </property>
</Properties>
</file>