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91A78C" w14:textId="65F4808A" w:rsidR="00C465B1" w:rsidRPr="00C465B1" w:rsidRDefault="00C465B1" w:rsidP="00C465B1">
      <w:pPr>
        <w:jc w:val="center"/>
        <w:rPr>
          <w:rFonts w:eastAsia="Times New Roman" w:cs="Times New Roman"/>
          <w:b/>
          <w:bCs/>
          <w:szCs w:val="24"/>
        </w:rPr>
      </w:pPr>
      <w:r w:rsidRPr="00C465B1">
        <w:rPr>
          <w:rFonts w:eastAsia="Times New Roman" w:cs="Times New Roman"/>
          <w:b/>
          <w:bCs/>
          <w:noProof/>
          <w:szCs w:val="24"/>
        </w:rPr>
        <w:drawing>
          <wp:inline distT="0" distB="0" distL="0" distR="0" wp14:anchorId="52D15AB5" wp14:editId="3C7169CC">
            <wp:extent cx="5734050" cy="2393950"/>
            <wp:effectExtent l="0" t="0" r="0" b="6350"/>
            <wp:docPr id="2098810543" name="Picture 2"/>
            <wp:cNvGraphicFramePr/>
            <a:graphic xmlns:a="http://schemas.openxmlformats.org/drawingml/2006/main">
              <a:graphicData uri="http://schemas.openxmlformats.org/drawingml/2006/picture">
                <pic:pic xmlns:pic="http://schemas.openxmlformats.org/drawingml/2006/picture">
                  <pic:nvPicPr>
                    <pic:cNvPr id="780302143" name="Picture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393950"/>
                    </a:xfrm>
                    <a:prstGeom prst="rect">
                      <a:avLst/>
                    </a:prstGeom>
                    <a:ln>
                      <a:noFill/>
                    </a:ln>
                    <a:effectLst>
                      <a:softEdge rad="112500"/>
                    </a:effectLst>
                  </pic:spPr>
                </pic:pic>
              </a:graphicData>
            </a:graphic>
          </wp:inline>
        </w:drawing>
      </w:r>
    </w:p>
    <w:p w14:paraId="22D57EE0" w14:textId="77777777" w:rsidR="00C465B1" w:rsidRPr="006B2715" w:rsidRDefault="00C465B1" w:rsidP="006B2715">
      <w:pPr>
        <w:jc w:val="center"/>
        <w:rPr>
          <w:rFonts w:eastAsia="Times New Roman" w:cs="Times New Roman"/>
          <w:b/>
          <w:bCs/>
          <w:sz w:val="32"/>
          <w:szCs w:val="32"/>
        </w:rPr>
      </w:pPr>
      <w:proofErr w:type="spellStart"/>
      <w:r w:rsidRPr="006B2715">
        <w:rPr>
          <w:rFonts w:eastAsia="Times New Roman" w:cs="Times New Roman"/>
          <w:b/>
          <w:bCs/>
          <w:sz w:val="32"/>
          <w:szCs w:val="32"/>
        </w:rPr>
        <w:t>Programme</w:t>
      </w:r>
      <w:proofErr w:type="spellEnd"/>
      <w:r w:rsidRPr="006B2715">
        <w:rPr>
          <w:rFonts w:eastAsia="Times New Roman" w:cs="Times New Roman"/>
          <w:b/>
          <w:bCs/>
          <w:sz w:val="32"/>
          <w:szCs w:val="32"/>
        </w:rPr>
        <w:t>: Master of Business Administration</w:t>
      </w:r>
    </w:p>
    <w:p w14:paraId="7371291E" w14:textId="77777777" w:rsidR="00C465B1" w:rsidRPr="006B2715" w:rsidRDefault="00C465B1" w:rsidP="006B2715">
      <w:pPr>
        <w:jc w:val="center"/>
        <w:rPr>
          <w:rFonts w:eastAsia="Times New Roman" w:cs="Times New Roman"/>
          <w:b/>
          <w:bCs/>
          <w:sz w:val="32"/>
          <w:szCs w:val="32"/>
        </w:rPr>
      </w:pPr>
      <w:r w:rsidRPr="006B2715">
        <w:rPr>
          <w:rFonts w:eastAsia="Times New Roman" w:cs="Times New Roman"/>
          <w:b/>
          <w:bCs/>
          <w:sz w:val="32"/>
          <w:szCs w:val="32"/>
        </w:rPr>
        <w:t>Module: Marketing Management LCMB7024 ( BIRMINGHAM )</w:t>
      </w:r>
    </w:p>
    <w:p w14:paraId="57436A9E" w14:textId="77777777" w:rsidR="00C465B1" w:rsidRPr="006B2715" w:rsidRDefault="00C465B1" w:rsidP="006B2715">
      <w:pPr>
        <w:jc w:val="center"/>
        <w:rPr>
          <w:rFonts w:eastAsia="Times New Roman" w:cs="Times New Roman"/>
          <w:b/>
          <w:bCs/>
          <w:sz w:val="32"/>
          <w:szCs w:val="32"/>
        </w:rPr>
      </w:pPr>
      <w:r w:rsidRPr="006B2715">
        <w:rPr>
          <w:rFonts w:eastAsia="Times New Roman" w:cs="Times New Roman"/>
          <w:b/>
          <w:bCs/>
          <w:sz w:val="32"/>
          <w:szCs w:val="32"/>
        </w:rPr>
        <w:t xml:space="preserve">Assignment Title: Assessment Component 1: Marketing Environment Analysis </w:t>
      </w:r>
    </w:p>
    <w:p w14:paraId="505E2004" w14:textId="77777777" w:rsidR="00C465B1" w:rsidRPr="006B2715" w:rsidRDefault="00C465B1" w:rsidP="006B2715">
      <w:pPr>
        <w:jc w:val="center"/>
        <w:rPr>
          <w:rFonts w:eastAsia="Times New Roman" w:cs="Times New Roman"/>
          <w:b/>
          <w:bCs/>
          <w:sz w:val="32"/>
          <w:szCs w:val="32"/>
        </w:rPr>
      </w:pPr>
      <w:r w:rsidRPr="006B2715">
        <w:rPr>
          <w:rFonts w:eastAsia="Times New Roman" w:cs="Times New Roman"/>
          <w:b/>
          <w:bCs/>
          <w:sz w:val="32"/>
          <w:szCs w:val="32"/>
        </w:rPr>
        <w:t xml:space="preserve">Lecturer: Taonga Kaonga </w:t>
      </w:r>
      <w:proofErr w:type="spellStart"/>
      <w:r w:rsidRPr="006B2715">
        <w:rPr>
          <w:rFonts w:eastAsia="Times New Roman" w:cs="Times New Roman"/>
          <w:b/>
          <w:bCs/>
          <w:sz w:val="32"/>
          <w:szCs w:val="32"/>
        </w:rPr>
        <w:t>Sobere-Snithers</w:t>
      </w:r>
      <w:proofErr w:type="spellEnd"/>
      <w:r w:rsidRPr="006B2715">
        <w:rPr>
          <w:rFonts w:eastAsia="Times New Roman" w:cs="Times New Roman"/>
          <w:b/>
          <w:bCs/>
          <w:sz w:val="32"/>
          <w:szCs w:val="32"/>
        </w:rPr>
        <w:t xml:space="preserve"> </w:t>
      </w:r>
    </w:p>
    <w:p w14:paraId="45FF1384" w14:textId="77777777" w:rsidR="00C465B1" w:rsidRPr="006B2715" w:rsidRDefault="00C465B1" w:rsidP="006B2715">
      <w:pPr>
        <w:jc w:val="center"/>
        <w:rPr>
          <w:rFonts w:eastAsia="Times New Roman" w:cs="Times New Roman"/>
          <w:b/>
          <w:bCs/>
          <w:sz w:val="32"/>
          <w:szCs w:val="32"/>
          <w:lang w:val="en-GB"/>
        </w:rPr>
      </w:pPr>
      <w:r w:rsidRPr="006B2715">
        <w:rPr>
          <w:rFonts w:eastAsia="Times New Roman" w:cs="Times New Roman"/>
          <w:b/>
          <w:bCs/>
          <w:sz w:val="32"/>
          <w:szCs w:val="32"/>
          <w:lang w:val="en-GB"/>
        </w:rPr>
        <w:t>Student’s name and ID: HAMAD AL-JORANI 2310312</w:t>
      </w:r>
    </w:p>
    <w:p w14:paraId="659C9587" w14:textId="74202E9E" w:rsidR="00C465B1" w:rsidRPr="006B2715" w:rsidRDefault="00C465B1" w:rsidP="006B2715">
      <w:pPr>
        <w:jc w:val="center"/>
        <w:rPr>
          <w:rFonts w:eastAsia="Times New Roman" w:cs="Times New Roman"/>
          <w:b/>
          <w:bCs/>
          <w:sz w:val="32"/>
          <w:szCs w:val="32"/>
        </w:rPr>
      </w:pPr>
      <w:r w:rsidRPr="006B2715">
        <w:rPr>
          <w:rFonts w:eastAsia="Times New Roman" w:cs="Times New Roman"/>
          <w:b/>
          <w:bCs/>
          <w:sz w:val="32"/>
          <w:szCs w:val="32"/>
        </w:rPr>
        <w:t>final word count: 2,7</w:t>
      </w:r>
      <w:r w:rsidR="006B2715">
        <w:rPr>
          <w:rFonts w:eastAsia="Times New Roman" w:cs="Times New Roman"/>
          <w:b/>
          <w:bCs/>
          <w:sz w:val="32"/>
          <w:szCs w:val="32"/>
        </w:rPr>
        <w:t>41</w:t>
      </w:r>
      <w:r w:rsidRPr="006B2715">
        <w:rPr>
          <w:rFonts w:eastAsia="Times New Roman" w:cs="Times New Roman"/>
          <w:b/>
          <w:bCs/>
          <w:sz w:val="32"/>
          <w:szCs w:val="32"/>
        </w:rPr>
        <w:t xml:space="preserve"> Words</w:t>
      </w:r>
    </w:p>
    <w:p w14:paraId="43214F6F" w14:textId="77777777" w:rsidR="00C465B1" w:rsidRPr="006B2715" w:rsidRDefault="00C465B1" w:rsidP="006B2715">
      <w:pPr>
        <w:jc w:val="center"/>
        <w:rPr>
          <w:rFonts w:eastAsia="Times New Roman" w:cs="Times New Roman"/>
          <w:b/>
          <w:bCs/>
          <w:sz w:val="32"/>
          <w:szCs w:val="32"/>
        </w:rPr>
      </w:pPr>
      <w:r w:rsidRPr="006B2715">
        <w:rPr>
          <w:rFonts w:eastAsia="Times New Roman" w:cs="Times New Roman"/>
          <w:b/>
          <w:bCs/>
          <w:sz w:val="32"/>
          <w:szCs w:val="32"/>
        </w:rPr>
        <w:t>submission date 22/10/2026</w:t>
      </w:r>
    </w:p>
    <w:p w14:paraId="3A2B6EBB" w14:textId="77777777" w:rsidR="00C465B1" w:rsidRDefault="00C465B1" w:rsidP="00C465B1">
      <w:pPr>
        <w:jc w:val="center"/>
        <w:rPr>
          <w:rFonts w:eastAsia="Times New Roman" w:cs="Times New Roman"/>
          <w:b/>
          <w:bCs/>
          <w:szCs w:val="24"/>
        </w:rPr>
      </w:pPr>
    </w:p>
    <w:p w14:paraId="569E136C" w14:textId="77777777" w:rsidR="00C465B1" w:rsidRDefault="00C465B1" w:rsidP="00C465B1">
      <w:pPr>
        <w:jc w:val="center"/>
        <w:rPr>
          <w:rFonts w:eastAsia="Times New Roman" w:cs="Times New Roman"/>
          <w:b/>
          <w:bCs/>
          <w:szCs w:val="24"/>
        </w:rPr>
      </w:pPr>
    </w:p>
    <w:p w14:paraId="28B6A7D3" w14:textId="77777777" w:rsidR="00C465B1" w:rsidRDefault="00C465B1" w:rsidP="00C465B1">
      <w:pPr>
        <w:jc w:val="center"/>
        <w:rPr>
          <w:rFonts w:eastAsia="Times New Roman" w:cs="Times New Roman"/>
          <w:b/>
          <w:bCs/>
          <w:szCs w:val="24"/>
        </w:rPr>
      </w:pPr>
    </w:p>
    <w:p w14:paraId="7A6A315E" w14:textId="77777777" w:rsidR="00C465B1" w:rsidRDefault="00C465B1" w:rsidP="00C465B1">
      <w:pPr>
        <w:jc w:val="center"/>
        <w:rPr>
          <w:rFonts w:eastAsia="Times New Roman" w:cs="Times New Roman"/>
          <w:b/>
          <w:bCs/>
          <w:szCs w:val="24"/>
        </w:rPr>
      </w:pPr>
    </w:p>
    <w:p w14:paraId="0D9D271C" w14:textId="77777777" w:rsidR="00C465B1" w:rsidRDefault="00C465B1" w:rsidP="00C465B1">
      <w:pPr>
        <w:jc w:val="center"/>
        <w:rPr>
          <w:rFonts w:eastAsia="Times New Roman" w:cs="Times New Roman"/>
          <w:b/>
          <w:bCs/>
          <w:szCs w:val="24"/>
        </w:rPr>
      </w:pPr>
    </w:p>
    <w:p w14:paraId="42A91424" w14:textId="77777777" w:rsidR="00C465B1" w:rsidRDefault="00C465B1" w:rsidP="00C465B1">
      <w:pPr>
        <w:jc w:val="center"/>
        <w:rPr>
          <w:rFonts w:eastAsia="Times New Roman" w:cs="Times New Roman"/>
          <w:b/>
          <w:bCs/>
          <w:szCs w:val="24"/>
        </w:rPr>
      </w:pPr>
    </w:p>
    <w:p w14:paraId="39A0C48A" w14:textId="77777777" w:rsidR="00C465B1" w:rsidRDefault="00C465B1" w:rsidP="00C465B1">
      <w:pPr>
        <w:jc w:val="center"/>
        <w:rPr>
          <w:rFonts w:eastAsia="Times New Roman" w:cs="Times New Roman"/>
          <w:b/>
          <w:bCs/>
          <w:szCs w:val="24"/>
        </w:rPr>
      </w:pPr>
    </w:p>
    <w:p w14:paraId="1B441D8C" w14:textId="77777777" w:rsidR="00C465B1" w:rsidRDefault="00C465B1" w:rsidP="00C465B1">
      <w:pPr>
        <w:jc w:val="center"/>
        <w:rPr>
          <w:rFonts w:eastAsia="Times New Roman" w:cs="Times New Roman"/>
          <w:b/>
          <w:bCs/>
          <w:szCs w:val="24"/>
        </w:rPr>
      </w:pPr>
    </w:p>
    <w:p w14:paraId="4CC85BFF" w14:textId="77777777" w:rsidR="00C465B1" w:rsidRDefault="00C465B1" w:rsidP="00C465B1">
      <w:pPr>
        <w:jc w:val="center"/>
        <w:rPr>
          <w:rFonts w:eastAsia="Times New Roman" w:cs="Times New Roman"/>
          <w:b/>
          <w:bCs/>
          <w:szCs w:val="24"/>
        </w:rPr>
      </w:pPr>
    </w:p>
    <w:p w14:paraId="2D19BF82" w14:textId="77777777" w:rsidR="00C465B1" w:rsidRDefault="00C465B1" w:rsidP="00C465B1">
      <w:pPr>
        <w:jc w:val="center"/>
        <w:rPr>
          <w:rFonts w:eastAsia="Times New Roman" w:cs="Times New Roman"/>
          <w:b/>
          <w:bCs/>
          <w:szCs w:val="24"/>
        </w:rPr>
      </w:pPr>
    </w:p>
    <w:p w14:paraId="2BC09737" w14:textId="77777777" w:rsidR="00C465B1" w:rsidRDefault="00C465B1" w:rsidP="00C465B1">
      <w:pPr>
        <w:jc w:val="center"/>
        <w:rPr>
          <w:rFonts w:eastAsia="Times New Roman" w:cs="Times New Roman"/>
          <w:b/>
          <w:bCs/>
          <w:szCs w:val="24"/>
        </w:rPr>
      </w:pPr>
    </w:p>
    <w:p w14:paraId="443C479E" w14:textId="77777777" w:rsidR="00C465B1" w:rsidRDefault="00C465B1" w:rsidP="00C465B1">
      <w:pPr>
        <w:jc w:val="center"/>
        <w:rPr>
          <w:rFonts w:eastAsia="Times New Roman" w:cs="Times New Roman"/>
          <w:b/>
          <w:bCs/>
          <w:szCs w:val="24"/>
        </w:rPr>
      </w:pPr>
    </w:p>
    <w:p w14:paraId="71F56AE1" w14:textId="77777777" w:rsidR="00C465B1" w:rsidRDefault="00C465B1" w:rsidP="00C465B1">
      <w:pPr>
        <w:jc w:val="center"/>
        <w:rPr>
          <w:rFonts w:eastAsia="Times New Roman" w:cs="Times New Roman"/>
          <w:b/>
          <w:bCs/>
          <w:szCs w:val="24"/>
        </w:rPr>
      </w:pPr>
    </w:p>
    <w:p w14:paraId="26E43FB7" w14:textId="77777777" w:rsidR="00C465B1" w:rsidRDefault="00C465B1" w:rsidP="00C465B1">
      <w:pPr>
        <w:jc w:val="center"/>
        <w:rPr>
          <w:rFonts w:eastAsia="Times New Roman" w:cs="Times New Roman"/>
          <w:b/>
          <w:bCs/>
          <w:szCs w:val="24"/>
        </w:rPr>
      </w:pPr>
    </w:p>
    <w:p w14:paraId="7F868414" w14:textId="77777777" w:rsidR="00C465B1" w:rsidRDefault="00C465B1" w:rsidP="00C465B1">
      <w:pPr>
        <w:jc w:val="center"/>
        <w:rPr>
          <w:rFonts w:eastAsia="Times New Roman" w:cs="Times New Roman"/>
          <w:b/>
          <w:bCs/>
          <w:szCs w:val="24"/>
        </w:rPr>
      </w:pPr>
    </w:p>
    <w:p w14:paraId="0F8ECCA8" w14:textId="77777777" w:rsidR="00C465B1" w:rsidRDefault="00C465B1" w:rsidP="00C465B1">
      <w:pPr>
        <w:jc w:val="center"/>
        <w:rPr>
          <w:rFonts w:eastAsia="Times New Roman" w:cs="Times New Roman"/>
          <w:b/>
          <w:bCs/>
          <w:szCs w:val="24"/>
        </w:rPr>
      </w:pPr>
    </w:p>
    <w:p w14:paraId="7204948E" w14:textId="77777777" w:rsidR="00C465B1" w:rsidRDefault="00C465B1" w:rsidP="00C465B1">
      <w:pPr>
        <w:jc w:val="center"/>
        <w:rPr>
          <w:rFonts w:eastAsia="Times New Roman" w:cs="Times New Roman"/>
          <w:b/>
          <w:bCs/>
          <w:szCs w:val="24"/>
          <w:lang w:val="en-GB"/>
        </w:rPr>
      </w:pPr>
    </w:p>
    <w:p w14:paraId="2F4B036B" w14:textId="77777777" w:rsidR="00C465B1" w:rsidRDefault="00C465B1" w:rsidP="00C465B1">
      <w:pPr>
        <w:jc w:val="center"/>
        <w:rPr>
          <w:rFonts w:eastAsia="Times New Roman" w:cs="Times New Roman"/>
          <w:b/>
          <w:bCs/>
          <w:szCs w:val="24"/>
          <w:lang w:val="en-GB"/>
        </w:rPr>
      </w:pPr>
    </w:p>
    <w:p w14:paraId="7BFB878E" w14:textId="77777777" w:rsidR="00C465B1" w:rsidRDefault="00C465B1" w:rsidP="00C465B1">
      <w:pPr>
        <w:jc w:val="center"/>
        <w:rPr>
          <w:rFonts w:eastAsia="Times New Roman" w:cs="Times New Roman"/>
          <w:b/>
          <w:bCs/>
          <w:szCs w:val="24"/>
          <w:lang w:val="en-GB"/>
        </w:rPr>
      </w:pPr>
    </w:p>
    <w:p w14:paraId="529E5221" w14:textId="77777777" w:rsidR="00C465B1" w:rsidRDefault="00C465B1" w:rsidP="00C465B1">
      <w:pPr>
        <w:jc w:val="center"/>
        <w:rPr>
          <w:rFonts w:eastAsia="Times New Roman" w:cs="Times New Roman"/>
          <w:b/>
          <w:bCs/>
          <w:szCs w:val="24"/>
          <w:lang w:val="en-GB"/>
        </w:rPr>
      </w:pPr>
    </w:p>
    <w:p w14:paraId="01F44AD5" w14:textId="77777777" w:rsidR="00C465B1" w:rsidRPr="00C465B1" w:rsidRDefault="00C465B1" w:rsidP="00C465B1">
      <w:pPr>
        <w:jc w:val="center"/>
        <w:rPr>
          <w:rFonts w:eastAsia="Times New Roman" w:cs="Times New Roman"/>
          <w:b/>
          <w:bCs/>
          <w:szCs w:val="24"/>
          <w:lang w:val="en-GB"/>
        </w:rPr>
      </w:pPr>
    </w:p>
    <w:p w14:paraId="49485003" w14:textId="77777777" w:rsidR="006F6365" w:rsidRPr="00046D1B" w:rsidRDefault="00F15D0F">
      <w:pPr>
        <w:jc w:val="center"/>
        <w:rPr>
          <w:rFonts w:cs="Times New Roman"/>
          <w:b/>
          <w:bCs/>
          <w:szCs w:val="24"/>
          <w:lang w:val="en-GB"/>
        </w:rPr>
      </w:pPr>
      <w:r w:rsidRPr="00046D1B">
        <w:rPr>
          <w:rFonts w:eastAsia="Times New Roman" w:cs="Times New Roman"/>
          <w:b/>
          <w:bCs/>
          <w:szCs w:val="24"/>
          <w:lang w:val="en-GB"/>
        </w:rPr>
        <w:t>Table of Contents</w:t>
      </w:r>
    </w:p>
    <w:p w14:paraId="76326372" w14:textId="77777777" w:rsidR="006F6365" w:rsidRPr="00046D1B" w:rsidRDefault="006F6365">
      <w:pPr>
        <w:rPr>
          <w:rFonts w:cs="Times New Roman"/>
          <w:szCs w:val="24"/>
          <w:lang w:val="en-GB"/>
        </w:rPr>
      </w:pPr>
    </w:p>
    <w:p w14:paraId="477B364E" w14:textId="77777777" w:rsidR="006F6365" w:rsidRPr="00046D1B" w:rsidRDefault="00F15D0F">
      <w:pPr>
        <w:tabs>
          <w:tab w:val="right" w:leader="dot" w:pos="8640"/>
        </w:tabs>
        <w:spacing w:after="60"/>
        <w:rPr>
          <w:rFonts w:cs="Times New Roman"/>
          <w:b/>
          <w:bCs/>
          <w:szCs w:val="24"/>
          <w:lang w:val="en-GB"/>
        </w:rPr>
      </w:pPr>
      <w:r w:rsidRPr="00046D1B">
        <w:rPr>
          <w:rFonts w:eastAsia="Times New Roman" w:cs="Times New Roman"/>
          <w:b/>
          <w:bCs/>
          <w:szCs w:val="24"/>
          <w:lang w:val="en-GB"/>
        </w:rPr>
        <w:t>Task 1: Marketing Environment Analysis</w:t>
      </w:r>
      <w:r w:rsidRPr="00046D1B">
        <w:rPr>
          <w:rFonts w:eastAsia="Times New Roman" w:cs="Times New Roman"/>
          <w:b/>
          <w:bCs/>
          <w:szCs w:val="24"/>
          <w:lang w:val="en-GB"/>
        </w:rPr>
        <w:tab/>
        <w:t>4</w:t>
      </w:r>
    </w:p>
    <w:p w14:paraId="5CDF1DC2" w14:textId="77777777" w:rsidR="006F6365" w:rsidRPr="00046D1B" w:rsidRDefault="00F15D0F">
      <w:pPr>
        <w:tabs>
          <w:tab w:val="right" w:leader="dot" w:pos="8640"/>
        </w:tabs>
        <w:spacing w:after="60"/>
        <w:ind w:left="360"/>
        <w:rPr>
          <w:rFonts w:cs="Times New Roman"/>
          <w:szCs w:val="24"/>
          <w:lang w:val="en-GB"/>
        </w:rPr>
      </w:pPr>
      <w:r w:rsidRPr="00046D1B">
        <w:rPr>
          <w:rFonts w:eastAsia="Times New Roman" w:cs="Times New Roman"/>
          <w:szCs w:val="24"/>
          <w:lang w:val="en-GB"/>
        </w:rPr>
        <w:t>Environmental Actor</w:t>
      </w:r>
      <w:r w:rsidRPr="00046D1B">
        <w:rPr>
          <w:rFonts w:eastAsia="Times New Roman" w:cs="Times New Roman"/>
          <w:szCs w:val="24"/>
          <w:lang w:val="en-GB"/>
        </w:rPr>
        <w:tab/>
        <w:t>4</w:t>
      </w:r>
    </w:p>
    <w:p w14:paraId="768589FE" w14:textId="77777777" w:rsidR="006F6365" w:rsidRPr="00046D1B" w:rsidRDefault="00F15D0F">
      <w:pPr>
        <w:tabs>
          <w:tab w:val="right" w:leader="dot" w:pos="8640"/>
        </w:tabs>
        <w:spacing w:after="60"/>
        <w:ind w:left="360"/>
        <w:rPr>
          <w:rFonts w:cs="Times New Roman"/>
          <w:szCs w:val="24"/>
          <w:lang w:val="en-GB"/>
        </w:rPr>
      </w:pPr>
      <w:r w:rsidRPr="00046D1B">
        <w:rPr>
          <w:rFonts w:eastAsia="Times New Roman" w:cs="Times New Roman"/>
          <w:szCs w:val="24"/>
          <w:lang w:val="en-GB"/>
        </w:rPr>
        <w:t>Political Actor</w:t>
      </w:r>
      <w:r w:rsidRPr="00046D1B">
        <w:rPr>
          <w:rFonts w:eastAsia="Times New Roman" w:cs="Times New Roman"/>
          <w:szCs w:val="24"/>
          <w:lang w:val="en-GB"/>
        </w:rPr>
        <w:tab/>
        <w:t>5</w:t>
      </w:r>
    </w:p>
    <w:p w14:paraId="7C0BD266" w14:textId="77777777" w:rsidR="006F6365" w:rsidRPr="00046D1B" w:rsidRDefault="00F15D0F">
      <w:pPr>
        <w:tabs>
          <w:tab w:val="right" w:leader="dot" w:pos="8640"/>
        </w:tabs>
        <w:spacing w:after="60"/>
        <w:ind w:left="360"/>
        <w:rPr>
          <w:rFonts w:cs="Times New Roman"/>
          <w:szCs w:val="24"/>
          <w:lang w:val="en-GB"/>
        </w:rPr>
      </w:pPr>
      <w:r w:rsidRPr="00046D1B">
        <w:rPr>
          <w:rFonts w:eastAsia="Times New Roman" w:cs="Times New Roman"/>
          <w:szCs w:val="24"/>
          <w:lang w:val="en-GB"/>
        </w:rPr>
        <w:t>Legal Actor</w:t>
      </w:r>
      <w:r w:rsidRPr="00046D1B">
        <w:rPr>
          <w:rFonts w:eastAsia="Times New Roman" w:cs="Times New Roman"/>
          <w:szCs w:val="24"/>
          <w:lang w:val="en-GB"/>
        </w:rPr>
        <w:tab/>
        <w:t>6</w:t>
      </w:r>
    </w:p>
    <w:p w14:paraId="6C93A071" w14:textId="77777777" w:rsidR="006F6365" w:rsidRPr="00046D1B" w:rsidRDefault="00F15D0F">
      <w:pPr>
        <w:tabs>
          <w:tab w:val="right" w:leader="dot" w:pos="8640"/>
        </w:tabs>
        <w:spacing w:after="60"/>
        <w:rPr>
          <w:rFonts w:cs="Times New Roman"/>
          <w:b/>
          <w:bCs/>
          <w:szCs w:val="24"/>
          <w:lang w:val="en-GB"/>
        </w:rPr>
      </w:pPr>
      <w:r w:rsidRPr="00046D1B">
        <w:rPr>
          <w:rFonts w:eastAsia="Times New Roman" w:cs="Times New Roman"/>
          <w:b/>
          <w:bCs/>
          <w:szCs w:val="24"/>
          <w:lang w:val="en-GB"/>
        </w:rPr>
        <w:t>Task 2: Strategic Growth and Competitive Positioning</w:t>
      </w:r>
      <w:r w:rsidRPr="00046D1B">
        <w:rPr>
          <w:rFonts w:eastAsia="Times New Roman" w:cs="Times New Roman"/>
          <w:b/>
          <w:bCs/>
          <w:szCs w:val="24"/>
          <w:lang w:val="en-GB"/>
        </w:rPr>
        <w:tab/>
        <w:t>8</w:t>
      </w:r>
    </w:p>
    <w:p w14:paraId="767F05F6" w14:textId="77777777" w:rsidR="006F6365" w:rsidRPr="00046D1B" w:rsidRDefault="00F15D0F">
      <w:pPr>
        <w:tabs>
          <w:tab w:val="right" w:leader="dot" w:pos="8640"/>
        </w:tabs>
        <w:spacing w:after="60"/>
        <w:ind w:left="360"/>
        <w:rPr>
          <w:rFonts w:cs="Times New Roman"/>
          <w:szCs w:val="24"/>
          <w:lang w:val="en-GB"/>
        </w:rPr>
      </w:pPr>
      <w:r w:rsidRPr="00046D1B">
        <w:rPr>
          <w:rFonts w:eastAsia="Times New Roman" w:cs="Times New Roman"/>
          <w:szCs w:val="24"/>
          <w:lang w:val="en-GB"/>
        </w:rPr>
        <w:t>Porter's Generic Strategy: Differentiation</w:t>
      </w:r>
      <w:r w:rsidRPr="00046D1B">
        <w:rPr>
          <w:rFonts w:eastAsia="Times New Roman" w:cs="Times New Roman"/>
          <w:szCs w:val="24"/>
          <w:lang w:val="en-GB"/>
        </w:rPr>
        <w:tab/>
        <w:t>9</w:t>
      </w:r>
    </w:p>
    <w:p w14:paraId="02149267" w14:textId="77777777" w:rsidR="006F6365" w:rsidRPr="00046D1B" w:rsidRDefault="00F15D0F">
      <w:pPr>
        <w:tabs>
          <w:tab w:val="right" w:leader="dot" w:pos="8640"/>
        </w:tabs>
        <w:spacing w:after="60"/>
        <w:rPr>
          <w:rFonts w:cs="Times New Roman"/>
          <w:b/>
          <w:bCs/>
          <w:szCs w:val="24"/>
          <w:lang w:val="en-GB"/>
        </w:rPr>
      </w:pPr>
      <w:r w:rsidRPr="00046D1B">
        <w:rPr>
          <w:rFonts w:eastAsia="Times New Roman" w:cs="Times New Roman"/>
          <w:b/>
          <w:bCs/>
          <w:szCs w:val="24"/>
          <w:lang w:val="en-GB"/>
        </w:rPr>
        <w:t>Task 3: Managerial and Professional Reflection</w:t>
      </w:r>
      <w:r w:rsidRPr="00046D1B">
        <w:rPr>
          <w:rFonts w:eastAsia="Times New Roman" w:cs="Times New Roman"/>
          <w:b/>
          <w:bCs/>
          <w:szCs w:val="24"/>
          <w:lang w:val="en-GB"/>
        </w:rPr>
        <w:tab/>
        <w:t>11</w:t>
      </w:r>
    </w:p>
    <w:p w14:paraId="6A411969" w14:textId="77777777" w:rsidR="006F6365" w:rsidRPr="00046D1B" w:rsidRDefault="00F15D0F">
      <w:pPr>
        <w:tabs>
          <w:tab w:val="right" w:leader="dot" w:pos="8640"/>
        </w:tabs>
        <w:spacing w:after="60"/>
        <w:rPr>
          <w:rFonts w:eastAsia="Times New Roman" w:cs="Times New Roman"/>
          <w:b/>
          <w:bCs/>
          <w:szCs w:val="24"/>
          <w:lang w:val="en-GB"/>
        </w:rPr>
      </w:pPr>
      <w:r w:rsidRPr="00046D1B">
        <w:rPr>
          <w:rFonts w:eastAsia="Times New Roman" w:cs="Times New Roman"/>
          <w:b/>
          <w:bCs/>
          <w:szCs w:val="24"/>
          <w:lang w:val="en-GB"/>
        </w:rPr>
        <w:t>References</w:t>
      </w:r>
      <w:r w:rsidRPr="00046D1B">
        <w:rPr>
          <w:rFonts w:eastAsia="Times New Roman" w:cs="Times New Roman"/>
          <w:b/>
          <w:bCs/>
          <w:szCs w:val="24"/>
          <w:lang w:val="en-GB"/>
        </w:rPr>
        <w:tab/>
        <w:t>13</w:t>
      </w:r>
    </w:p>
    <w:p w14:paraId="39F4C40C" w14:textId="48936A6D" w:rsidR="00505923" w:rsidRPr="00046D1B" w:rsidRDefault="00505923">
      <w:pPr>
        <w:tabs>
          <w:tab w:val="right" w:leader="dot" w:pos="8640"/>
        </w:tabs>
        <w:spacing w:after="60"/>
        <w:rPr>
          <w:rFonts w:cs="Times New Roman"/>
          <w:b/>
          <w:bCs/>
          <w:szCs w:val="24"/>
          <w:lang w:val="en-GB"/>
        </w:rPr>
      </w:pPr>
      <w:r w:rsidRPr="00046D1B">
        <w:rPr>
          <w:rFonts w:eastAsia="Times New Roman" w:cs="Times New Roman"/>
          <w:b/>
          <w:bCs/>
          <w:szCs w:val="24"/>
          <w:lang w:val="en-GB"/>
        </w:rPr>
        <w:t>List of Abbreviations</w:t>
      </w:r>
      <w:r w:rsidRPr="00046D1B">
        <w:rPr>
          <w:rFonts w:eastAsia="Times New Roman" w:cs="Times New Roman"/>
          <w:b/>
          <w:bCs/>
          <w:szCs w:val="24"/>
          <w:lang w:val="en-GB"/>
        </w:rPr>
        <w:tab/>
        <w:t>14</w:t>
      </w:r>
    </w:p>
    <w:p w14:paraId="5E78C07D" w14:textId="77777777" w:rsidR="006F6365" w:rsidRDefault="00F15D0F">
      <w:pPr>
        <w:rPr>
          <w:rFonts w:cs="Times New Roman"/>
          <w:szCs w:val="24"/>
          <w:lang w:val="en-GB"/>
        </w:rPr>
      </w:pPr>
      <w:r w:rsidRPr="00046D1B">
        <w:rPr>
          <w:rFonts w:cs="Times New Roman"/>
          <w:szCs w:val="24"/>
          <w:lang w:val="en-GB"/>
        </w:rPr>
        <w:br w:type="page"/>
      </w:r>
    </w:p>
    <w:p w14:paraId="4F2B812B" w14:textId="77777777" w:rsidR="00C465B1" w:rsidRPr="006B2715" w:rsidRDefault="00C465B1" w:rsidP="00C465B1">
      <w:pPr>
        <w:jc w:val="center"/>
        <w:rPr>
          <w:rFonts w:asciiTheme="minorBidi" w:eastAsia="Times New Roman" w:hAnsiTheme="minorBidi"/>
          <w:b/>
          <w:bCs/>
          <w:szCs w:val="24"/>
        </w:rPr>
      </w:pPr>
      <w:r w:rsidRPr="006B2715">
        <w:rPr>
          <w:rFonts w:asciiTheme="minorBidi" w:eastAsia="Times New Roman" w:hAnsiTheme="minorBidi"/>
          <w:b/>
          <w:bCs/>
          <w:szCs w:val="24"/>
        </w:rPr>
        <w:lastRenderedPageBreak/>
        <w:t>Marketing Environment Analysis and Lower-Carbon Growth Strategy</w:t>
      </w:r>
    </w:p>
    <w:p w14:paraId="32A06ABC" w14:textId="77777777" w:rsidR="00C465B1" w:rsidRPr="006B2715" w:rsidRDefault="00C465B1">
      <w:pPr>
        <w:rPr>
          <w:rFonts w:asciiTheme="minorBidi" w:hAnsiTheme="minorBidi"/>
          <w:szCs w:val="24"/>
        </w:rPr>
      </w:pPr>
    </w:p>
    <w:p w14:paraId="7F1912D2" w14:textId="3FBB2A19" w:rsidR="008236E4" w:rsidRPr="006B2715" w:rsidRDefault="008236E4" w:rsidP="00DD7443">
      <w:pPr>
        <w:jc w:val="center"/>
        <w:rPr>
          <w:rFonts w:asciiTheme="minorBidi" w:eastAsia="Times New Roman" w:hAnsiTheme="minorBidi"/>
          <w:b/>
          <w:bCs/>
          <w:color w:val="000000"/>
          <w:szCs w:val="24"/>
          <w:lang w:val="en-GB"/>
        </w:rPr>
      </w:pPr>
      <w:r w:rsidRPr="006B2715">
        <w:rPr>
          <w:rFonts w:asciiTheme="minorBidi" w:eastAsia="Times New Roman" w:hAnsiTheme="minorBidi"/>
          <w:b/>
          <w:bCs/>
          <w:color w:val="000000"/>
          <w:szCs w:val="24"/>
          <w:lang w:val="en-GB"/>
        </w:rPr>
        <w:t>Marketing Environment Analysis</w:t>
      </w:r>
    </w:p>
    <w:p w14:paraId="19C34FC8" w14:textId="1CCBA095" w:rsidR="00623AFB" w:rsidRPr="006B2715" w:rsidRDefault="008236E4" w:rsidP="00D46983">
      <w:pPr>
        <w:jc w:val="both"/>
        <w:rPr>
          <w:rFonts w:asciiTheme="minorBidi" w:eastAsia="Times New Roman" w:hAnsiTheme="minorBidi"/>
          <w:color w:val="000000"/>
          <w:szCs w:val="24"/>
          <w:lang w:val="en-GB"/>
        </w:rPr>
      </w:pPr>
      <w:r w:rsidRPr="006B2715">
        <w:rPr>
          <w:rFonts w:asciiTheme="minorBidi" w:eastAsia="Times New Roman" w:hAnsiTheme="minorBidi"/>
          <w:color w:val="000000"/>
          <w:szCs w:val="24"/>
          <w:lang w:val="en-GB"/>
        </w:rPr>
        <w:t xml:space="preserve">BHP Group Limited (BHP) is a global resources company headquartered in Australia with major interests in iron ore and copper, creating </w:t>
      </w:r>
      <w:r w:rsidR="00D46983" w:rsidRPr="006B2715">
        <w:rPr>
          <w:rFonts w:asciiTheme="minorBidi" w:eastAsia="Times New Roman" w:hAnsiTheme="minorBidi"/>
          <w:color w:val="000000"/>
          <w:szCs w:val="24"/>
          <w:lang w:val="en-GB"/>
        </w:rPr>
        <w:t xml:space="preserve">strategic tension </w:t>
      </w:r>
      <w:r w:rsidR="00C465B1" w:rsidRPr="006B2715">
        <w:rPr>
          <w:rFonts w:asciiTheme="minorBidi" w:eastAsia="Times New Roman" w:hAnsiTheme="minorBidi"/>
          <w:color w:val="000000"/>
          <w:szCs w:val="24"/>
        </w:rPr>
        <w:t>because mining has</w:t>
      </w:r>
      <w:r w:rsidR="00D46983" w:rsidRPr="006B2715">
        <w:rPr>
          <w:rFonts w:asciiTheme="minorBidi" w:eastAsia="Times New Roman" w:hAnsiTheme="minorBidi"/>
          <w:color w:val="000000"/>
          <w:szCs w:val="24"/>
          <w:lang w:val="en-GB"/>
        </w:rPr>
        <w:t xml:space="preserve"> a high environmental impact; however, these resources are </w:t>
      </w:r>
      <w:r w:rsidR="00046D1B" w:rsidRPr="006B2715">
        <w:rPr>
          <w:rFonts w:asciiTheme="minorBidi" w:eastAsia="Times New Roman" w:hAnsiTheme="minorBidi"/>
          <w:color w:val="000000"/>
          <w:szCs w:val="24"/>
          <w:lang w:val="en-GB"/>
        </w:rPr>
        <w:t>vital</w:t>
      </w:r>
      <w:r w:rsidR="00D46983" w:rsidRPr="006B2715">
        <w:rPr>
          <w:rFonts w:asciiTheme="minorBidi" w:eastAsia="Times New Roman" w:hAnsiTheme="minorBidi"/>
          <w:color w:val="000000"/>
          <w:szCs w:val="24"/>
          <w:lang w:val="en-GB"/>
        </w:rPr>
        <w:t xml:space="preserve"> for electrification, infrastructure, and the transition</w:t>
      </w:r>
      <w:r w:rsidRPr="006B2715">
        <w:rPr>
          <w:rFonts w:asciiTheme="minorBidi" w:eastAsia="Times New Roman" w:hAnsiTheme="minorBidi"/>
          <w:color w:val="000000"/>
          <w:szCs w:val="24"/>
          <w:lang w:val="en-GB"/>
        </w:rPr>
        <w:t xml:space="preserve"> to a low-carbon economy. </w:t>
      </w:r>
      <w:r w:rsidR="00D46983" w:rsidRPr="006B2715">
        <w:rPr>
          <w:rFonts w:asciiTheme="minorBidi" w:eastAsia="Times New Roman" w:hAnsiTheme="minorBidi"/>
          <w:color w:val="000000"/>
          <w:szCs w:val="24"/>
          <w:lang w:val="en-GB"/>
        </w:rPr>
        <w:t xml:space="preserve">For the first time in FY2026, copper contributed </w:t>
      </w:r>
      <w:r w:rsidR="00046D1B" w:rsidRPr="006B2715">
        <w:rPr>
          <w:rFonts w:asciiTheme="minorBidi" w:eastAsia="Times New Roman" w:hAnsiTheme="minorBidi"/>
          <w:color w:val="000000"/>
          <w:szCs w:val="24"/>
          <w:lang w:val="en-GB"/>
        </w:rPr>
        <w:t>towards m</w:t>
      </w:r>
      <w:r w:rsidR="00D46983" w:rsidRPr="006B2715">
        <w:rPr>
          <w:rFonts w:asciiTheme="minorBidi" w:eastAsia="Times New Roman" w:hAnsiTheme="minorBidi"/>
          <w:color w:val="000000"/>
          <w:szCs w:val="24"/>
          <w:lang w:val="en-GB"/>
        </w:rPr>
        <w:t>ore than half of BHP's underlying earnings before interest, tax, depreciation and amortisation (EBITDA), with production at</w:t>
      </w:r>
      <w:r w:rsidRPr="006B2715">
        <w:rPr>
          <w:rFonts w:asciiTheme="minorBidi" w:eastAsia="Times New Roman" w:hAnsiTheme="minorBidi"/>
          <w:color w:val="000000"/>
          <w:szCs w:val="24"/>
          <w:lang w:val="en-GB"/>
        </w:rPr>
        <w:t xml:space="preserve"> approximately 2 million tonnes (Mt) (BHP, 2026a). </w:t>
      </w:r>
    </w:p>
    <w:p w14:paraId="7FF40A35" w14:textId="3BFEA501" w:rsidR="008236E4" w:rsidRPr="006B2715" w:rsidRDefault="008236E4" w:rsidP="00D46983">
      <w:pPr>
        <w:jc w:val="both"/>
        <w:rPr>
          <w:rFonts w:asciiTheme="minorBidi" w:eastAsia="Times New Roman" w:hAnsiTheme="minorBidi"/>
          <w:color w:val="000000"/>
          <w:szCs w:val="24"/>
          <w:lang w:val="en-GB"/>
        </w:rPr>
      </w:pPr>
      <w:proofErr w:type="spellStart"/>
      <w:r w:rsidRPr="006B2715">
        <w:rPr>
          <w:rFonts w:asciiTheme="minorBidi" w:eastAsia="Times New Roman" w:hAnsiTheme="minorBidi"/>
          <w:color w:val="000000"/>
          <w:szCs w:val="24"/>
          <w:lang w:val="da-DK"/>
        </w:rPr>
        <w:t>Consistent</w:t>
      </w:r>
      <w:proofErr w:type="spellEnd"/>
      <w:r w:rsidRPr="006B2715">
        <w:rPr>
          <w:rFonts w:asciiTheme="minorBidi" w:eastAsia="Times New Roman" w:hAnsiTheme="minorBidi"/>
          <w:color w:val="000000"/>
          <w:szCs w:val="24"/>
          <w:lang w:val="da-DK"/>
        </w:rPr>
        <w:t xml:space="preserve"> with </w:t>
      </w:r>
      <w:proofErr w:type="spellStart"/>
      <w:r w:rsidRPr="006B2715">
        <w:rPr>
          <w:rFonts w:asciiTheme="minorBidi" w:eastAsia="Times New Roman" w:hAnsiTheme="minorBidi"/>
          <w:color w:val="000000"/>
          <w:szCs w:val="24"/>
          <w:lang w:val="da-DK"/>
        </w:rPr>
        <w:t>Kotler</w:t>
      </w:r>
      <w:proofErr w:type="spellEnd"/>
      <w:r w:rsidRPr="006B2715">
        <w:rPr>
          <w:rFonts w:asciiTheme="minorBidi" w:eastAsia="Times New Roman" w:hAnsiTheme="minorBidi"/>
          <w:color w:val="000000"/>
          <w:szCs w:val="24"/>
          <w:lang w:val="da-DK"/>
        </w:rPr>
        <w:t xml:space="preserve"> et al.' </w:t>
      </w:r>
      <w:r w:rsidRPr="006B2715">
        <w:rPr>
          <w:rFonts w:asciiTheme="minorBidi" w:eastAsia="Times New Roman" w:hAnsiTheme="minorBidi"/>
          <w:color w:val="000000"/>
          <w:szCs w:val="24"/>
          <w:lang w:val="en-GB"/>
        </w:rPr>
        <w:t xml:space="preserve">(2024, pp. 115-117) emphasis on analysing external marketing forces, this analysis focuses on Environmental, Political and Legal actors influencing BHP's transition. </w:t>
      </w:r>
      <w:r w:rsidR="00D46983" w:rsidRPr="006B2715">
        <w:rPr>
          <w:rFonts w:asciiTheme="minorBidi" w:eastAsia="Times New Roman" w:hAnsiTheme="minorBidi"/>
          <w:color w:val="000000"/>
          <w:szCs w:val="24"/>
          <w:lang w:val="en-GB"/>
        </w:rPr>
        <w:t>Together, these actors show how environmental pressures, government policy, and enforceable requirements shape BHP's strategic options</w:t>
      </w:r>
      <w:r w:rsidRPr="006B2715">
        <w:rPr>
          <w:rFonts w:asciiTheme="minorBidi" w:eastAsia="Times New Roman" w:hAnsiTheme="minorBidi"/>
          <w:color w:val="000000"/>
          <w:szCs w:val="24"/>
          <w:lang w:val="en-GB"/>
        </w:rPr>
        <w:t xml:space="preserve">. </w:t>
      </w:r>
      <w:r w:rsidR="00C465B1" w:rsidRPr="006B2715">
        <w:rPr>
          <w:rFonts w:asciiTheme="minorBidi" w:eastAsia="Times New Roman" w:hAnsiTheme="minorBidi"/>
          <w:color w:val="000000"/>
          <w:szCs w:val="24"/>
          <w:lang w:val="en-GB"/>
        </w:rPr>
        <w:t>This analysis evaluates the external forces influencing BHP and their impact on market attractiveness, production requirements,</w:t>
      </w:r>
      <w:r w:rsidR="00623AFB" w:rsidRPr="006B2715">
        <w:rPr>
          <w:rFonts w:asciiTheme="minorBidi" w:eastAsia="Times New Roman" w:hAnsiTheme="minorBidi"/>
          <w:color w:val="000000"/>
          <w:szCs w:val="24"/>
          <w:lang w:val="en-GB"/>
        </w:rPr>
        <w:t xml:space="preserve"> and BHP's lower-carbon value proposition</w:t>
      </w:r>
      <w:r w:rsidRPr="006B2715">
        <w:rPr>
          <w:rFonts w:asciiTheme="minorBidi" w:eastAsia="Times New Roman" w:hAnsiTheme="minorBidi"/>
          <w:color w:val="000000"/>
          <w:szCs w:val="24"/>
          <w:lang w:val="en-GB"/>
        </w:rPr>
        <w:t>.</w:t>
      </w:r>
    </w:p>
    <w:p w14:paraId="50388046" w14:textId="77777777" w:rsidR="008236E4" w:rsidRPr="006B2715" w:rsidRDefault="008236E4" w:rsidP="00DD7443">
      <w:pPr>
        <w:jc w:val="center"/>
        <w:rPr>
          <w:rFonts w:asciiTheme="minorBidi" w:eastAsia="Times New Roman" w:hAnsiTheme="minorBidi"/>
          <w:b/>
          <w:bCs/>
          <w:color w:val="000000"/>
          <w:szCs w:val="24"/>
          <w:lang w:val="en-GB"/>
        </w:rPr>
      </w:pPr>
      <w:r w:rsidRPr="006B2715">
        <w:rPr>
          <w:rFonts w:asciiTheme="minorBidi" w:eastAsia="Times New Roman" w:hAnsiTheme="minorBidi"/>
          <w:b/>
          <w:bCs/>
          <w:color w:val="000000"/>
          <w:szCs w:val="24"/>
          <w:lang w:val="en-GB"/>
        </w:rPr>
        <w:t>Environmental Actor</w:t>
      </w:r>
    </w:p>
    <w:p w14:paraId="6B8E8429" w14:textId="4C2D9A40" w:rsidR="00623AFB" w:rsidRPr="006B2715" w:rsidRDefault="008236E4" w:rsidP="00D46983">
      <w:pPr>
        <w:jc w:val="both"/>
        <w:rPr>
          <w:rFonts w:asciiTheme="minorBidi" w:eastAsia="Times New Roman" w:hAnsiTheme="minorBidi"/>
          <w:color w:val="000000"/>
          <w:szCs w:val="24"/>
          <w:lang w:val="en-GB"/>
        </w:rPr>
      </w:pPr>
      <w:r w:rsidRPr="006B2715">
        <w:rPr>
          <w:rFonts w:asciiTheme="minorBidi" w:eastAsia="Times New Roman" w:hAnsiTheme="minorBidi"/>
          <w:color w:val="000000"/>
          <w:szCs w:val="24"/>
          <w:lang w:val="en-GB"/>
        </w:rPr>
        <w:t xml:space="preserve">Environmental pressures </w:t>
      </w:r>
      <w:r w:rsidR="00D46983" w:rsidRPr="006B2715">
        <w:rPr>
          <w:rFonts w:asciiTheme="minorBidi" w:eastAsia="Times New Roman" w:hAnsiTheme="minorBidi"/>
          <w:color w:val="000000"/>
          <w:szCs w:val="24"/>
          <w:lang w:val="en-GB"/>
        </w:rPr>
        <w:t>threaten</w:t>
      </w:r>
      <w:r w:rsidRPr="006B2715">
        <w:rPr>
          <w:rFonts w:asciiTheme="minorBidi" w:eastAsia="Times New Roman" w:hAnsiTheme="minorBidi"/>
          <w:color w:val="000000"/>
          <w:szCs w:val="24"/>
          <w:lang w:val="en-GB"/>
        </w:rPr>
        <w:t xml:space="preserve"> both the environmental sustainability and financial viability of BHP's current production model. Mining extraction, processing</w:t>
      </w:r>
      <w:r w:rsidR="00D46983" w:rsidRPr="006B2715">
        <w:rPr>
          <w:rFonts w:asciiTheme="minorBidi" w:eastAsia="Times New Roman" w:hAnsiTheme="minorBidi"/>
          <w:color w:val="000000"/>
          <w:szCs w:val="24"/>
          <w:lang w:val="en-GB"/>
        </w:rPr>
        <w:t>, and transport are energy-intensive and face increasing pressure to reduce environmental impacts</w:t>
      </w:r>
      <w:r w:rsidRPr="006B2715">
        <w:rPr>
          <w:rFonts w:asciiTheme="minorBidi" w:eastAsia="Times New Roman" w:hAnsiTheme="minorBidi"/>
          <w:color w:val="000000"/>
          <w:szCs w:val="24"/>
          <w:lang w:val="en-GB"/>
        </w:rPr>
        <w:t xml:space="preserve"> (Gholami, </w:t>
      </w:r>
      <w:proofErr w:type="spellStart"/>
      <w:r w:rsidRPr="006B2715">
        <w:rPr>
          <w:rFonts w:asciiTheme="minorBidi" w:eastAsia="Times New Roman" w:hAnsiTheme="minorBidi"/>
          <w:color w:val="000000"/>
          <w:szCs w:val="24"/>
          <w:lang w:val="en-GB"/>
        </w:rPr>
        <w:t>Tokac</w:t>
      </w:r>
      <w:proofErr w:type="spellEnd"/>
      <w:r w:rsidRPr="006B2715">
        <w:rPr>
          <w:rFonts w:asciiTheme="minorBidi" w:eastAsia="Times New Roman" w:hAnsiTheme="minorBidi"/>
          <w:color w:val="000000"/>
          <w:szCs w:val="24"/>
          <w:lang w:val="en-GB"/>
        </w:rPr>
        <w:t xml:space="preserve"> and Zhang, 2024). </w:t>
      </w:r>
      <w:r w:rsidR="00F07305" w:rsidRPr="006B2715">
        <w:rPr>
          <w:rFonts w:asciiTheme="minorBidi" w:eastAsia="Times New Roman" w:hAnsiTheme="minorBidi"/>
          <w:color w:val="000000"/>
          <w:szCs w:val="24"/>
        </w:rPr>
        <w:t xml:space="preserve">Environmental pressure extends beyond </w:t>
      </w:r>
      <w:r w:rsidRPr="006B2715">
        <w:rPr>
          <w:rFonts w:asciiTheme="minorBidi" w:eastAsia="Times New Roman" w:hAnsiTheme="minorBidi"/>
          <w:color w:val="000000"/>
          <w:szCs w:val="24"/>
          <w:lang w:val="en-GB"/>
        </w:rPr>
        <w:t>carbon</w:t>
      </w:r>
      <w:r w:rsidR="00623AFB" w:rsidRPr="006B2715">
        <w:rPr>
          <w:rFonts w:asciiTheme="minorBidi" w:eastAsia="Times New Roman" w:hAnsiTheme="minorBidi"/>
          <w:color w:val="000000"/>
          <w:szCs w:val="24"/>
          <w:lang w:val="en-GB"/>
        </w:rPr>
        <w:t xml:space="preserve"> emissions</w:t>
      </w:r>
      <w:r w:rsidRPr="006B2715">
        <w:rPr>
          <w:rFonts w:asciiTheme="minorBidi" w:eastAsia="Times New Roman" w:hAnsiTheme="minorBidi"/>
          <w:color w:val="000000"/>
          <w:szCs w:val="24"/>
          <w:lang w:val="en-GB"/>
        </w:rPr>
        <w:t xml:space="preserve">: critical-mineral development may </w:t>
      </w:r>
      <w:r w:rsidR="00D46983" w:rsidRPr="006B2715">
        <w:rPr>
          <w:rFonts w:asciiTheme="minorBidi" w:eastAsia="Times New Roman" w:hAnsiTheme="minorBidi"/>
          <w:color w:val="000000"/>
          <w:szCs w:val="24"/>
          <w:lang w:val="en-GB"/>
        </w:rPr>
        <w:t>increase water shortages, ecological impacts,</w:t>
      </w:r>
      <w:r w:rsidRPr="006B2715">
        <w:rPr>
          <w:rFonts w:asciiTheme="minorBidi" w:eastAsia="Times New Roman" w:hAnsiTheme="minorBidi"/>
          <w:color w:val="000000"/>
          <w:szCs w:val="24"/>
          <w:lang w:val="en-GB"/>
        </w:rPr>
        <w:t xml:space="preserve"> and community conflicts, including in Australian and Chilean mining regions (Berthet et al., 2024). </w:t>
      </w:r>
    </w:p>
    <w:p w14:paraId="229DE25C" w14:textId="48A7D7E8" w:rsidR="008236E4" w:rsidRPr="006B2715" w:rsidRDefault="008236E4" w:rsidP="00D46983">
      <w:pPr>
        <w:jc w:val="both"/>
        <w:rPr>
          <w:rFonts w:asciiTheme="minorBidi" w:eastAsia="Times New Roman" w:hAnsiTheme="minorBidi"/>
          <w:color w:val="000000"/>
          <w:szCs w:val="24"/>
          <w:lang w:val="en-GB"/>
        </w:rPr>
      </w:pPr>
      <w:r w:rsidRPr="006B2715">
        <w:rPr>
          <w:rFonts w:asciiTheme="minorBidi" w:eastAsia="Times New Roman" w:hAnsiTheme="minorBidi"/>
          <w:color w:val="000000"/>
          <w:szCs w:val="24"/>
          <w:lang w:val="en-GB"/>
        </w:rPr>
        <w:t xml:space="preserve">BHP reported operational greenhouse gas emissions of 9.4 million tonnes of carbon dioxide equivalent (MtCO2-e) in FY2026, </w:t>
      </w:r>
      <w:r w:rsidR="00D46983" w:rsidRPr="006B2715">
        <w:rPr>
          <w:rFonts w:asciiTheme="minorBidi" w:eastAsia="Times New Roman" w:hAnsiTheme="minorBidi"/>
          <w:color w:val="000000"/>
          <w:szCs w:val="24"/>
          <w:lang w:val="en-GB"/>
        </w:rPr>
        <w:t xml:space="preserve">33% lower than its adjusted FY2020 baseline; however, this decline reflects the temporary suspension of Western Australia Nickel </w:t>
      </w:r>
      <w:r w:rsidRPr="006B2715">
        <w:rPr>
          <w:rFonts w:asciiTheme="minorBidi" w:eastAsia="Times New Roman" w:hAnsiTheme="minorBidi"/>
          <w:color w:val="000000"/>
          <w:szCs w:val="24"/>
          <w:lang w:val="en-GB"/>
        </w:rPr>
        <w:t xml:space="preserve">(BHP, 2026a). </w:t>
      </w:r>
      <w:r w:rsidR="00623AFB" w:rsidRPr="006B2715">
        <w:rPr>
          <w:rFonts w:asciiTheme="minorBidi" w:eastAsia="Times New Roman" w:hAnsiTheme="minorBidi"/>
          <w:color w:val="000000"/>
          <w:szCs w:val="24"/>
          <w:lang w:val="en-GB"/>
        </w:rPr>
        <w:t>The reduction t</w:t>
      </w:r>
      <w:r w:rsidR="00A63E0E" w:rsidRPr="006B2715">
        <w:rPr>
          <w:rFonts w:asciiTheme="minorBidi" w:eastAsia="Times New Roman" w:hAnsiTheme="minorBidi"/>
          <w:color w:val="000000"/>
          <w:szCs w:val="24"/>
          <w:lang w:val="en-GB"/>
        </w:rPr>
        <w:t>hus</w:t>
      </w:r>
      <w:r w:rsidR="00623AFB" w:rsidRPr="006B2715">
        <w:rPr>
          <w:rFonts w:asciiTheme="minorBidi" w:eastAsia="Times New Roman" w:hAnsiTheme="minorBidi"/>
          <w:color w:val="000000"/>
          <w:szCs w:val="24"/>
          <w:lang w:val="en-GB"/>
        </w:rPr>
        <w:t xml:space="preserve"> </w:t>
      </w:r>
      <w:r w:rsidR="00A63E0E" w:rsidRPr="006B2715">
        <w:rPr>
          <w:rFonts w:asciiTheme="minorBidi" w:eastAsia="Times New Roman" w:hAnsiTheme="minorBidi"/>
          <w:color w:val="000000"/>
          <w:szCs w:val="24"/>
          <w:lang w:val="en-GB"/>
        </w:rPr>
        <w:t>indicates</w:t>
      </w:r>
      <w:r w:rsidR="00623AFB" w:rsidRPr="006B2715">
        <w:rPr>
          <w:rFonts w:asciiTheme="minorBidi" w:eastAsia="Times New Roman" w:hAnsiTheme="minorBidi"/>
          <w:color w:val="000000"/>
          <w:szCs w:val="24"/>
          <w:lang w:val="en-GB"/>
        </w:rPr>
        <w:t xml:space="preserve"> improvement, but not necessarily structural </w:t>
      </w:r>
      <w:r w:rsidR="00A63E0E" w:rsidRPr="006B2715">
        <w:rPr>
          <w:rFonts w:asciiTheme="minorBidi" w:eastAsia="Times New Roman" w:hAnsiTheme="minorBidi"/>
          <w:color w:val="000000"/>
          <w:szCs w:val="24"/>
          <w:lang w:val="en-GB"/>
        </w:rPr>
        <w:t>decarbonization throughout</w:t>
      </w:r>
      <w:r w:rsidR="00623AFB" w:rsidRPr="006B2715">
        <w:rPr>
          <w:rFonts w:asciiTheme="minorBidi" w:eastAsia="Times New Roman" w:hAnsiTheme="minorBidi"/>
          <w:color w:val="000000"/>
          <w:szCs w:val="24"/>
          <w:lang w:val="en-GB"/>
        </w:rPr>
        <w:t xml:space="preserve"> the portfolio. From a marketing perspective, BHP</w:t>
      </w:r>
      <w:r w:rsidR="00A63E0E" w:rsidRPr="006B2715">
        <w:rPr>
          <w:rFonts w:asciiTheme="minorBidi" w:eastAsia="Times New Roman" w:hAnsiTheme="minorBidi"/>
          <w:color w:val="000000"/>
          <w:szCs w:val="24"/>
          <w:lang w:val="en-GB"/>
        </w:rPr>
        <w:t xml:space="preserve"> should</w:t>
      </w:r>
      <w:r w:rsidR="00623AFB" w:rsidRPr="006B2715">
        <w:rPr>
          <w:rFonts w:asciiTheme="minorBidi" w:eastAsia="Times New Roman" w:hAnsiTheme="minorBidi"/>
          <w:color w:val="000000"/>
          <w:szCs w:val="24"/>
          <w:lang w:val="en-GB"/>
        </w:rPr>
        <w:t xml:space="preserve"> prove that lower-emissions supply reflects real improvements in production performance</w:t>
      </w:r>
      <w:r w:rsidRPr="006B2715">
        <w:rPr>
          <w:rFonts w:asciiTheme="minorBidi" w:eastAsia="Times New Roman" w:hAnsiTheme="minorBidi"/>
          <w:b/>
          <w:bCs/>
          <w:color w:val="000000"/>
          <w:szCs w:val="24"/>
          <w:lang w:val="en-GB"/>
        </w:rPr>
        <w:t>.</w:t>
      </w:r>
    </w:p>
    <w:p w14:paraId="421A0B49" w14:textId="77777777" w:rsidR="00523A18" w:rsidRPr="006B2715" w:rsidRDefault="008236E4" w:rsidP="00D46983">
      <w:pPr>
        <w:jc w:val="both"/>
        <w:rPr>
          <w:rFonts w:asciiTheme="minorBidi" w:eastAsia="Times New Roman" w:hAnsiTheme="minorBidi"/>
          <w:color w:val="000000"/>
          <w:szCs w:val="24"/>
          <w:lang w:val="en-GB"/>
        </w:rPr>
      </w:pPr>
      <w:r w:rsidRPr="006B2715">
        <w:rPr>
          <w:rFonts w:asciiTheme="minorBidi" w:eastAsia="Times New Roman" w:hAnsiTheme="minorBidi"/>
          <w:color w:val="000000"/>
          <w:szCs w:val="24"/>
          <w:lang w:val="en-GB"/>
        </w:rPr>
        <w:t xml:space="preserve">Ironically, the shift </w:t>
      </w:r>
      <w:r w:rsidR="00D46983" w:rsidRPr="006B2715">
        <w:rPr>
          <w:rFonts w:asciiTheme="minorBidi" w:eastAsia="Times New Roman" w:hAnsiTheme="minorBidi"/>
          <w:color w:val="000000"/>
          <w:szCs w:val="24"/>
          <w:lang w:val="en-GB"/>
        </w:rPr>
        <w:t>that pressures the mining industry also</w:t>
      </w:r>
      <w:r w:rsidRPr="006B2715">
        <w:rPr>
          <w:rFonts w:asciiTheme="minorBidi" w:eastAsia="Times New Roman" w:hAnsiTheme="minorBidi"/>
          <w:color w:val="000000"/>
          <w:szCs w:val="24"/>
          <w:lang w:val="en-GB"/>
        </w:rPr>
        <w:t xml:space="preserve"> makes copper more commercially appealing. The International Energy Agency (IEA, 2026) identifies </w:t>
      </w:r>
      <w:r w:rsidRPr="006B2715">
        <w:rPr>
          <w:rFonts w:asciiTheme="minorBidi" w:eastAsia="Times New Roman" w:hAnsiTheme="minorBidi"/>
          <w:color w:val="000000"/>
          <w:szCs w:val="24"/>
          <w:lang w:val="en-GB"/>
        </w:rPr>
        <w:lastRenderedPageBreak/>
        <w:t>copper as a strategically significant material in energy, transport, construction, and digital infrastructure</w:t>
      </w:r>
      <w:r w:rsidR="00D46983" w:rsidRPr="006B2715">
        <w:rPr>
          <w:rFonts w:asciiTheme="minorBidi" w:eastAsia="Times New Roman" w:hAnsiTheme="minorBidi"/>
          <w:color w:val="000000"/>
          <w:szCs w:val="24"/>
          <w:lang w:val="en-GB"/>
        </w:rPr>
        <w:t xml:space="preserve"> and projects that, based on announced projects and current policy settings, primary supply availability could fall by about 25% by </w:t>
      </w:r>
      <w:r w:rsidRPr="006B2715">
        <w:rPr>
          <w:rFonts w:asciiTheme="minorBidi" w:eastAsia="Times New Roman" w:hAnsiTheme="minorBidi"/>
          <w:color w:val="000000"/>
          <w:szCs w:val="24"/>
          <w:lang w:val="en-GB"/>
        </w:rPr>
        <w:t xml:space="preserve">2035. It also notes a 40% decrease in average copper ore grades since 1991, </w:t>
      </w:r>
      <w:r w:rsidR="00D46983" w:rsidRPr="006B2715">
        <w:rPr>
          <w:rFonts w:asciiTheme="minorBidi" w:eastAsia="Times New Roman" w:hAnsiTheme="minorBidi"/>
          <w:color w:val="000000"/>
          <w:szCs w:val="24"/>
          <w:lang w:val="en-GB"/>
        </w:rPr>
        <w:t>increased capital intensity, and longer</w:t>
      </w:r>
      <w:r w:rsidRPr="006B2715">
        <w:rPr>
          <w:rFonts w:asciiTheme="minorBidi" w:eastAsia="Times New Roman" w:hAnsiTheme="minorBidi"/>
          <w:color w:val="000000"/>
          <w:szCs w:val="24"/>
          <w:lang w:val="en-GB"/>
        </w:rPr>
        <w:t xml:space="preserve"> project lead times. </w:t>
      </w:r>
    </w:p>
    <w:p w14:paraId="1E01B09A" w14:textId="780E3A06" w:rsidR="008236E4" w:rsidRPr="006B2715" w:rsidRDefault="008236E4" w:rsidP="00D46983">
      <w:pPr>
        <w:jc w:val="both"/>
        <w:rPr>
          <w:rFonts w:asciiTheme="minorBidi" w:eastAsia="Times New Roman" w:hAnsiTheme="minorBidi"/>
          <w:color w:val="000000"/>
          <w:szCs w:val="24"/>
          <w:lang w:val="en-GB"/>
        </w:rPr>
      </w:pPr>
      <w:r w:rsidRPr="006B2715">
        <w:rPr>
          <w:rFonts w:asciiTheme="minorBidi" w:eastAsia="Times New Roman" w:hAnsiTheme="minorBidi"/>
          <w:color w:val="000000"/>
          <w:szCs w:val="24"/>
          <w:lang w:val="en-GB"/>
        </w:rPr>
        <w:t xml:space="preserve">BHP also predicts that copper demand will </w:t>
      </w:r>
      <w:r w:rsidR="00D46983" w:rsidRPr="006B2715">
        <w:rPr>
          <w:rFonts w:asciiTheme="minorBidi" w:eastAsia="Times New Roman" w:hAnsiTheme="minorBidi"/>
          <w:color w:val="000000"/>
          <w:szCs w:val="24"/>
          <w:lang w:val="en-GB"/>
        </w:rPr>
        <w:t>rise from about 34 million tonnes per annum (Mtpa) to more than 50 Mtpa by 2050, driven by conventional development, electrification,</w:t>
      </w:r>
      <w:r w:rsidRPr="006B2715">
        <w:rPr>
          <w:rFonts w:asciiTheme="minorBidi" w:eastAsia="Times New Roman" w:hAnsiTheme="minorBidi"/>
          <w:color w:val="000000"/>
          <w:szCs w:val="24"/>
          <w:lang w:val="en-GB"/>
        </w:rPr>
        <w:t xml:space="preserve"> and digitalisation (BHP, 2026a). This presents a significant opportunity for a firm with high </w:t>
      </w:r>
      <w:r w:rsidR="00F15D4B" w:rsidRPr="006B2715">
        <w:rPr>
          <w:rFonts w:asciiTheme="minorBidi" w:eastAsia="Times New Roman" w:hAnsiTheme="minorBidi"/>
          <w:color w:val="000000"/>
          <w:szCs w:val="24"/>
          <w:lang w:val="en-GB"/>
        </w:rPr>
        <w:t xml:space="preserve">copper exposure, but it also brings challenges: higher output may increase pressure on water, biodiversity, and emissions, and it </w:t>
      </w:r>
      <w:r w:rsidR="00D46983" w:rsidRPr="006B2715">
        <w:rPr>
          <w:rFonts w:asciiTheme="minorBidi" w:eastAsia="Times New Roman" w:hAnsiTheme="minorBidi"/>
          <w:color w:val="000000"/>
          <w:szCs w:val="24"/>
          <w:lang w:val="en-GB"/>
        </w:rPr>
        <w:t>may reduce</w:t>
      </w:r>
      <w:r w:rsidRPr="006B2715">
        <w:rPr>
          <w:rFonts w:asciiTheme="minorBidi" w:eastAsia="Times New Roman" w:hAnsiTheme="minorBidi"/>
          <w:color w:val="000000"/>
          <w:szCs w:val="24"/>
          <w:lang w:val="en-GB"/>
        </w:rPr>
        <w:t xml:space="preserve"> returns as project costs rise. The marketing implication is to </w:t>
      </w:r>
      <w:r w:rsidR="00D46983" w:rsidRPr="006B2715">
        <w:rPr>
          <w:rFonts w:asciiTheme="minorBidi" w:eastAsia="Times New Roman" w:hAnsiTheme="minorBidi"/>
          <w:color w:val="000000"/>
          <w:szCs w:val="24"/>
          <w:lang w:val="en-GB"/>
        </w:rPr>
        <w:t>meet rising transition-motivated demand by increasing supply and reducing and testing the environmental impact of production</w:t>
      </w:r>
      <w:r w:rsidRPr="006B2715">
        <w:rPr>
          <w:rFonts w:asciiTheme="minorBidi" w:eastAsia="Times New Roman" w:hAnsiTheme="minorBidi"/>
          <w:color w:val="000000"/>
          <w:szCs w:val="24"/>
          <w:lang w:val="en-GB"/>
        </w:rPr>
        <w:t>, rather than increasing volume alone.</w:t>
      </w:r>
    </w:p>
    <w:p w14:paraId="5BE877D4" w14:textId="1424AD19" w:rsidR="00523A18" w:rsidRPr="006B2715" w:rsidRDefault="008236E4" w:rsidP="00D46983">
      <w:pPr>
        <w:jc w:val="both"/>
        <w:rPr>
          <w:rFonts w:asciiTheme="minorBidi" w:eastAsia="Times New Roman" w:hAnsiTheme="minorBidi"/>
          <w:color w:val="000000"/>
          <w:szCs w:val="24"/>
          <w:lang w:val="en-GB"/>
        </w:rPr>
      </w:pPr>
      <w:r w:rsidRPr="006B2715">
        <w:rPr>
          <w:rFonts w:asciiTheme="minorBidi" w:eastAsia="Times New Roman" w:hAnsiTheme="minorBidi"/>
          <w:color w:val="000000"/>
          <w:szCs w:val="24"/>
          <w:lang w:val="en-GB"/>
        </w:rPr>
        <w:t xml:space="preserve">This means </w:t>
      </w:r>
      <w:r w:rsidR="00D46983" w:rsidRPr="006B2715">
        <w:rPr>
          <w:rFonts w:asciiTheme="minorBidi" w:eastAsia="Times New Roman" w:hAnsiTheme="minorBidi"/>
          <w:color w:val="000000"/>
          <w:szCs w:val="24"/>
          <w:lang w:val="en-GB"/>
        </w:rPr>
        <w:t>operational decarbonisation is required to mitigate risk and create</w:t>
      </w:r>
      <w:r w:rsidRPr="006B2715">
        <w:rPr>
          <w:rFonts w:asciiTheme="minorBidi" w:eastAsia="Times New Roman" w:hAnsiTheme="minorBidi"/>
          <w:color w:val="000000"/>
          <w:szCs w:val="24"/>
          <w:lang w:val="en-GB"/>
        </w:rPr>
        <w:t xml:space="preserve"> a new market opportunity. According to Negrete et al. (2024), key pathways </w:t>
      </w:r>
      <w:r w:rsidR="00D46983" w:rsidRPr="006B2715">
        <w:rPr>
          <w:rFonts w:asciiTheme="minorBidi" w:eastAsia="Times New Roman" w:hAnsiTheme="minorBidi"/>
          <w:color w:val="000000"/>
          <w:szCs w:val="24"/>
          <w:lang w:val="en-GB"/>
        </w:rPr>
        <w:t>for decarbonising</w:t>
      </w:r>
      <w:r w:rsidRPr="006B2715">
        <w:rPr>
          <w:rFonts w:asciiTheme="minorBidi" w:eastAsia="Times New Roman" w:hAnsiTheme="minorBidi"/>
          <w:color w:val="000000"/>
          <w:szCs w:val="24"/>
          <w:lang w:val="en-GB"/>
        </w:rPr>
        <w:t xml:space="preserve"> mining include electrification, fuel switching, the circular economy, energy efficiency, and low-carbon technologies. According to BHP</w:t>
      </w:r>
      <w:r w:rsidR="00523A18" w:rsidRPr="006B2715">
        <w:rPr>
          <w:rFonts w:asciiTheme="minorBidi" w:eastAsia="Times New Roman" w:hAnsiTheme="minorBidi"/>
          <w:color w:val="000000"/>
          <w:szCs w:val="24"/>
          <w:lang w:val="en-GB"/>
        </w:rPr>
        <w:t xml:space="preserve"> (2026a)</w:t>
      </w:r>
      <w:r w:rsidRPr="006B2715">
        <w:rPr>
          <w:rFonts w:asciiTheme="minorBidi" w:eastAsia="Times New Roman" w:hAnsiTheme="minorBidi"/>
          <w:color w:val="000000"/>
          <w:szCs w:val="24"/>
          <w:lang w:val="en-GB"/>
        </w:rPr>
        <w:t xml:space="preserve">, 80% of the electricity consumed across the </w:t>
      </w:r>
      <w:r w:rsidR="00F15D4B" w:rsidRPr="006B2715">
        <w:rPr>
          <w:rFonts w:asciiTheme="minorBidi" w:eastAsia="Times New Roman" w:hAnsiTheme="minorBidi"/>
          <w:color w:val="000000"/>
          <w:szCs w:val="24"/>
          <w:lang w:val="en-GB"/>
        </w:rPr>
        <w:t>company's assets came from renewable sources in FY2026, and</w:t>
      </w:r>
      <w:r w:rsidRPr="006B2715">
        <w:rPr>
          <w:rFonts w:asciiTheme="minorBidi" w:eastAsia="Times New Roman" w:hAnsiTheme="minorBidi"/>
          <w:color w:val="000000"/>
          <w:szCs w:val="24"/>
          <w:lang w:val="en-GB"/>
        </w:rPr>
        <w:t xml:space="preserve"> the company is also testing battery-electric haul trucks and locomotives. However, large-scale battery-electric mining systems </w:t>
      </w:r>
      <w:r w:rsidR="00D46983" w:rsidRPr="006B2715">
        <w:rPr>
          <w:rFonts w:asciiTheme="minorBidi" w:eastAsia="Times New Roman" w:hAnsiTheme="minorBidi"/>
          <w:color w:val="000000"/>
          <w:szCs w:val="24"/>
          <w:lang w:val="en-GB"/>
        </w:rPr>
        <w:t>remain under development, creating</w:t>
      </w:r>
      <w:r w:rsidRPr="006B2715">
        <w:rPr>
          <w:rFonts w:asciiTheme="minorBidi" w:eastAsia="Times New Roman" w:hAnsiTheme="minorBidi"/>
          <w:color w:val="000000"/>
          <w:szCs w:val="24"/>
          <w:lang w:val="en-GB"/>
        </w:rPr>
        <w:t xml:space="preserve"> technological and capital uncertainties. Cleaner production does not necessarily help BHP to differentiate its products in the market.</w:t>
      </w:r>
    </w:p>
    <w:p w14:paraId="41E0BADE" w14:textId="0E137094" w:rsidR="008236E4" w:rsidRPr="006B2715" w:rsidRDefault="008236E4" w:rsidP="00D46983">
      <w:pPr>
        <w:jc w:val="both"/>
        <w:rPr>
          <w:rFonts w:asciiTheme="minorBidi" w:eastAsia="Times New Roman" w:hAnsiTheme="minorBidi"/>
          <w:color w:val="000000"/>
          <w:szCs w:val="24"/>
          <w:lang w:val="en-GB"/>
        </w:rPr>
      </w:pPr>
      <w:r w:rsidRPr="006B2715">
        <w:rPr>
          <w:rFonts w:asciiTheme="minorBidi" w:eastAsia="Times New Roman" w:hAnsiTheme="minorBidi"/>
          <w:color w:val="000000"/>
          <w:szCs w:val="24"/>
          <w:lang w:val="en-GB"/>
        </w:rPr>
        <w:t xml:space="preserve">Customer value is </w:t>
      </w:r>
      <w:r w:rsidR="00D46983" w:rsidRPr="006B2715">
        <w:rPr>
          <w:rFonts w:asciiTheme="minorBidi" w:eastAsia="Times New Roman" w:hAnsiTheme="minorBidi"/>
          <w:color w:val="000000"/>
          <w:szCs w:val="24"/>
          <w:lang w:val="en-GB"/>
        </w:rPr>
        <w:t>achieved only when environmental improvements are credibly measurable and can be shown</w:t>
      </w:r>
      <w:r w:rsidRPr="006B2715">
        <w:rPr>
          <w:rFonts w:asciiTheme="minorBidi" w:eastAsia="Times New Roman" w:hAnsiTheme="minorBidi"/>
          <w:color w:val="000000"/>
          <w:szCs w:val="24"/>
          <w:lang w:val="en-GB"/>
        </w:rPr>
        <w:t xml:space="preserve"> to minimise buyers' economic, regulatory, or reputational exposure. In </w:t>
      </w:r>
      <w:r w:rsidR="00D46983" w:rsidRPr="006B2715">
        <w:rPr>
          <w:rFonts w:asciiTheme="minorBidi" w:eastAsia="Times New Roman" w:hAnsiTheme="minorBidi"/>
          <w:color w:val="000000"/>
          <w:szCs w:val="24"/>
          <w:lang w:val="en-GB"/>
        </w:rPr>
        <w:t xml:space="preserve">this way, environmental performance can </w:t>
      </w:r>
      <w:r w:rsidR="00F15D4B" w:rsidRPr="006B2715">
        <w:rPr>
          <w:rFonts w:asciiTheme="minorBidi" w:eastAsia="Times New Roman" w:hAnsiTheme="minorBidi"/>
          <w:color w:val="000000"/>
          <w:szCs w:val="24"/>
          <w:lang w:val="en-GB"/>
        </w:rPr>
        <w:t xml:space="preserve">support positioning, but only when operational improvements become proven features </w:t>
      </w:r>
      <w:r w:rsidR="00D46983" w:rsidRPr="006B2715">
        <w:rPr>
          <w:rFonts w:asciiTheme="minorBidi" w:eastAsia="Times New Roman" w:hAnsiTheme="minorBidi"/>
          <w:color w:val="000000"/>
          <w:szCs w:val="24"/>
          <w:lang w:val="en-GB"/>
        </w:rPr>
        <w:t>customers can identify and use</w:t>
      </w:r>
      <w:r w:rsidRPr="006B2715">
        <w:rPr>
          <w:rFonts w:asciiTheme="minorBidi" w:eastAsia="Times New Roman" w:hAnsiTheme="minorBidi"/>
          <w:color w:val="000000"/>
          <w:szCs w:val="24"/>
          <w:lang w:val="en-GB"/>
        </w:rPr>
        <w:t>.</w:t>
      </w:r>
    </w:p>
    <w:p w14:paraId="3CEA53A4" w14:textId="7C1A800D" w:rsidR="008236E4" w:rsidRPr="006B2715" w:rsidRDefault="008236E4" w:rsidP="00DD7443">
      <w:pPr>
        <w:jc w:val="center"/>
        <w:rPr>
          <w:rFonts w:asciiTheme="minorBidi" w:eastAsia="Times New Roman" w:hAnsiTheme="minorBidi"/>
          <w:color w:val="000000"/>
          <w:szCs w:val="24"/>
          <w:lang w:val="en-GB"/>
        </w:rPr>
      </w:pPr>
      <w:r w:rsidRPr="006B2715">
        <w:rPr>
          <w:rFonts w:asciiTheme="minorBidi" w:eastAsia="Times New Roman" w:hAnsiTheme="minorBidi"/>
          <w:b/>
          <w:bCs/>
          <w:color w:val="000000"/>
          <w:szCs w:val="24"/>
          <w:lang w:val="en-GB"/>
        </w:rPr>
        <w:t>Political Actor</w:t>
      </w:r>
    </w:p>
    <w:p w14:paraId="04979A0A" w14:textId="034ED2A4" w:rsidR="008236E4" w:rsidRPr="006B2715" w:rsidRDefault="008236E4" w:rsidP="00D46983">
      <w:pPr>
        <w:jc w:val="both"/>
        <w:rPr>
          <w:rFonts w:asciiTheme="minorBidi" w:eastAsia="Times New Roman" w:hAnsiTheme="minorBidi"/>
          <w:color w:val="000000"/>
          <w:szCs w:val="24"/>
          <w:lang w:val="en-GB"/>
        </w:rPr>
      </w:pPr>
      <w:r w:rsidRPr="006B2715">
        <w:rPr>
          <w:rFonts w:asciiTheme="minorBidi" w:eastAsia="Times New Roman" w:hAnsiTheme="minorBidi"/>
          <w:color w:val="000000"/>
          <w:szCs w:val="24"/>
          <w:lang w:val="en-GB"/>
        </w:rPr>
        <w:t>Government climate polic</w:t>
      </w:r>
      <w:r w:rsidR="00523A18" w:rsidRPr="006B2715">
        <w:rPr>
          <w:rFonts w:asciiTheme="minorBidi" w:eastAsia="Times New Roman" w:hAnsiTheme="minorBidi"/>
          <w:color w:val="000000"/>
          <w:szCs w:val="24"/>
          <w:lang w:val="en-GB"/>
        </w:rPr>
        <w:t>ies</w:t>
      </w:r>
      <w:r w:rsidRPr="006B2715">
        <w:rPr>
          <w:rFonts w:asciiTheme="minorBidi" w:eastAsia="Times New Roman" w:hAnsiTheme="minorBidi"/>
          <w:color w:val="000000"/>
          <w:szCs w:val="24"/>
          <w:lang w:val="en-GB"/>
        </w:rPr>
        <w:t xml:space="preserve"> </w:t>
      </w:r>
      <w:r w:rsidR="00F15D4B" w:rsidRPr="006B2715">
        <w:rPr>
          <w:rFonts w:asciiTheme="minorBidi" w:eastAsia="Times New Roman" w:hAnsiTheme="minorBidi"/>
          <w:color w:val="000000"/>
          <w:szCs w:val="24"/>
          <w:lang w:val="en-GB"/>
        </w:rPr>
        <w:t>present</w:t>
      </w:r>
      <w:r w:rsidRPr="006B2715">
        <w:rPr>
          <w:rFonts w:asciiTheme="minorBidi" w:eastAsia="Times New Roman" w:hAnsiTheme="minorBidi"/>
          <w:color w:val="000000"/>
          <w:szCs w:val="24"/>
          <w:lang w:val="en-GB"/>
        </w:rPr>
        <w:t xml:space="preserve"> both opportunities and uncertainties for BHP as </w:t>
      </w:r>
      <w:r w:rsidR="00F07305" w:rsidRPr="006B2715">
        <w:rPr>
          <w:rFonts w:asciiTheme="minorBidi" w:eastAsia="Times New Roman" w:hAnsiTheme="minorBidi"/>
          <w:color w:val="000000"/>
          <w:szCs w:val="24"/>
          <w:lang w:val="en-GB"/>
        </w:rPr>
        <w:t xml:space="preserve">they </w:t>
      </w:r>
      <w:r w:rsidR="00C465B1" w:rsidRPr="006B2715">
        <w:rPr>
          <w:rFonts w:asciiTheme="minorBidi" w:eastAsia="Times New Roman" w:hAnsiTheme="minorBidi"/>
          <w:color w:val="000000"/>
          <w:szCs w:val="24"/>
          <w:lang w:val="en-GB"/>
        </w:rPr>
        <w:t>shift</w:t>
      </w:r>
      <w:r w:rsidRPr="006B2715">
        <w:rPr>
          <w:rFonts w:asciiTheme="minorBidi" w:eastAsia="Times New Roman" w:hAnsiTheme="minorBidi"/>
          <w:color w:val="000000"/>
          <w:szCs w:val="24"/>
          <w:lang w:val="en-GB"/>
        </w:rPr>
        <w:t xml:space="preserve"> to lower-carbon production. According to the Department of Climate Change, Energy, the Environment and Water (DCCEEW, 2026a), the </w:t>
      </w:r>
      <w:r w:rsidR="00D46983" w:rsidRPr="006B2715">
        <w:rPr>
          <w:rFonts w:asciiTheme="minorBidi" w:eastAsia="Times New Roman" w:hAnsiTheme="minorBidi"/>
          <w:color w:val="000000"/>
          <w:szCs w:val="24"/>
          <w:lang w:val="en-GB"/>
        </w:rPr>
        <w:t>Australian Government's latest Safeguard Mechanism Review is examining post-2030 emissions baseline decline rates, on-site abatement incentives, plans to support trade-exposed industries,</w:t>
      </w:r>
      <w:r w:rsidRPr="006B2715">
        <w:rPr>
          <w:rFonts w:asciiTheme="minorBidi" w:eastAsia="Times New Roman" w:hAnsiTheme="minorBidi"/>
          <w:color w:val="000000"/>
          <w:szCs w:val="24"/>
          <w:lang w:val="en-GB"/>
        </w:rPr>
        <w:t xml:space="preserve"> and the future role of credits. </w:t>
      </w:r>
      <w:r w:rsidR="00D46983" w:rsidRPr="006B2715">
        <w:rPr>
          <w:rFonts w:asciiTheme="minorBidi" w:eastAsia="Times New Roman" w:hAnsiTheme="minorBidi"/>
          <w:color w:val="000000"/>
          <w:szCs w:val="24"/>
          <w:lang w:val="en-GB"/>
        </w:rPr>
        <w:t xml:space="preserve">These decisions matter to BHP because mining projects </w:t>
      </w:r>
      <w:r w:rsidR="00D46983" w:rsidRPr="006B2715">
        <w:rPr>
          <w:rFonts w:asciiTheme="minorBidi" w:eastAsia="Times New Roman" w:hAnsiTheme="minorBidi"/>
          <w:color w:val="000000"/>
          <w:szCs w:val="24"/>
          <w:lang w:val="en-GB"/>
        </w:rPr>
        <w:lastRenderedPageBreak/>
        <w:t>are long-term investments, so</w:t>
      </w:r>
      <w:r w:rsidRPr="006B2715">
        <w:rPr>
          <w:rFonts w:asciiTheme="minorBidi" w:eastAsia="Times New Roman" w:hAnsiTheme="minorBidi"/>
          <w:color w:val="000000"/>
          <w:szCs w:val="24"/>
          <w:lang w:val="en-GB"/>
        </w:rPr>
        <w:t xml:space="preserve"> future policy uncertainty may affect when and where the company invests capital in decarbonisation. Stronger future climate policy can lead </w:t>
      </w:r>
      <w:r w:rsidR="00D46983" w:rsidRPr="006B2715">
        <w:rPr>
          <w:rFonts w:asciiTheme="minorBidi" w:eastAsia="Times New Roman" w:hAnsiTheme="minorBidi"/>
          <w:color w:val="000000"/>
          <w:szCs w:val="24"/>
          <w:lang w:val="en-GB"/>
        </w:rPr>
        <w:t>BHP to invest earlier in cleaner production, whereas policy uncertainty can make it harder to decide</w:t>
      </w:r>
      <w:r w:rsidRPr="006B2715">
        <w:rPr>
          <w:rFonts w:asciiTheme="minorBidi" w:eastAsia="Times New Roman" w:hAnsiTheme="minorBidi"/>
          <w:color w:val="000000"/>
          <w:szCs w:val="24"/>
          <w:lang w:val="en-GB"/>
        </w:rPr>
        <w:t xml:space="preserve"> when to invest and what returns to expect. BHP must </w:t>
      </w:r>
      <w:r w:rsidR="00D46983" w:rsidRPr="006B2715">
        <w:rPr>
          <w:rFonts w:asciiTheme="minorBidi" w:eastAsia="Times New Roman" w:hAnsiTheme="minorBidi"/>
          <w:color w:val="000000"/>
          <w:szCs w:val="24"/>
          <w:lang w:val="en-GB"/>
        </w:rPr>
        <w:t>therefore factor in alternative policy scenarios to focus more on lower-carbon investments, rather than</w:t>
      </w:r>
      <w:r w:rsidRPr="006B2715">
        <w:rPr>
          <w:rFonts w:asciiTheme="minorBidi" w:eastAsia="Times New Roman" w:hAnsiTheme="minorBidi"/>
          <w:color w:val="000000"/>
          <w:szCs w:val="24"/>
          <w:lang w:val="en-GB"/>
        </w:rPr>
        <w:t xml:space="preserve"> relying on the current policy settings not to change.</w:t>
      </w:r>
    </w:p>
    <w:p w14:paraId="7530E25E" w14:textId="77777777" w:rsidR="00F15D4B" w:rsidRPr="006B2715" w:rsidRDefault="00F15D4B" w:rsidP="00D46983">
      <w:pPr>
        <w:jc w:val="both"/>
        <w:rPr>
          <w:rFonts w:asciiTheme="minorBidi" w:eastAsia="Times New Roman" w:hAnsiTheme="minorBidi"/>
          <w:color w:val="000000"/>
          <w:szCs w:val="24"/>
          <w:lang w:val="en-GB"/>
        </w:rPr>
      </w:pPr>
    </w:p>
    <w:p w14:paraId="46FD34D8" w14:textId="0D59F3FD" w:rsidR="008236E4" w:rsidRPr="006B2715" w:rsidRDefault="00D46983" w:rsidP="00D46983">
      <w:pPr>
        <w:jc w:val="both"/>
        <w:rPr>
          <w:rFonts w:asciiTheme="minorBidi" w:eastAsia="Times New Roman" w:hAnsiTheme="minorBidi"/>
          <w:color w:val="000000"/>
          <w:szCs w:val="24"/>
          <w:lang w:val="en-GB"/>
        </w:rPr>
      </w:pPr>
      <w:r w:rsidRPr="006B2715">
        <w:rPr>
          <w:rFonts w:asciiTheme="minorBidi" w:eastAsia="Times New Roman" w:hAnsiTheme="minorBidi"/>
          <w:color w:val="000000"/>
          <w:szCs w:val="24"/>
          <w:lang w:val="en-GB"/>
        </w:rPr>
        <w:t>Environmental policy stringency may also affect innovation and competitiveness</w:t>
      </w:r>
      <w:r w:rsidR="008236E4" w:rsidRPr="006B2715">
        <w:rPr>
          <w:rFonts w:asciiTheme="minorBidi" w:eastAsia="Times New Roman" w:hAnsiTheme="minorBidi"/>
          <w:color w:val="000000"/>
          <w:szCs w:val="24"/>
          <w:lang w:val="en-GB"/>
        </w:rPr>
        <w:t xml:space="preserve">. Fabrizi et al. (2024) </w:t>
      </w:r>
      <w:r w:rsidRPr="006B2715">
        <w:rPr>
          <w:rFonts w:asciiTheme="minorBidi" w:eastAsia="Times New Roman" w:hAnsiTheme="minorBidi"/>
          <w:color w:val="000000"/>
          <w:szCs w:val="24"/>
          <w:lang w:val="en-GB"/>
        </w:rPr>
        <w:t>found that stronger environmental policy can facilitate innovation and international competitiveness, especially in more pollution-intensive settings</w:t>
      </w:r>
      <w:r w:rsidR="008236E4" w:rsidRPr="006B2715">
        <w:rPr>
          <w:rFonts w:asciiTheme="minorBidi" w:eastAsia="Times New Roman" w:hAnsiTheme="minorBidi"/>
          <w:color w:val="000000"/>
          <w:szCs w:val="24"/>
          <w:lang w:val="en-GB"/>
        </w:rPr>
        <w:t xml:space="preserve">. Although this evidence does not indicate that BHP will receive the same benefits, it suggests that earlier investment in cleaner technologies and lower-carbon operating systems can enhance the company's readiness as government climate policies evolve. However, competitors in </w:t>
      </w:r>
      <w:r w:rsidRPr="006B2715">
        <w:rPr>
          <w:rFonts w:asciiTheme="minorBidi" w:eastAsia="Times New Roman" w:hAnsiTheme="minorBidi"/>
          <w:color w:val="000000"/>
          <w:szCs w:val="24"/>
          <w:lang w:val="en-GB"/>
        </w:rPr>
        <w:t>countries with less strict policies might face lower transition costs</w:t>
      </w:r>
      <w:r w:rsidR="00F15D4B" w:rsidRPr="006B2715">
        <w:rPr>
          <w:rFonts w:asciiTheme="minorBidi" w:eastAsia="Times New Roman" w:hAnsiTheme="minorBidi"/>
          <w:color w:val="000000"/>
          <w:szCs w:val="24"/>
          <w:lang w:val="en-GB"/>
        </w:rPr>
        <w:t>, reducing</w:t>
      </w:r>
      <w:r w:rsidR="008236E4" w:rsidRPr="006B2715">
        <w:rPr>
          <w:rFonts w:asciiTheme="minorBidi" w:eastAsia="Times New Roman" w:hAnsiTheme="minorBidi"/>
          <w:color w:val="000000"/>
          <w:szCs w:val="24"/>
          <w:lang w:val="en-GB"/>
        </w:rPr>
        <w:t xml:space="preserve"> the benefits of early action. BHP should therefore </w:t>
      </w:r>
      <w:r w:rsidRPr="006B2715">
        <w:rPr>
          <w:rFonts w:asciiTheme="minorBidi" w:eastAsia="Times New Roman" w:hAnsiTheme="minorBidi"/>
          <w:color w:val="000000"/>
          <w:szCs w:val="24"/>
          <w:lang w:val="en-GB"/>
        </w:rPr>
        <w:t>adopt phased, flexible investment to respond to changing government priorities and maintain</w:t>
      </w:r>
      <w:r w:rsidR="008236E4" w:rsidRPr="006B2715">
        <w:rPr>
          <w:rFonts w:asciiTheme="minorBidi" w:eastAsia="Times New Roman" w:hAnsiTheme="minorBidi"/>
          <w:color w:val="000000"/>
          <w:szCs w:val="24"/>
          <w:lang w:val="en-GB"/>
        </w:rPr>
        <w:t xml:space="preserve"> lower-carbon production commercially.</w:t>
      </w:r>
    </w:p>
    <w:p w14:paraId="4A8135A8" w14:textId="77777777" w:rsidR="00C465B1" w:rsidRPr="006B2715" w:rsidRDefault="00C465B1" w:rsidP="00D46983">
      <w:pPr>
        <w:jc w:val="both"/>
        <w:rPr>
          <w:rFonts w:asciiTheme="minorBidi" w:eastAsia="Times New Roman" w:hAnsiTheme="minorBidi"/>
          <w:color w:val="000000"/>
          <w:szCs w:val="24"/>
          <w:lang w:val="en-GB"/>
        </w:rPr>
      </w:pPr>
    </w:p>
    <w:p w14:paraId="7AE119AF" w14:textId="77777777" w:rsidR="008236E4" w:rsidRPr="006B2715" w:rsidRDefault="008236E4" w:rsidP="00DD7443">
      <w:pPr>
        <w:jc w:val="center"/>
        <w:rPr>
          <w:rFonts w:asciiTheme="minorBidi" w:eastAsia="Times New Roman" w:hAnsiTheme="minorBidi"/>
          <w:b/>
          <w:bCs/>
          <w:color w:val="000000"/>
          <w:szCs w:val="24"/>
          <w:lang w:val="en-GB"/>
        </w:rPr>
      </w:pPr>
      <w:r w:rsidRPr="006B2715">
        <w:rPr>
          <w:rFonts w:asciiTheme="minorBidi" w:eastAsia="Times New Roman" w:hAnsiTheme="minorBidi"/>
          <w:b/>
          <w:bCs/>
          <w:color w:val="000000"/>
          <w:szCs w:val="24"/>
          <w:lang w:val="en-GB"/>
        </w:rPr>
        <w:t>Legal Actor</w:t>
      </w:r>
    </w:p>
    <w:p w14:paraId="1027D1CA" w14:textId="65A12E6F" w:rsidR="00BF2953" w:rsidRPr="006B2715" w:rsidRDefault="008236E4" w:rsidP="00D46983">
      <w:pPr>
        <w:jc w:val="both"/>
        <w:rPr>
          <w:rFonts w:asciiTheme="minorBidi" w:eastAsia="Times New Roman" w:hAnsiTheme="minorBidi"/>
          <w:color w:val="000000"/>
          <w:szCs w:val="24"/>
          <w:lang w:val="en-GB"/>
        </w:rPr>
      </w:pPr>
      <w:r w:rsidRPr="006B2715">
        <w:rPr>
          <w:rFonts w:asciiTheme="minorBidi" w:eastAsia="Times New Roman" w:hAnsiTheme="minorBidi"/>
          <w:color w:val="000000"/>
          <w:szCs w:val="24"/>
          <w:lang w:val="en-GB"/>
        </w:rPr>
        <w:t xml:space="preserve">Legal regulations impose additional immediate operating and financial ramifications on BHP </w:t>
      </w:r>
      <w:r w:rsidR="00D46983" w:rsidRPr="006B2715">
        <w:rPr>
          <w:rFonts w:asciiTheme="minorBidi" w:eastAsia="Times New Roman" w:hAnsiTheme="minorBidi"/>
          <w:color w:val="000000"/>
          <w:szCs w:val="24"/>
          <w:lang w:val="en-GB"/>
        </w:rPr>
        <w:t>because environmental pressures become legally binding requirements</w:t>
      </w:r>
      <w:r w:rsidRPr="006B2715">
        <w:rPr>
          <w:rFonts w:asciiTheme="minorBidi" w:eastAsia="Times New Roman" w:hAnsiTheme="minorBidi"/>
          <w:color w:val="000000"/>
          <w:szCs w:val="24"/>
          <w:lang w:val="en-GB"/>
        </w:rPr>
        <w:t xml:space="preserve">. </w:t>
      </w:r>
      <w:r w:rsidR="00D46983" w:rsidRPr="006B2715">
        <w:rPr>
          <w:rFonts w:asciiTheme="minorBidi" w:eastAsia="Times New Roman" w:hAnsiTheme="minorBidi"/>
          <w:color w:val="000000"/>
          <w:szCs w:val="24"/>
          <w:lang w:val="en-GB"/>
        </w:rPr>
        <w:t>Under Australia's Safeguard Mechanism, covered facilities must</w:t>
      </w:r>
      <w:r w:rsidRPr="006B2715">
        <w:rPr>
          <w:rFonts w:asciiTheme="minorBidi" w:eastAsia="Times New Roman" w:hAnsiTheme="minorBidi"/>
          <w:color w:val="000000"/>
          <w:szCs w:val="24"/>
          <w:lang w:val="en-GB"/>
        </w:rPr>
        <w:t xml:space="preserve"> reduce their allocated emissions at a default rate of 4.9% annually until 2030 (DCCEEW, 2026b). </w:t>
      </w:r>
      <w:r w:rsidR="00C465B1" w:rsidRPr="006B2715">
        <w:rPr>
          <w:rFonts w:asciiTheme="minorBidi" w:eastAsia="Times New Roman" w:hAnsiTheme="minorBidi"/>
          <w:color w:val="000000"/>
          <w:szCs w:val="24"/>
          <w:lang w:val="en-GB"/>
        </w:rPr>
        <w:t>For BHP, these requirements underscore the importance of operational abatement, accurate</w:t>
      </w:r>
      <w:r w:rsidRPr="006B2715">
        <w:rPr>
          <w:rFonts w:asciiTheme="minorBidi" w:eastAsia="Times New Roman" w:hAnsiTheme="minorBidi"/>
          <w:color w:val="000000"/>
          <w:szCs w:val="24"/>
          <w:lang w:val="en-GB"/>
        </w:rPr>
        <w:t xml:space="preserve"> carbon accounting, and long-term investment planning. The biggest risk is the incremental compliance and capital costs </w:t>
      </w:r>
      <w:r w:rsidR="00D46983" w:rsidRPr="006B2715">
        <w:rPr>
          <w:rFonts w:asciiTheme="minorBidi" w:eastAsia="Times New Roman" w:hAnsiTheme="minorBidi"/>
          <w:color w:val="000000"/>
          <w:szCs w:val="24"/>
          <w:lang w:val="en-GB"/>
        </w:rPr>
        <w:t>of cutting emissions, especially in long-lived mining assets where meeting increasingly stringent regulations may require enormous capital</w:t>
      </w:r>
      <w:r w:rsidRPr="006B2715">
        <w:rPr>
          <w:rFonts w:asciiTheme="minorBidi" w:eastAsia="Times New Roman" w:hAnsiTheme="minorBidi"/>
          <w:color w:val="000000"/>
          <w:szCs w:val="24"/>
          <w:lang w:val="en-GB"/>
        </w:rPr>
        <w:t xml:space="preserve">. Legal pressure would be less fundamental than the natural environment as the initial source of change, but </w:t>
      </w:r>
      <w:r w:rsidR="00D46983" w:rsidRPr="006B2715">
        <w:rPr>
          <w:rFonts w:asciiTheme="minorBidi" w:eastAsia="Times New Roman" w:hAnsiTheme="minorBidi"/>
          <w:color w:val="000000"/>
          <w:szCs w:val="24"/>
          <w:lang w:val="en-GB"/>
        </w:rPr>
        <w:t>it would provide more immediate managerial restraint, as expectations about</w:t>
      </w:r>
      <w:r w:rsidRPr="006B2715">
        <w:rPr>
          <w:rFonts w:asciiTheme="minorBidi" w:eastAsia="Times New Roman" w:hAnsiTheme="minorBidi"/>
          <w:color w:val="000000"/>
          <w:szCs w:val="24"/>
          <w:lang w:val="en-GB"/>
        </w:rPr>
        <w:t xml:space="preserve"> the environment could be quantified as compliance requirements.</w:t>
      </w:r>
    </w:p>
    <w:p w14:paraId="2F2589E7" w14:textId="77777777" w:rsidR="00F07305" w:rsidRPr="006B2715" w:rsidRDefault="00F07305" w:rsidP="00D46983">
      <w:pPr>
        <w:jc w:val="both"/>
        <w:rPr>
          <w:rFonts w:asciiTheme="minorBidi" w:eastAsia="Times New Roman" w:hAnsiTheme="minorBidi"/>
          <w:color w:val="000000"/>
          <w:szCs w:val="24"/>
          <w:lang w:val="en-GB"/>
        </w:rPr>
      </w:pPr>
    </w:p>
    <w:p w14:paraId="18CA9FCE" w14:textId="189B65E4" w:rsidR="008236E4" w:rsidRPr="006B2715" w:rsidRDefault="008236E4" w:rsidP="00D46983">
      <w:pPr>
        <w:jc w:val="both"/>
        <w:rPr>
          <w:rFonts w:asciiTheme="minorBidi" w:eastAsia="Times New Roman" w:hAnsiTheme="minorBidi"/>
          <w:color w:val="000000"/>
          <w:szCs w:val="24"/>
          <w:lang w:val="en-GB"/>
        </w:rPr>
      </w:pPr>
      <w:r w:rsidRPr="006B2715">
        <w:rPr>
          <w:rFonts w:asciiTheme="minorBidi" w:eastAsia="Times New Roman" w:hAnsiTheme="minorBidi"/>
          <w:color w:val="000000"/>
          <w:szCs w:val="24"/>
          <w:lang w:val="en-GB"/>
        </w:rPr>
        <w:t>Better compliance mechanisms can also</w:t>
      </w:r>
      <w:r w:rsidR="00C465B1" w:rsidRPr="006B2715">
        <w:rPr>
          <w:rFonts w:asciiTheme="minorBidi" w:eastAsia="Times New Roman" w:hAnsiTheme="minorBidi"/>
          <w:color w:val="000000"/>
          <w:szCs w:val="24"/>
          <w:lang w:val="en-GB"/>
        </w:rPr>
        <w:t xml:space="preserve"> </w:t>
      </w:r>
      <w:r w:rsidR="00D46983" w:rsidRPr="006B2715">
        <w:rPr>
          <w:rFonts w:asciiTheme="minorBidi" w:eastAsia="Times New Roman" w:hAnsiTheme="minorBidi"/>
          <w:color w:val="000000"/>
          <w:szCs w:val="24"/>
          <w:lang w:val="en-GB"/>
        </w:rPr>
        <w:t>benefit</w:t>
      </w:r>
      <w:r w:rsidRPr="006B2715">
        <w:rPr>
          <w:rFonts w:asciiTheme="minorBidi" w:eastAsia="Times New Roman" w:hAnsiTheme="minorBidi"/>
          <w:color w:val="000000"/>
          <w:szCs w:val="24"/>
          <w:lang w:val="en-GB"/>
        </w:rPr>
        <w:t xml:space="preserve"> BHP.</w:t>
      </w:r>
      <w:r w:rsidR="00C465B1" w:rsidRPr="006B2715">
        <w:rPr>
          <w:rFonts w:asciiTheme="minorBidi" w:eastAsia="Times New Roman" w:hAnsiTheme="minorBidi"/>
          <w:color w:val="000000"/>
          <w:szCs w:val="24"/>
          <w:lang w:val="en-GB"/>
        </w:rPr>
        <w:t xml:space="preserve"> </w:t>
      </w:r>
      <w:r w:rsidR="00D46983" w:rsidRPr="006B2715">
        <w:rPr>
          <w:rFonts w:asciiTheme="minorBidi" w:eastAsia="Times New Roman" w:hAnsiTheme="minorBidi"/>
          <w:color w:val="000000"/>
          <w:szCs w:val="24"/>
          <w:lang w:val="en-GB"/>
        </w:rPr>
        <w:t xml:space="preserve">Accurate emissions measurement and credible environmental information can help BHP meet regulations and make its lower-emissions offering </w:t>
      </w:r>
      <w:r w:rsidRPr="006B2715">
        <w:rPr>
          <w:rFonts w:asciiTheme="minorBidi" w:eastAsia="Times New Roman" w:hAnsiTheme="minorBidi"/>
          <w:color w:val="000000"/>
          <w:szCs w:val="24"/>
          <w:lang w:val="en-GB"/>
        </w:rPr>
        <w:t xml:space="preserve">more viable. Earlier investments in cleaner </w:t>
      </w:r>
      <w:r w:rsidRPr="006B2715">
        <w:rPr>
          <w:rFonts w:asciiTheme="minorBidi" w:eastAsia="Times New Roman" w:hAnsiTheme="minorBidi"/>
          <w:color w:val="000000"/>
          <w:szCs w:val="24"/>
          <w:lang w:val="en-GB"/>
        </w:rPr>
        <w:lastRenderedPageBreak/>
        <w:t xml:space="preserve">technologies and emissions-management systems can lower </w:t>
      </w:r>
      <w:r w:rsidR="00D46983" w:rsidRPr="006B2715">
        <w:rPr>
          <w:rFonts w:asciiTheme="minorBidi" w:eastAsia="Times New Roman" w:hAnsiTheme="minorBidi"/>
          <w:color w:val="000000"/>
          <w:szCs w:val="24"/>
          <w:lang w:val="en-GB"/>
        </w:rPr>
        <w:t>future compliance risk</w:t>
      </w:r>
      <w:r w:rsidRPr="006B2715">
        <w:rPr>
          <w:rFonts w:asciiTheme="minorBidi" w:eastAsia="Times New Roman" w:hAnsiTheme="minorBidi"/>
          <w:color w:val="000000"/>
          <w:szCs w:val="24"/>
          <w:lang w:val="en-GB"/>
        </w:rPr>
        <w:t xml:space="preserve">, though it depends on whether BHP can afford such improvements at a competitive cost. The marketing implication is that </w:t>
      </w:r>
      <w:r w:rsidR="00D46983" w:rsidRPr="006B2715">
        <w:rPr>
          <w:rFonts w:asciiTheme="minorBidi" w:eastAsia="Times New Roman" w:hAnsiTheme="minorBidi"/>
          <w:color w:val="000000"/>
          <w:szCs w:val="24"/>
          <w:lang w:val="en-GB"/>
        </w:rPr>
        <w:t>BHP's lower-carbon positioning should be backed by quantifiable, acceptable environmental performance rather than unverifiable environmental claims</w:t>
      </w:r>
      <w:r w:rsidRPr="006B2715">
        <w:rPr>
          <w:rFonts w:asciiTheme="minorBidi" w:eastAsia="Times New Roman" w:hAnsiTheme="minorBidi"/>
          <w:color w:val="000000"/>
          <w:szCs w:val="24"/>
          <w:lang w:val="en-GB"/>
        </w:rPr>
        <w:t xml:space="preserve">. Legal adherence may thus enhance BHP's credibility in the market, </w:t>
      </w:r>
      <w:r w:rsidR="00F15D4B" w:rsidRPr="006B2715">
        <w:rPr>
          <w:rFonts w:asciiTheme="minorBidi" w:eastAsia="Times New Roman" w:hAnsiTheme="minorBidi"/>
          <w:color w:val="000000"/>
          <w:szCs w:val="24"/>
          <w:lang w:val="en-GB"/>
        </w:rPr>
        <w:t>not to replace</w:t>
      </w:r>
      <w:r w:rsidRPr="006B2715">
        <w:rPr>
          <w:rFonts w:asciiTheme="minorBidi" w:eastAsia="Times New Roman" w:hAnsiTheme="minorBidi"/>
          <w:color w:val="000000"/>
          <w:szCs w:val="24"/>
          <w:lang w:val="en-GB"/>
        </w:rPr>
        <w:t>, but to supplement, the operational gains behind the lower-carbon offering.</w:t>
      </w:r>
    </w:p>
    <w:p w14:paraId="448E12C1" w14:textId="77777777" w:rsidR="00F15D4B" w:rsidRPr="006B2715" w:rsidRDefault="00F15D4B" w:rsidP="00D46983">
      <w:pPr>
        <w:jc w:val="both"/>
        <w:rPr>
          <w:rFonts w:asciiTheme="minorBidi" w:eastAsia="Times New Roman" w:hAnsiTheme="minorBidi"/>
          <w:color w:val="000000"/>
          <w:szCs w:val="24"/>
          <w:lang w:val="en-GB"/>
        </w:rPr>
      </w:pPr>
    </w:p>
    <w:p w14:paraId="306169EB" w14:textId="58AEBD99" w:rsidR="008236E4" w:rsidRPr="006B2715" w:rsidRDefault="00D46983" w:rsidP="00BF2953">
      <w:pPr>
        <w:jc w:val="both"/>
        <w:rPr>
          <w:rFonts w:asciiTheme="minorBidi" w:eastAsia="Times New Roman" w:hAnsiTheme="minorBidi"/>
          <w:color w:val="000000"/>
          <w:szCs w:val="24"/>
          <w:lang w:val="en-GB"/>
        </w:rPr>
      </w:pPr>
      <w:r w:rsidRPr="006B2715">
        <w:rPr>
          <w:rFonts w:asciiTheme="minorBidi" w:eastAsia="Times New Roman" w:hAnsiTheme="minorBidi"/>
          <w:color w:val="000000"/>
          <w:szCs w:val="24"/>
          <w:lang w:val="en-GB"/>
        </w:rPr>
        <w:t xml:space="preserve">Environmental, Political, and Legal actors jointly </w:t>
      </w:r>
      <w:r w:rsidR="00C465B1" w:rsidRPr="006B2715">
        <w:rPr>
          <w:rFonts w:asciiTheme="minorBidi" w:eastAsia="Times New Roman" w:hAnsiTheme="minorBidi"/>
          <w:color w:val="000000"/>
          <w:szCs w:val="24"/>
          <w:lang w:val="en-GB"/>
        </w:rPr>
        <w:t xml:space="preserve">pressure </w:t>
      </w:r>
      <w:r w:rsidRPr="006B2715">
        <w:rPr>
          <w:rFonts w:asciiTheme="minorBidi" w:eastAsia="Times New Roman" w:hAnsiTheme="minorBidi"/>
          <w:color w:val="000000"/>
          <w:szCs w:val="24"/>
          <w:lang w:val="en-GB"/>
        </w:rPr>
        <w:t>BHP's lower-carbon strategic decisions</w:t>
      </w:r>
      <w:r w:rsidR="008236E4" w:rsidRPr="006B2715">
        <w:rPr>
          <w:rFonts w:asciiTheme="minorBidi" w:eastAsia="Times New Roman" w:hAnsiTheme="minorBidi"/>
          <w:color w:val="000000"/>
          <w:szCs w:val="24"/>
          <w:lang w:val="en-GB"/>
        </w:rPr>
        <w:t xml:space="preserve">. Environmental forces increase </w:t>
      </w:r>
      <w:r w:rsidRPr="006B2715">
        <w:rPr>
          <w:rFonts w:asciiTheme="minorBidi" w:eastAsia="Times New Roman" w:hAnsiTheme="minorBidi"/>
          <w:color w:val="000000"/>
          <w:szCs w:val="24"/>
          <w:lang w:val="en-GB"/>
        </w:rPr>
        <w:t>demand for transition minerals and the need to mitigate mining impacts, while</w:t>
      </w:r>
      <w:r w:rsidR="008236E4" w:rsidRPr="006B2715">
        <w:rPr>
          <w:rFonts w:asciiTheme="minorBidi" w:eastAsia="Times New Roman" w:hAnsiTheme="minorBidi"/>
          <w:color w:val="000000"/>
          <w:szCs w:val="24"/>
          <w:lang w:val="en-GB"/>
        </w:rPr>
        <w:t xml:space="preserve"> legal requirements impose direct compliance and operating impacts. BHP must therefore </w:t>
      </w:r>
      <w:r w:rsidRPr="006B2715">
        <w:rPr>
          <w:rFonts w:asciiTheme="minorBidi" w:eastAsia="Times New Roman" w:hAnsiTheme="minorBidi"/>
          <w:color w:val="000000"/>
          <w:szCs w:val="24"/>
          <w:lang w:val="en-GB"/>
        </w:rPr>
        <w:t>develop a growth strategy that meets rising</w:t>
      </w:r>
      <w:r w:rsidR="008236E4" w:rsidRPr="006B2715">
        <w:rPr>
          <w:rFonts w:asciiTheme="minorBidi" w:eastAsia="Times New Roman" w:hAnsiTheme="minorBidi"/>
          <w:color w:val="000000"/>
          <w:szCs w:val="24"/>
          <w:lang w:val="en-GB"/>
        </w:rPr>
        <w:t xml:space="preserve"> copper demand without relying on selling more copper. The greatest opportunity lies in linking believable, quantifiable environmental benefits to something that will generate commercial utility. This provides the strategic basis for considering Product Development through the</w:t>
      </w:r>
      <w:r w:rsidR="00BF2953" w:rsidRPr="006B2715">
        <w:rPr>
          <w:rFonts w:asciiTheme="minorBidi" w:eastAsia="Times New Roman" w:hAnsiTheme="minorBidi"/>
          <w:color w:val="000000"/>
          <w:szCs w:val="24"/>
          <w:lang w:val="en-GB"/>
        </w:rPr>
        <w:t xml:space="preserve"> </w:t>
      </w:r>
      <w:r w:rsidR="008236E4" w:rsidRPr="006B2715">
        <w:rPr>
          <w:rFonts w:asciiTheme="minorBidi" w:eastAsia="Times New Roman" w:hAnsiTheme="minorBidi"/>
          <w:color w:val="000000"/>
          <w:szCs w:val="24"/>
          <w:lang w:val="en-GB"/>
        </w:rPr>
        <w:t>Ansoff Matrix in Task 2</w:t>
      </w:r>
    </w:p>
    <w:p w14:paraId="1ADF5120" w14:textId="77777777" w:rsidR="00F15D4B" w:rsidRPr="006B2715" w:rsidRDefault="00F15D4B" w:rsidP="00BF2953">
      <w:pPr>
        <w:jc w:val="both"/>
        <w:rPr>
          <w:rFonts w:asciiTheme="minorBidi" w:eastAsia="Times New Roman" w:hAnsiTheme="minorBidi"/>
          <w:color w:val="000000"/>
          <w:szCs w:val="24"/>
          <w:lang w:val="en-GB"/>
        </w:rPr>
      </w:pPr>
    </w:p>
    <w:p w14:paraId="4EE2B3C4" w14:textId="1CE54544" w:rsidR="006F6365" w:rsidRPr="006B2715" w:rsidRDefault="00F15D0F" w:rsidP="00DD7443">
      <w:pPr>
        <w:jc w:val="center"/>
        <w:rPr>
          <w:rFonts w:asciiTheme="minorBidi" w:hAnsiTheme="minorBidi"/>
          <w:b/>
          <w:bCs/>
          <w:szCs w:val="24"/>
          <w:lang w:val="en-GB"/>
        </w:rPr>
      </w:pPr>
      <w:r w:rsidRPr="006B2715">
        <w:rPr>
          <w:rFonts w:asciiTheme="minorBidi" w:eastAsia="Times New Roman" w:hAnsiTheme="minorBidi"/>
          <w:b/>
          <w:bCs/>
          <w:szCs w:val="24"/>
          <w:lang w:val="en-GB"/>
        </w:rPr>
        <w:t>Table 1. External Marketing Environment Analysis</w:t>
      </w:r>
    </w:p>
    <w:tbl>
      <w:tblPr>
        <w:tblStyle w:val="TableGrid"/>
        <w:tblW w:w="10463" w:type="dxa"/>
        <w:jc w:val="center"/>
        <w:tblLayout w:type="fixed"/>
        <w:tblLook w:val="04A0" w:firstRow="1" w:lastRow="0" w:firstColumn="1" w:lastColumn="0" w:noHBand="0" w:noVBand="1"/>
      </w:tblPr>
      <w:tblGrid>
        <w:gridCol w:w="1952"/>
        <w:gridCol w:w="3096"/>
        <w:gridCol w:w="1805"/>
        <w:gridCol w:w="1805"/>
        <w:gridCol w:w="1805"/>
      </w:tblGrid>
      <w:tr w:rsidR="006F6365" w:rsidRPr="006B2715" w14:paraId="266B75DE" w14:textId="77777777" w:rsidTr="00DD7443">
        <w:trPr>
          <w:tblHeader/>
          <w:jc w:val="center"/>
        </w:trPr>
        <w:tc>
          <w:tcPr>
            <w:tcW w:w="1952" w:type="dxa"/>
            <w:shd w:val="clear" w:color="auto" w:fill="E7E6E6"/>
            <w:tcMar>
              <w:top w:w="70" w:type="dxa"/>
              <w:left w:w="80" w:type="dxa"/>
              <w:bottom w:w="70" w:type="dxa"/>
              <w:right w:w="80" w:type="dxa"/>
            </w:tcMar>
            <w:vAlign w:val="center"/>
          </w:tcPr>
          <w:p w14:paraId="6A173F4A" w14:textId="77777777" w:rsidR="006F6365" w:rsidRPr="006B2715" w:rsidRDefault="00F15D0F">
            <w:pPr>
              <w:spacing w:line="252" w:lineRule="auto"/>
              <w:jc w:val="center"/>
              <w:rPr>
                <w:rFonts w:asciiTheme="minorBidi" w:hAnsiTheme="minorBidi"/>
                <w:b/>
                <w:bCs/>
                <w:szCs w:val="24"/>
                <w:lang w:val="en-GB"/>
              </w:rPr>
            </w:pPr>
            <w:r w:rsidRPr="006B2715">
              <w:rPr>
                <w:rFonts w:asciiTheme="minorBidi" w:eastAsia="Times New Roman" w:hAnsiTheme="minorBidi"/>
                <w:b/>
                <w:bCs/>
                <w:szCs w:val="24"/>
                <w:lang w:val="en-GB"/>
              </w:rPr>
              <w:t>Actor</w:t>
            </w:r>
          </w:p>
        </w:tc>
        <w:tc>
          <w:tcPr>
            <w:tcW w:w="3096" w:type="dxa"/>
            <w:shd w:val="clear" w:color="auto" w:fill="E7E6E6"/>
            <w:tcMar>
              <w:top w:w="70" w:type="dxa"/>
              <w:left w:w="80" w:type="dxa"/>
              <w:bottom w:w="70" w:type="dxa"/>
              <w:right w:w="80" w:type="dxa"/>
            </w:tcMar>
            <w:vAlign w:val="center"/>
          </w:tcPr>
          <w:p w14:paraId="18E3F8F7" w14:textId="77777777" w:rsidR="006F6365" w:rsidRPr="006B2715" w:rsidRDefault="00F15D0F">
            <w:pPr>
              <w:spacing w:line="252" w:lineRule="auto"/>
              <w:jc w:val="center"/>
              <w:rPr>
                <w:rFonts w:asciiTheme="minorBidi" w:hAnsiTheme="minorBidi"/>
                <w:b/>
                <w:bCs/>
                <w:szCs w:val="24"/>
                <w:lang w:val="en-GB"/>
              </w:rPr>
            </w:pPr>
            <w:r w:rsidRPr="006B2715">
              <w:rPr>
                <w:rFonts w:asciiTheme="minorBidi" w:eastAsia="Times New Roman" w:hAnsiTheme="minorBidi"/>
                <w:b/>
                <w:bCs/>
                <w:szCs w:val="24"/>
                <w:lang w:val="en-GB"/>
              </w:rPr>
              <w:t>Evidence</w:t>
            </w:r>
          </w:p>
        </w:tc>
        <w:tc>
          <w:tcPr>
            <w:tcW w:w="1805" w:type="dxa"/>
            <w:shd w:val="clear" w:color="auto" w:fill="E7E6E6"/>
            <w:tcMar>
              <w:top w:w="70" w:type="dxa"/>
              <w:left w:w="80" w:type="dxa"/>
              <w:bottom w:w="70" w:type="dxa"/>
              <w:right w:w="80" w:type="dxa"/>
            </w:tcMar>
            <w:vAlign w:val="center"/>
          </w:tcPr>
          <w:p w14:paraId="7CD2D19A" w14:textId="77777777" w:rsidR="006F6365" w:rsidRPr="006B2715" w:rsidRDefault="00F15D0F">
            <w:pPr>
              <w:spacing w:line="252" w:lineRule="auto"/>
              <w:jc w:val="center"/>
              <w:rPr>
                <w:rFonts w:asciiTheme="minorBidi" w:hAnsiTheme="minorBidi"/>
                <w:b/>
                <w:bCs/>
                <w:szCs w:val="24"/>
                <w:lang w:val="en-GB"/>
              </w:rPr>
            </w:pPr>
            <w:r w:rsidRPr="006B2715">
              <w:rPr>
                <w:rFonts w:asciiTheme="minorBidi" w:eastAsia="Times New Roman" w:hAnsiTheme="minorBidi"/>
                <w:b/>
                <w:bCs/>
                <w:szCs w:val="24"/>
                <w:lang w:val="en-GB"/>
              </w:rPr>
              <w:t>Opportunity</w:t>
            </w:r>
          </w:p>
        </w:tc>
        <w:tc>
          <w:tcPr>
            <w:tcW w:w="1805" w:type="dxa"/>
            <w:shd w:val="clear" w:color="auto" w:fill="E7E6E6"/>
            <w:tcMar>
              <w:top w:w="70" w:type="dxa"/>
              <w:left w:w="80" w:type="dxa"/>
              <w:bottom w:w="70" w:type="dxa"/>
              <w:right w:w="80" w:type="dxa"/>
            </w:tcMar>
            <w:vAlign w:val="center"/>
          </w:tcPr>
          <w:p w14:paraId="3EBFF1CA" w14:textId="77777777" w:rsidR="006F6365" w:rsidRPr="006B2715" w:rsidRDefault="00F15D0F">
            <w:pPr>
              <w:spacing w:line="252" w:lineRule="auto"/>
              <w:jc w:val="center"/>
              <w:rPr>
                <w:rFonts w:asciiTheme="minorBidi" w:hAnsiTheme="minorBidi"/>
                <w:b/>
                <w:bCs/>
                <w:szCs w:val="24"/>
                <w:lang w:val="en-GB"/>
              </w:rPr>
            </w:pPr>
            <w:r w:rsidRPr="006B2715">
              <w:rPr>
                <w:rFonts w:asciiTheme="minorBidi" w:eastAsia="Times New Roman" w:hAnsiTheme="minorBidi"/>
                <w:b/>
                <w:bCs/>
                <w:szCs w:val="24"/>
                <w:lang w:val="en-GB"/>
              </w:rPr>
              <w:t>Threat</w:t>
            </w:r>
          </w:p>
        </w:tc>
        <w:tc>
          <w:tcPr>
            <w:tcW w:w="1805" w:type="dxa"/>
            <w:shd w:val="clear" w:color="auto" w:fill="E7E6E6"/>
            <w:tcMar>
              <w:top w:w="70" w:type="dxa"/>
              <w:left w:w="80" w:type="dxa"/>
              <w:bottom w:w="70" w:type="dxa"/>
              <w:right w:w="80" w:type="dxa"/>
            </w:tcMar>
            <w:vAlign w:val="center"/>
          </w:tcPr>
          <w:p w14:paraId="64AB9B23" w14:textId="77777777" w:rsidR="006F6365" w:rsidRPr="006B2715" w:rsidRDefault="00F15D0F">
            <w:pPr>
              <w:spacing w:line="252" w:lineRule="auto"/>
              <w:jc w:val="center"/>
              <w:rPr>
                <w:rFonts w:asciiTheme="minorBidi" w:hAnsiTheme="minorBidi"/>
                <w:b/>
                <w:bCs/>
                <w:szCs w:val="24"/>
                <w:lang w:val="en-GB"/>
              </w:rPr>
            </w:pPr>
            <w:r w:rsidRPr="006B2715">
              <w:rPr>
                <w:rFonts w:asciiTheme="minorBidi" w:eastAsia="Times New Roman" w:hAnsiTheme="minorBidi"/>
                <w:b/>
                <w:bCs/>
                <w:szCs w:val="24"/>
                <w:lang w:val="en-GB"/>
              </w:rPr>
              <w:t>Marketing implication</w:t>
            </w:r>
          </w:p>
        </w:tc>
      </w:tr>
      <w:tr w:rsidR="006F6365" w:rsidRPr="006B2715" w14:paraId="79BAA25A" w14:textId="77777777" w:rsidTr="00DD7443">
        <w:trPr>
          <w:jc w:val="center"/>
        </w:trPr>
        <w:tc>
          <w:tcPr>
            <w:tcW w:w="1952" w:type="dxa"/>
            <w:tcMar>
              <w:top w:w="70" w:type="dxa"/>
              <w:left w:w="80" w:type="dxa"/>
              <w:bottom w:w="70" w:type="dxa"/>
              <w:right w:w="80" w:type="dxa"/>
            </w:tcMar>
            <w:vAlign w:val="center"/>
          </w:tcPr>
          <w:p w14:paraId="03958B90" w14:textId="77777777" w:rsidR="006F6365" w:rsidRPr="006B2715" w:rsidRDefault="00F15D0F">
            <w:pPr>
              <w:spacing w:line="252" w:lineRule="auto"/>
              <w:rPr>
                <w:rFonts w:asciiTheme="minorBidi" w:hAnsiTheme="minorBidi"/>
                <w:b/>
                <w:bCs/>
                <w:szCs w:val="24"/>
                <w:lang w:val="en-GB"/>
              </w:rPr>
            </w:pPr>
            <w:r w:rsidRPr="006B2715">
              <w:rPr>
                <w:rFonts w:asciiTheme="minorBidi" w:eastAsia="Times New Roman" w:hAnsiTheme="minorBidi"/>
                <w:b/>
                <w:bCs/>
                <w:szCs w:val="24"/>
                <w:lang w:val="en-GB"/>
              </w:rPr>
              <w:t>Environmental</w:t>
            </w:r>
          </w:p>
        </w:tc>
        <w:tc>
          <w:tcPr>
            <w:tcW w:w="3096" w:type="dxa"/>
            <w:tcMar>
              <w:top w:w="70" w:type="dxa"/>
              <w:left w:w="80" w:type="dxa"/>
              <w:bottom w:w="70" w:type="dxa"/>
              <w:right w:w="80" w:type="dxa"/>
            </w:tcMar>
            <w:vAlign w:val="center"/>
          </w:tcPr>
          <w:p w14:paraId="1B17B27C"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Rising copper demand (IEA, 2026); water and community pressures (Berthet et al., 2024); BHP operational emissions (BHP, 2026a).</w:t>
            </w:r>
          </w:p>
        </w:tc>
        <w:tc>
          <w:tcPr>
            <w:tcW w:w="1805" w:type="dxa"/>
            <w:tcMar>
              <w:top w:w="70" w:type="dxa"/>
              <w:left w:w="80" w:type="dxa"/>
              <w:bottom w:w="70" w:type="dxa"/>
              <w:right w:w="80" w:type="dxa"/>
            </w:tcMar>
            <w:vAlign w:val="center"/>
          </w:tcPr>
          <w:p w14:paraId="77270819"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Transition-led copper growth.</w:t>
            </w:r>
          </w:p>
        </w:tc>
        <w:tc>
          <w:tcPr>
            <w:tcW w:w="1805" w:type="dxa"/>
            <w:tcMar>
              <w:top w:w="70" w:type="dxa"/>
              <w:left w:w="80" w:type="dxa"/>
              <w:bottom w:w="70" w:type="dxa"/>
              <w:right w:w="80" w:type="dxa"/>
            </w:tcMar>
            <w:vAlign w:val="center"/>
          </w:tcPr>
          <w:p w14:paraId="2F6EAB1B"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Higher environmental and project costs.</w:t>
            </w:r>
          </w:p>
        </w:tc>
        <w:tc>
          <w:tcPr>
            <w:tcW w:w="1805" w:type="dxa"/>
            <w:tcMar>
              <w:top w:w="70" w:type="dxa"/>
              <w:left w:w="80" w:type="dxa"/>
              <w:bottom w:w="70" w:type="dxa"/>
              <w:right w:w="80" w:type="dxa"/>
            </w:tcMar>
            <w:vAlign w:val="center"/>
          </w:tcPr>
          <w:p w14:paraId="43A706BF"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Expand only with verified lower-emissions performance.</w:t>
            </w:r>
          </w:p>
        </w:tc>
      </w:tr>
      <w:tr w:rsidR="006F6365" w:rsidRPr="006B2715" w14:paraId="166A8A3E" w14:textId="77777777" w:rsidTr="00DD7443">
        <w:trPr>
          <w:jc w:val="center"/>
        </w:trPr>
        <w:tc>
          <w:tcPr>
            <w:tcW w:w="1952" w:type="dxa"/>
            <w:tcMar>
              <w:top w:w="70" w:type="dxa"/>
              <w:left w:w="80" w:type="dxa"/>
              <w:bottom w:w="70" w:type="dxa"/>
              <w:right w:w="80" w:type="dxa"/>
            </w:tcMar>
            <w:vAlign w:val="center"/>
          </w:tcPr>
          <w:p w14:paraId="07F35627" w14:textId="77777777" w:rsidR="006F6365" w:rsidRPr="006B2715" w:rsidRDefault="00F15D0F">
            <w:pPr>
              <w:spacing w:line="252" w:lineRule="auto"/>
              <w:rPr>
                <w:rFonts w:asciiTheme="minorBidi" w:hAnsiTheme="minorBidi"/>
                <w:b/>
                <w:bCs/>
                <w:szCs w:val="24"/>
                <w:lang w:val="en-GB"/>
              </w:rPr>
            </w:pPr>
            <w:r w:rsidRPr="006B2715">
              <w:rPr>
                <w:rFonts w:asciiTheme="minorBidi" w:eastAsia="Times New Roman" w:hAnsiTheme="minorBidi"/>
                <w:b/>
                <w:bCs/>
                <w:szCs w:val="24"/>
                <w:lang w:val="en-GB"/>
              </w:rPr>
              <w:t>Political</w:t>
            </w:r>
          </w:p>
        </w:tc>
        <w:tc>
          <w:tcPr>
            <w:tcW w:w="3096" w:type="dxa"/>
            <w:tcMar>
              <w:top w:w="70" w:type="dxa"/>
              <w:left w:w="80" w:type="dxa"/>
              <w:bottom w:w="70" w:type="dxa"/>
              <w:right w:w="80" w:type="dxa"/>
            </w:tcMar>
            <w:vAlign w:val="center"/>
          </w:tcPr>
          <w:p w14:paraId="1D3CC899"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The 2026-27 Safeguard Mechanism Review signals evolving post-2030 policy settings (DCCEEW, 2026a).</w:t>
            </w:r>
          </w:p>
        </w:tc>
        <w:tc>
          <w:tcPr>
            <w:tcW w:w="1805" w:type="dxa"/>
            <w:tcMar>
              <w:top w:w="70" w:type="dxa"/>
              <w:left w:w="80" w:type="dxa"/>
              <w:bottom w:w="70" w:type="dxa"/>
              <w:right w:w="80" w:type="dxa"/>
            </w:tcMar>
            <w:vAlign w:val="center"/>
          </w:tcPr>
          <w:p w14:paraId="3FE8526D"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Policy preparedness and innovation (Fabrizi et al., 2024).</w:t>
            </w:r>
          </w:p>
        </w:tc>
        <w:tc>
          <w:tcPr>
            <w:tcW w:w="1805" w:type="dxa"/>
            <w:tcMar>
              <w:top w:w="70" w:type="dxa"/>
              <w:left w:w="80" w:type="dxa"/>
              <w:bottom w:w="70" w:type="dxa"/>
              <w:right w:w="80" w:type="dxa"/>
            </w:tcMar>
            <w:vAlign w:val="center"/>
          </w:tcPr>
          <w:p w14:paraId="4EAEE5F4"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Policy uncertainty and uneven international stringency.</w:t>
            </w:r>
          </w:p>
        </w:tc>
        <w:tc>
          <w:tcPr>
            <w:tcW w:w="1805" w:type="dxa"/>
            <w:tcMar>
              <w:top w:w="70" w:type="dxa"/>
              <w:left w:w="80" w:type="dxa"/>
              <w:bottom w:w="70" w:type="dxa"/>
              <w:right w:w="80" w:type="dxa"/>
            </w:tcMar>
            <w:vAlign w:val="center"/>
          </w:tcPr>
          <w:p w14:paraId="26B8B0FC"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Use phased, flexible decarbonisation investment.</w:t>
            </w:r>
          </w:p>
        </w:tc>
      </w:tr>
      <w:tr w:rsidR="006F6365" w:rsidRPr="006B2715" w14:paraId="72AF9434" w14:textId="77777777" w:rsidTr="00DD7443">
        <w:trPr>
          <w:jc w:val="center"/>
        </w:trPr>
        <w:tc>
          <w:tcPr>
            <w:tcW w:w="1952" w:type="dxa"/>
            <w:tcMar>
              <w:top w:w="70" w:type="dxa"/>
              <w:left w:w="80" w:type="dxa"/>
              <w:bottom w:w="70" w:type="dxa"/>
              <w:right w:w="80" w:type="dxa"/>
            </w:tcMar>
            <w:vAlign w:val="center"/>
          </w:tcPr>
          <w:p w14:paraId="10462612" w14:textId="77777777" w:rsidR="006F6365" w:rsidRPr="006B2715" w:rsidRDefault="00F15D0F">
            <w:pPr>
              <w:spacing w:line="252" w:lineRule="auto"/>
              <w:rPr>
                <w:rFonts w:asciiTheme="minorBidi" w:hAnsiTheme="minorBidi"/>
                <w:b/>
                <w:bCs/>
                <w:szCs w:val="24"/>
                <w:lang w:val="en-GB"/>
              </w:rPr>
            </w:pPr>
            <w:r w:rsidRPr="006B2715">
              <w:rPr>
                <w:rFonts w:asciiTheme="minorBidi" w:eastAsia="Times New Roman" w:hAnsiTheme="minorBidi"/>
                <w:b/>
                <w:bCs/>
                <w:szCs w:val="24"/>
                <w:lang w:val="en-GB"/>
              </w:rPr>
              <w:t>Legal</w:t>
            </w:r>
          </w:p>
        </w:tc>
        <w:tc>
          <w:tcPr>
            <w:tcW w:w="3096" w:type="dxa"/>
            <w:tcMar>
              <w:top w:w="70" w:type="dxa"/>
              <w:left w:w="80" w:type="dxa"/>
              <w:bottom w:w="70" w:type="dxa"/>
              <w:right w:w="80" w:type="dxa"/>
            </w:tcMar>
            <w:vAlign w:val="center"/>
          </w:tcPr>
          <w:p w14:paraId="6E2F4732"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Declining Safeguard baselines require compliance, including a 4.9% annual default decline rate to 2030 (DCCEEW, 2026b).</w:t>
            </w:r>
          </w:p>
        </w:tc>
        <w:tc>
          <w:tcPr>
            <w:tcW w:w="1805" w:type="dxa"/>
            <w:tcMar>
              <w:top w:w="70" w:type="dxa"/>
              <w:left w:w="80" w:type="dxa"/>
              <w:bottom w:w="70" w:type="dxa"/>
              <w:right w:w="80" w:type="dxa"/>
            </w:tcMar>
            <w:vAlign w:val="center"/>
          </w:tcPr>
          <w:p w14:paraId="26CB2E05"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Stronger emissions-management capability.</w:t>
            </w:r>
          </w:p>
        </w:tc>
        <w:tc>
          <w:tcPr>
            <w:tcW w:w="1805" w:type="dxa"/>
            <w:tcMar>
              <w:top w:w="70" w:type="dxa"/>
              <w:left w:w="80" w:type="dxa"/>
              <w:bottom w:w="70" w:type="dxa"/>
              <w:right w:w="80" w:type="dxa"/>
            </w:tcMar>
            <w:vAlign w:val="center"/>
          </w:tcPr>
          <w:p w14:paraId="5BB13C2C"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Compliance and capital costs.</w:t>
            </w:r>
          </w:p>
        </w:tc>
        <w:tc>
          <w:tcPr>
            <w:tcW w:w="1805" w:type="dxa"/>
            <w:tcMar>
              <w:top w:w="70" w:type="dxa"/>
              <w:left w:w="80" w:type="dxa"/>
              <w:bottom w:w="70" w:type="dxa"/>
              <w:right w:w="80" w:type="dxa"/>
            </w:tcMar>
            <w:vAlign w:val="center"/>
          </w:tcPr>
          <w:p w14:paraId="395E5354"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Support positioning with measurable, auditable performance.</w:t>
            </w:r>
          </w:p>
        </w:tc>
      </w:tr>
    </w:tbl>
    <w:p w14:paraId="20C832EB" w14:textId="526A4703" w:rsidR="006F6365" w:rsidRPr="006B2715" w:rsidRDefault="00BF2953" w:rsidP="00C465B1">
      <w:pPr>
        <w:spacing w:before="40" w:after="80"/>
        <w:rPr>
          <w:rFonts w:asciiTheme="minorBidi" w:hAnsiTheme="minorBidi"/>
          <w:szCs w:val="24"/>
          <w:lang w:val="en-GB"/>
        </w:rPr>
      </w:pPr>
      <w:r w:rsidRPr="006B2715">
        <w:rPr>
          <w:rFonts w:asciiTheme="minorBidi" w:eastAsia="Times New Roman" w:hAnsiTheme="minorBidi"/>
          <w:i/>
          <w:szCs w:val="24"/>
          <w:lang w:val="en-GB"/>
        </w:rPr>
        <w:t>Source: Self-made</w:t>
      </w:r>
      <w:r w:rsidR="00F15D0F" w:rsidRPr="006B2715">
        <w:rPr>
          <w:rFonts w:asciiTheme="minorBidi" w:eastAsia="Times New Roman" w:hAnsiTheme="minorBidi"/>
          <w:i/>
          <w:szCs w:val="24"/>
          <w:lang w:val="en-GB"/>
        </w:rPr>
        <w:t>.</w:t>
      </w:r>
    </w:p>
    <w:p w14:paraId="3B561FDD" w14:textId="77777777" w:rsidR="006F6365" w:rsidRPr="006B2715" w:rsidRDefault="00F15D0F" w:rsidP="00DD7443">
      <w:pPr>
        <w:pStyle w:val="Heading1"/>
        <w:spacing w:before="0" w:after="120"/>
        <w:jc w:val="center"/>
        <w:rPr>
          <w:rFonts w:asciiTheme="minorBidi" w:hAnsiTheme="minorBidi" w:cstheme="minorBidi"/>
          <w:sz w:val="24"/>
          <w:szCs w:val="24"/>
          <w:lang w:val="en-GB"/>
        </w:rPr>
      </w:pPr>
      <w:r w:rsidRPr="006B2715">
        <w:rPr>
          <w:rFonts w:asciiTheme="minorBidi" w:eastAsia="Times New Roman" w:hAnsiTheme="minorBidi" w:cstheme="minorBidi"/>
          <w:sz w:val="24"/>
          <w:szCs w:val="24"/>
          <w:lang w:val="en-GB"/>
        </w:rPr>
        <w:lastRenderedPageBreak/>
        <w:t>Task 2: Strategic Growth and Competitive Positioning</w:t>
      </w:r>
    </w:p>
    <w:p w14:paraId="2F074921" w14:textId="4F782C13" w:rsidR="0083416F" w:rsidRPr="006B2715" w:rsidRDefault="0083416F" w:rsidP="00D46983">
      <w:pPr>
        <w:jc w:val="both"/>
        <w:rPr>
          <w:rFonts w:asciiTheme="minorBidi" w:eastAsia="Times New Roman" w:hAnsiTheme="minorBidi"/>
          <w:szCs w:val="24"/>
          <w:lang w:val="en-GB"/>
        </w:rPr>
      </w:pPr>
      <w:r w:rsidRPr="006B2715">
        <w:rPr>
          <w:rFonts w:asciiTheme="minorBidi" w:eastAsia="Times New Roman" w:hAnsiTheme="minorBidi"/>
          <w:szCs w:val="24"/>
          <w:lang w:val="en-GB"/>
        </w:rPr>
        <w:t xml:space="preserve">Task 1 indicates that BHP </w:t>
      </w:r>
      <w:r w:rsidR="00F15D4B" w:rsidRPr="006B2715">
        <w:rPr>
          <w:rFonts w:asciiTheme="minorBidi" w:eastAsia="Times New Roman" w:hAnsiTheme="minorBidi"/>
          <w:szCs w:val="24"/>
          <w:lang w:val="en-GB"/>
        </w:rPr>
        <w:t>must</w:t>
      </w:r>
      <w:r w:rsidRPr="006B2715">
        <w:rPr>
          <w:rFonts w:asciiTheme="minorBidi" w:eastAsia="Times New Roman" w:hAnsiTheme="minorBidi"/>
          <w:szCs w:val="24"/>
          <w:lang w:val="en-GB"/>
        </w:rPr>
        <w:t xml:space="preserve"> address three related external pressures </w:t>
      </w:r>
      <w:r w:rsidR="00D46983" w:rsidRPr="006B2715">
        <w:rPr>
          <w:rFonts w:asciiTheme="minorBidi" w:eastAsia="Times New Roman" w:hAnsiTheme="minorBidi"/>
          <w:szCs w:val="24"/>
          <w:lang w:val="en-GB"/>
        </w:rPr>
        <w:t>as it expands copper production</w:t>
      </w:r>
      <w:r w:rsidRPr="006B2715">
        <w:rPr>
          <w:rFonts w:asciiTheme="minorBidi" w:eastAsia="Times New Roman" w:hAnsiTheme="minorBidi"/>
          <w:szCs w:val="24"/>
          <w:lang w:val="en-GB"/>
        </w:rPr>
        <w:t xml:space="preserve">. Environmental pressures </w:t>
      </w:r>
      <w:r w:rsidR="00D46983" w:rsidRPr="006B2715">
        <w:rPr>
          <w:rFonts w:asciiTheme="minorBidi" w:eastAsia="Times New Roman" w:hAnsiTheme="minorBidi"/>
          <w:szCs w:val="24"/>
          <w:lang w:val="en-GB"/>
        </w:rPr>
        <w:t>increase demand for copper but also increase pressure to reduce mining impacts</w:t>
      </w:r>
      <w:r w:rsidR="00BF2953" w:rsidRPr="006B2715">
        <w:rPr>
          <w:rFonts w:asciiTheme="minorBidi" w:hAnsiTheme="minorBidi"/>
          <w:szCs w:val="24"/>
          <w:lang w:val="en-GB"/>
        </w:rPr>
        <w:t xml:space="preserve"> </w:t>
      </w:r>
      <w:r w:rsidR="00BF2953" w:rsidRPr="006B2715">
        <w:rPr>
          <w:rFonts w:asciiTheme="minorBidi" w:eastAsia="Times New Roman" w:hAnsiTheme="minorBidi"/>
          <w:szCs w:val="24"/>
          <w:lang w:val="en-GB"/>
        </w:rPr>
        <w:t xml:space="preserve">(IEA, 2026; Gholami, </w:t>
      </w:r>
      <w:proofErr w:type="spellStart"/>
      <w:r w:rsidR="00BF2953" w:rsidRPr="006B2715">
        <w:rPr>
          <w:rFonts w:asciiTheme="minorBidi" w:eastAsia="Times New Roman" w:hAnsiTheme="minorBidi"/>
          <w:szCs w:val="24"/>
          <w:lang w:val="en-GB"/>
        </w:rPr>
        <w:t>Tokac</w:t>
      </w:r>
      <w:proofErr w:type="spellEnd"/>
      <w:r w:rsidR="00BF2953" w:rsidRPr="006B2715">
        <w:rPr>
          <w:rFonts w:asciiTheme="minorBidi" w:eastAsia="Times New Roman" w:hAnsiTheme="minorBidi"/>
          <w:szCs w:val="24"/>
          <w:lang w:val="en-GB"/>
        </w:rPr>
        <w:t xml:space="preserve"> and Zhang, 2024)</w:t>
      </w:r>
      <w:r w:rsidRPr="006B2715">
        <w:rPr>
          <w:rFonts w:asciiTheme="minorBidi" w:eastAsia="Times New Roman" w:hAnsiTheme="minorBidi"/>
          <w:szCs w:val="24"/>
          <w:lang w:val="en-GB"/>
        </w:rPr>
        <w:t>. Political uncertainty will influence investment decisions</w:t>
      </w:r>
      <w:r w:rsidR="00BF2953" w:rsidRPr="006B2715">
        <w:rPr>
          <w:rFonts w:asciiTheme="minorBidi" w:hAnsiTheme="minorBidi"/>
          <w:szCs w:val="24"/>
          <w:lang w:val="en-GB"/>
        </w:rPr>
        <w:t xml:space="preserve"> </w:t>
      </w:r>
      <w:r w:rsidR="00BF2953" w:rsidRPr="006B2715">
        <w:rPr>
          <w:rFonts w:asciiTheme="minorBidi" w:eastAsia="Times New Roman" w:hAnsiTheme="minorBidi"/>
          <w:szCs w:val="24"/>
          <w:lang w:val="en-GB"/>
        </w:rPr>
        <w:t>(DCCEEW, 2026a)</w:t>
      </w:r>
      <w:r w:rsidRPr="006B2715">
        <w:rPr>
          <w:rFonts w:asciiTheme="minorBidi" w:eastAsia="Times New Roman" w:hAnsiTheme="minorBidi"/>
          <w:szCs w:val="24"/>
          <w:lang w:val="en-GB"/>
        </w:rPr>
        <w:t>, and legal requirements raise the expectations of quantifiable environmental performance and compliance</w:t>
      </w:r>
      <w:r w:rsidR="00BF2953" w:rsidRPr="006B2715">
        <w:rPr>
          <w:rFonts w:asciiTheme="minorBidi" w:hAnsiTheme="minorBidi"/>
          <w:szCs w:val="24"/>
          <w:lang w:val="en-GB"/>
        </w:rPr>
        <w:t xml:space="preserve"> </w:t>
      </w:r>
      <w:r w:rsidR="00BF2953" w:rsidRPr="006B2715">
        <w:rPr>
          <w:rFonts w:asciiTheme="minorBidi" w:eastAsia="Times New Roman" w:hAnsiTheme="minorBidi"/>
          <w:szCs w:val="24"/>
          <w:lang w:val="en-GB"/>
        </w:rPr>
        <w:t>(DCCEEW, 2026b)</w:t>
      </w:r>
      <w:r w:rsidRPr="006B2715">
        <w:rPr>
          <w:rFonts w:asciiTheme="minorBidi" w:eastAsia="Times New Roman" w:hAnsiTheme="minorBidi"/>
          <w:szCs w:val="24"/>
          <w:lang w:val="en-GB"/>
        </w:rPr>
        <w:t>. These results imply that BHP must expand by developing a better</w:t>
      </w:r>
      <w:r w:rsidR="00D46983" w:rsidRPr="006B2715">
        <w:rPr>
          <w:rFonts w:asciiTheme="minorBidi" w:eastAsia="Times New Roman" w:hAnsiTheme="minorBidi"/>
          <w:szCs w:val="24"/>
          <w:lang w:val="en-GB"/>
        </w:rPr>
        <w:t>,</w:t>
      </w:r>
      <w:r w:rsidRPr="006B2715">
        <w:rPr>
          <w:rFonts w:asciiTheme="minorBidi" w:eastAsia="Times New Roman" w:hAnsiTheme="minorBidi"/>
          <w:szCs w:val="24"/>
          <w:lang w:val="en-GB"/>
        </w:rPr>
        <w:t xml:space="preserve"> lower-emissions product </w:t>
      </w:r>
      <w:r w:rsidR="00D46983" w:rsidRPr="006B2715">
        <w:rPr>
          <w:rFonts w:asciiTheme="minorBidi" w:eastAsia="Times New Roman" w:hAnsiTheme="minorBidi"/>
          <w:szCs w:val="24"/>
          <w:lang w:val="en-GB"/>
        </w:rPr>
        <w:t>rather than simply selling more</w:t>
      </w:r>
      <w:r w:rsidRPr="006B2715">
        <w:rPr>
          <w:rFonts w:asciiTheme="minorBidi" w:eastAsia="Times New Roman" w:hAnsiTheme="minorBidi"/>
          <w:szCs w:val="24"/>
          <w:lang w:val="en-GB"/>
        </w:rPr>
        <w:t>. Product Development is thus the most appropriate Ansoff fit.</w:t>
      </w:r>
    </w:p>
    <w:p w14:paraId="5DDC7838" w14:textId="77777777" w:rsidR="00F15D4B" w:rsidRPr="006B2715" w:rsidRDefault="00F15D4B" w:rsidP="00D46983">
      <w:pPr>
        <w:jc w:val="both"/>
        <w:rPr>
          <w:rFonts w:asciiTheme="minorBidi" w:eastAsia="Times New Roman" w:hAnsiTheme="minorBidi"/>
          <w:szCs w:val="24"/>
          <w:lang w:val="en-GB"/>
        </w:rPr>
      </w:pPr>
    </w:p>
    <w:p w14:paraId="458D3F85" w14:textId="18DC8D4D" w:rsidR="0083416F" w:rsidRPr="006B2715" w:rsidRDefault="0083416F" w:rsidP="00D46983">
      <w:pPr>
        <w:jc w:val="both"/>
        <w:rPr>
          <w:rFonts w:asciiTheme="minorBidi" w:eastAsia="Times New Roman" w:hAnsiTheme="minorBidi"/>
          <w:szCs w:val="24"/>
          <w:lang w:val="en-GB"/>
        </w:rPr>
      </w:pPr>
      <w:r w:rsidRPr="006B2715">
        <w:rPr>
          <w:rFonts w:asciiTheme="minorBidi" w:eastAsia="Times New Roman" w:hAnsiTheme="minorBidi"/>
          <w:szCs w:val="24"/>
          <w:lang w:val="en-GB"/>
        </w:rPr>
        <w:t>The four Ansoff growth options</w:t>
      </w:r>
      <w:r w:rsidR="009F5308" w:rsidRPr="006B2715">
        <w:rPr>
          <w:rFonts w:asciiTheme="minorBidi" w:eastAsia="Times New Roman" w:hAnsiTheme="minorBidi"/>
          <w:szCs w:val="24"/>
          <w:lang w:val="en-GB"/>
        </w:rPr>
        <w:t xml:space="preserve"> (Ansoff, 1957; see Table 2)</w:t>
      </w:r>
      <w:r w:rsidRPr="006B2715">
        <w:rPr>
          <w:rFonts w:asciiTheme="minorBidi" w:eastAsia="Times New Roman" w:hAnsiTheme="minorBidi"/>
          <w:szCs w:val="24"/>
          <w:lang w:val="en-GB"/>
        </w:rPr>
        <w:t xml:space="preserve"> </w:t>
      </w:r>
      <w:r w:rsidR="00D46983" w:rsidRPr="006B2715">
        <w:rPr>
          <w:rFonts w:asciiTheme="minorBidi" w:eastAsia="Times New Roman" w:hAnsiTheme="minorBidi"/>
          <w:szCs w:val="24"/>
          <w:lang w:val="en-GB"/>
        </w:rPr>
        <w:t>offer different responses</w:t>
      </w:r>
      <w:r w:rsidRPr="006B2715">
        <w:rPr>
          <w:rFonts w:asciiTheme="minorBidi" w:eastAsia="Times New Roman" w:hAnsiTheme="minorBidi"/>
          <w:szCs w:val="24"/>
          <w:lang w:val="en-GB"/>
        </w:rPr>
        <w:t xml:space="preserve"> to these pressures. Market Penetration would </w:t>
      </w:r>
      <w:r w:rsidR="00D46983" w:rsidRPr="006B2715">
        <w:rPr>
          <w:rFonts w:asciiTheme="minorBidi" w:eastAsia="Times New Roman" w:hAnsiTheme="minorBidi"/>
          <w:szCs w:val="24"/>
          <w:lang w:val="en-GB"/>
        </w:rPr>
        <w:t>help BHP capitalise on rising copper demand by selling more of its current commodities in existing markets, but it would not significantly change</w:t>
      </w:r>
      <w:r w:rsidRPr="006B2715">
        <w:rPr>
          <w:rFonts w:asciiTheme="minorBidi" w:eastAsia="Times New Roman" w:hAnsiTheme="minorBidi"/>
          <w:szCs w:val="24"/>
          <w:lang w:val="en-GB"/>
        </w:rPr>
        <w:t xml:space="preserve"> the lower-carbon value proposition. Market Development could expand BHP's existing commodities into new </w:t>
      </w:r>
      <w:r w:rsidR="00D46983" w:rsidRPr="006B2715">
        <w:rPr>
          <w:rFonts w:asciiTheme="minorBidi" w:eastAsia="Times New Roman" w:hAnsiTheme="minorBidi"/>
          <w:szCs w:val="24"/>
          <w:lang w:val="en-GB"/>
        </w:rPr>
        <w:t>geographic or sector markets, although it would offer</w:t>
      </w:r>
      <w:r w:rsidRPr="006B2715">
        <w:rPr>
          <w:rFonts w:asciiTheme="minorBidi" w:eastAsia="Times New Roman" w:hAnsiTheme="minorBidi"/>
          <w:szCs w:val="24"/>
          <w:lang w:val="en-GB"/>
        </w:rPr>
        <w:t xml:space="preserve"> limited environmental differentiation. Diversification would entail new products or services in new markets</w:t>
      </w:r>
      <w:r w:rsidR="00F15D4B" w:rsidRPr="006B2715">
        <w:rPr>
          <w:rFonts w:asciiTheme="minorBidi" w:eastAsia="Times New Roman" w:hAnsiTheme="minorBidi"/>
          <w:szCs w:val="24"/>
          <w:lang w:val="en-GB"/>
        </w:rPr>
        <w:t xml:space="preserve"> and would therefore</w:t>
      </w:r>
      <w:r w:rsidR="00D46983" w:rsidRPr="006B2715">
        <w:rPr>
          <w:rFonts w:asciiTheme="minorBidi" w:eastAsia="Times New Roman" w:hAnsiTheme="minorBidi"/>
          <w:szCs w:val="24"/>
          <w:lang w:val="en-GB"/>
        </w:rPr>
        <w:t xml:space="preserve"> involve the highest investment, capability development,</w:t>
      </w:r>
      <w:r w:rsidRPr="006B2715">
        <w:rPr>
          <w:rFonts w:asciiTheme="minorBidi" w:eastAsia="Times New Roman" w:hAnsiTheme="minorBidi"/>
          <w:szCs w:val="24"/>
          <w:lang w:val="en-GB"/>
        </w:rPr>
        <w:t xml:space="preserve"> and execution risk. </w:t>
      </w:r>
      <w:r w:rsidR="00D46983" w:rsidRPr="006B2715">
        <w:rPr>
          <w:rFonts w:asciiTheme="minorBidi" w:eastAsia="Times New Roman" w:hAnsiTheme="minorBidi"/>
          <w:szCs w:val="24"/>
          <w:lang w:val="en-GB"/>
        </w:rPr>
        <w:t xml:space="preserve">Product Development is the best fit because it enables BHP to enhance its current commodity products for current markets using existing assets and decarbonisation </w:t>
      </w:r>
      <w:r w:rsidR="009F5308" w:rsidRPr="006B2715">
        <w:rPr>
          <w:rFonts w:asciiTheme="minorBidi" w:eastAsia="Times New Roman" w:hAnsiTheme="minorBidi"/>
          <w:szCs w:val="24"/>
          <w:lang w:val="en-GB"/>
        </w:rPr>
        <w:t>capabilities (BHP, 2026a)</w:t>
      </w:r>
      <w:r w:rsidRPr="006B2715">
        <w:rPr>
          <w:rFonts w:asciiTheme="minorBidi" w:eastAsia="Times New Roman" w:hAnsiTheme="minorBidi"/>
          <w:szCs w:val="24"/>
          <w:lang w:val="en-GB"/>
        </w:rPr>
        <w:t>.</w:t>
      </w:r>
    </w:p>
    <w:p w14:paraId="74FE3E59" w14:textId="77777777" w:rsidR="00F15D4B" w:rsidRPr="006B2715" w:rsidRDefault="00F15D4B" w:rsidP="00D46983">
      <w:pPr>
        <w:jc w:val="both"/>
        <w:rPr>
          <w:rFonts w:asciiTheme="minorBidi" w:eastAsia="Times New Roman" w:hAnsiTheme="minorBidi"/>
          <w:szCs w:val="24"/>
          <w:lang w:val="en-GB"/>
        </w:rPr>
      </w:pPr>
    </w:p>
    <w:p w14:paraId="7ED239A4" w14:textId="30E7D2D6" w:rsidR="006F6365" w:rsidRPr="006B2715" w:rsidRDefault="009F5308" w:rsidP="00DD7443">
      <w:pPr>
        <w:jc w:val="center"/>
        <w:rPr>
          <w:rFonts w:asciiTheme="minorBidi" w:hAnsiTheme="minorBidi"/>
          <w:b/>
          <w:bCs/>
          <w:szCs w:val="24"/>
          <w:lang w:val="en-GB"/>
        </w:rPr>
      </w:pPr>
      <w:r w:rsidRPr="006B2715">
        <w:rPr>
          <w:rFonts w:asciiTheme="minorBidi" w:eastAsia="Times New Roman" w:hAnsiTheme="minorBidi"/>
          <w:b/>
          <w:bCs/>
          <w:szCs w:val="24"/>
          <w:lang w:val="en-GB"/>
        </w:rPr>
        <w:t>Table 2</w:t>
      </w:r>
      <w:r w:rsidR="00F15D0F" w:rsidRPr="006B2715">
        <w:rPr>
          <w:rFonts w:asciiTheme="minorBidi" w:eastAsia="Times New Roman" w:hAnsiTheme="minorBidi"/>
          <w:b/>
          <w:bCs/>
          <w:szCs w:val="24"/>
          <w:lang w:val="en-GB"/>
        </w:rPr>
        <w:t>. Ansoff Matrix Applied to BHP</w:t>
      </w:r>
    </w:p>
    <w:tbl>
      <w:tblPr>
        <w:tblStyle w:val="TableGrid"/>
        <w:tblW w:w="0" w:type="auto"/>
        <w:jc w:val="center"/>
        <w:tblLayout w:type="fixed"/>
        <w:tblLook w:val="04A0" w:firstRow="1" w:lastRow="0" w:firstColumn="1" w:lastColumn="0" w:noHBand="0" w:noVBand="1"/>
      </w:tblPr>
      <w:tblGrid>
        <w:gridCol w:w="1944"/>
        <w:gridCol w:w="3542"/>
        <w:gridCol w:w="3542"/>
      </w:tblGrid>
      <w:tr w:rsidR="006F6365" w:rsidRPr="006B2715" w14:paraId="6C7BF9AF" w14:textId="77777777">
        <w:trPr>
          <w:tblHeader/>
          <w:jc w:val="center"/>
        </w:trPr>
        <w:tc>
          <w:tcPr>
            <w:tcW w:w="1944" w:type="dxa"/>
            <w:shd w:val="clear" w:color="auto" w:fill="E7E6E6"/>
            <w:tcMar>
              <w:top w:w="70" w:type="dxa"/>
              <w:left w:w="80" w:type="dxa"/>
              <w:bottom w:w="70" w:type="dxa"/>
              <w:right w:w="80" w:type="dxa"/>
            </w:tcMar>
            <w:vAlign w:val="center"/>
          </w:tcPr>
          <w:p w14:paraId="61FA4E19" w14:textId="77777777" w:rsidR="006F6365" w:rsidRPr="006B2715" w:rsidRDefault="00F15D0F">
            <w:pPr>
              <w:spacing w:line="252" w:lineRule="auto"/>
              <w:jc w:val="center"/>
              <w:rPr>
                <w:rFonts w:asciiTheme="minorBidi" w:hAnsiTheme="minorBidi"/>
                <w:szCs w:val="24"/>
                <w:lang w:val="en-GB"/>
              </w:rPr>
            </w:pPr>
            <w:r w:rsidRPr="006B2715">
              <w:rPr>
                <w:rFonts w:asciiTheme="minorBidi" w:eastAsia="Times New Roman" w:hAnsiTheme="minorBidi"/>
                <w:szCs w:val="24"/>
                <w:lang w:val="en-GB"/>
              </w:rPr>
              <w:t>Products / Markets</w:t>
            </w:r>
          </w:p>
        </w:tc>
        <w:tc>
          <w:tcPr>
            <w:tcW w:w="3542" w:type="dxa"/>
            <w:shd w:val="clear" w:color="auto" w:fill="E7E6E6"/>
            <w:tcMar>
              <w:top w:w="70" w:type="dxa"/>
              <w:left w:w="80" w:type="dxa"/>
              <w:bottom w:w="70" w:type="dxa"/>
              <w:right w:w="80" w:type="dxa"/>
            </w:tcMar>
            <w:vAlign w:val="center"/>
          </w:tcPr>
          <w:p w14:paraId="5A93094B" w14:textId="77777777" w:rsidR="006F6365" w:rsidRPr="006B2715" w:rsidRDefault="00F15D0F">
            <w:pPr>
              <w:spacing w:line="252" w:lineRule="auto"/>
              <w:jc w:val="center"/>
              <w:rPr>
                <w:rFonts w:asciiTheme="minorBidi" w:hAnsiTheme="minorBidi"/>
                <w:szCs w:val="24"/>
                <w:lang w:val="en-GB"/>
              </w:rPr>
            </w:pPr>
            <w:r w:rsidRPr="006B2715">
              <w:rPr>
                <w:rFonts w:asciiTheme="minorBidi" w:eastAsia="Times New Roman" w:hAnsiTheme="minorBidi"/>
                <w:szCs w:val="24"/>
                <w:lang w:val="en-GB"/>
              </w:rPr>
              <w:t>Existing Markets</w:t>
            </w:r>
          </w:p>
        </w:tc>
        <w:tc>
          <w:tcPr>
            <w:tcW w:w="3542" w:type="dxa"/>
            <w:shd w:val="clear" w:color="auto" w:fill="E7E6E6"/>
            <w:tcMar>
              <w:top w:w="70" w:type="dxa"/>
              <w:left w:w="80" w:type="dxa"/>
              <w:bottom w:w="70" w:type="dxa"/>
              <w:right w:w="80" w:type="dxa"/>
            </w:tcMar>
            <w:vAlign w:val="center"/>
          </w:tcPr>
          <w:p w14:paraId="55D877E2" w14:textId="77777777" w:rsidR="006F6365" w:rsidRPr="006B2715" w:rsidRDefault="00F15D0F">
            <w:pPr>
              <w:spacing w:line="252" w:lineRule="auto"/>
              <w:jc w:val="center"/>
              <w:rPr>
                <w:rFonts w:asciiTheme="minorBidi" w:hAnsiTheme="minorBidi"/>
                <w:szCs w:val="24"/>
                <w:lang w:val="en-GB"/>
              </w:rPr>
            </w:pPr>
            <w:r w:rsidRPr="006B2715">
              <w:rPr>
                <w:rFonts w:asciiTheme="minorBidi" w:eastAsia="Times New Roman" w:hAnsiTheme="minorBidi"/>
                <w:szCs w:val="24"/>
                <w:lang w:val="en-GB"/>
              </w:rPr>
              <w:t>New Markets</w:t>
            </w:r>
          </w:p>
        </w:tc>
      </w:tr>
      <w:tr w:rsidR="006F6365" w:rsidRPr="006B2715" w14:paraId="53733388" w14:textId="77777777">
        <w:trPr>
          <w:jc w:val="center"/>
        </w:trPr>
        <w:tc>
          <w:tcPr>
            <w:tcW w:w="1944" w:type="dxa"/>
            <w:shd w:val="clear" w:color="auto" w:fill="E7E6E6"/>
            <w:tcMar>
              <w:top w:w="70" w:type="dxa"/>
              <w:left w:w="80" w:type="dxa"/>
              <w:bottom w:w="70" w:type="dxa"/>
              <w:right w:w="80" w:type="dxa"/>
            </w:tcMar>
            <w:vAlign w:val="center"/>
          </w:tcPr>
          <w:p w14:paraId="6B268D95" w14:textId="77777777" w:rsidR="006F6365" w:rsidRPr="006B2715" w:rsidRDefault="00F15D0F">
            <w:pPr>
              <w:spacing w:line="252" w:lineRule="auto"/>
              <w:jc w:val="center"/>
              <w:rPr>
                <w:rFonts w:asciiTheme="minorBidi" w:hAnsiTheme="minorBidi"/>
                <w:szCs w:val="24"/>
                <w:lang w:val="en-GB"/>
              </w:rPr>
            </w:pPr>
            <w:r w:rsidRPr="006B2715">
              <w:rPr>
                <w:rFonts w:asciiTheme="minorBidi" w:eastAsia="Times New Roman" w:hAnsiTheme="minorBidi"/>
                <w:szCs w:val="24"/>
                <w:lang w:val="en-GB"/>
              </w:rPr>
              <w:t>Existing Products</w:t>
            </w:r>
          </w:p>
        </w:tc>
        <w:tc>
          <w:tcPr>
            <w:tcW w:w="3542" w:type="dxa"/>
            <w:tcMar>
              <w:top w:w="70" w:type="dxa"/>
              <w:left w:w="80" w:type="dxa"/>
              <w:bottom w:w="70" w:type="dxa"/>
              <w:right w:w="80" w:type="dxa"/>
            </w:tcMar>
            <w:vAlign w:val="center"/>
          </w:tcPr>
          <w:p w14:paraId="41127342"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Market Penetration: sell more existing commodities; limited differentiation.</w:t>
            </w:r>
          </w:p>
        </w:tc>
        <w:tc>
          <w:tcPr>
            <w:tcW w:w="3542" w:type="dxa"/>
            <w:tcMar>
              <w:top w:w="70" w:type="dxa"/>
              <w:left w:w="80" w:type="dxa"/>
              <w:bottom w:w="70" w:type="dxa"/>
              <w:right w:w="80" w:type="dxa"/>
            </w:tcMar>
            <w:vAlign w:val="center"/>
          </w:tcPr>
          <w:p w14:paraId="7BDC74A1"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Market Development: enter new markets with existing commodities; limited environmental change.</w:t>
            </w:r>
          </w:p>
        </w:tc>
      </w:tr>
      <w:tr w:rsidR="006F6365" w:rsidRPr="006B2715" w14:paraId="416A931C" w14:textId="77777777">
        <w:trPr>
          <w:jc w:val="center"/>
        </w:trPr>
        <w:tc>
          <w:tcPr>
            <w:tcW w:w="1944" w:type="dxa"/>
            <w:shd w:val="clear" w:color="auto" w:fill="E7E6E6"/>
            <w:tcMar>
              <w:top w:w="70" w:type="dxa"/>
              <w:left w:w="80" w:type="dxa"/>
              <w:bottom w:w="70" w:type="dxa"/>
              <w:right w:w="80" w:type="dxa"/>
            </w:tcMar>
            <w:vAlign w:val="center"/>
          </w:tcPr>
          <w:p w14:paraId="058CC9BE" w14:textId="77777777" w:rsidR="006F6365" w:rsidRPr="006B2715" w:rsidRDefault="00F15D0F">
            <w:pPr>
              <w:spacing w:line="252" w:lineRule="auto"/>
              <w:jc w:val="center"/>
              <w:rPr>
                <w:rFonts w:asciiTheme="minorBidi" w:hAnsiTheme="minorBidi"/>
                <w:szCs w:val="24"/>
                <w:lang w:val="en-GB"/>
              </w:rPr>
            </w:pPr>
            <w:r w:rsidRPr="006B2715">
              <w:rPr>
                <w:rFonts w:asciiTheme="minorBidi" w:eastAsia="Times New Roman" w:hAnsiTheme="minorBidi"/>
                <w:szCs w:val="24"/>
                <w:lang w:val="en-GB"/>
              </w:rPr>
              <w:t>New / Improved Products</w:t>
            </w:r>
          </w:p>
        </w:tc>
        <w:tc>
          <w:tcPr>
            <w:tcW w:w="3542" w:type="dxa"/>
            <w:tcMar>
              <w:top w:w="70" w:type="dxa"/>
              <w:left w:w="80" w:type="dxa"/>
              <w:bottom w:w="70" w:type="dxa"/>
              <w:right w:w="80" w:type="dxa"/>
            </w:tcMar>
            <w:vAlign w:val="center"/>
          </w:tcPr>
          <w:p w14:paraId="05242FA1" w14:textId="77777777" w:rsidR="006F6365" w:rsidRPr="006B2715" w:rsidRDefault="00F15D0F">
            <w:pPr>
              <w:spacing w:line="252" w:lineRule="auto"/>
              <w:rPr>
                <w:rFonts w:asciiTheme="minorBidi" w:hAnsiTheme="minorBidi"/>
                <w:b/>
                <w:bCs/>
                <w:szCs w:val="24"/>
                <w:lang w:val="en-GB"/>
              </w:rPr>
            </w:pPr>
            <w:r w:rsidRPr="006B2715">
              <w:rPr>
                <w:rFonts w:asciiTheme="minorBidi" w:eastAsia="Times New Roman" w:hAnsiTheme="minorBidi"/>
                <w:b/>
                <w:bCs/>
                <w:szCs w:val="24"/>
                <w:lang w:val="en-GB"/>
              </w:rPr>
              <w:t>Product Development - Recommended: improved lower-emissions offering with verified performance and traceability.</w:t>
            </w:r>
          </w:p>
        </w:tc>
        <w:tc>
          <w:tcPr>
            <w:tcW w:w="3542" w:type="dxa"/>
            <w:tcMar>
              <w:top w:w="70" w:type="dxa"/>
              <w:left w:w="80" w:type="dxa"/>
              <w:bottom w:w="70" w:type="dxa"/>
              <w:right w:w="80" w:type="dxa"/>
            </w:tcMar>
            <w:vAlign w:val="center"/>
          </w:tcPr>
          <w:p w14:paraId="5843F067"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Diversification: new low-carbon products or services in new markets; highest execution risk.</w:t>
            </w:r>
          </w:p>
        </w:tc>
      </w:tr>
    </w:tbl>
    <w:p w14:paraId="2294A459" w14:textId="77777777" w:rsidR="00F15D4B" w:rsidRPr="006B2715" w:rsidRDefault="00F15D0F" w:rsidP="00F15D4B">
      <w:pPr>
        <w:spacing w:before="40" w:after="80"/>
        <w:rPr>
          <w:rFonts w:asciiTheme="minorBidi" w:eastAsia="Times New Roman" w:hAnsiTheme="minorBidi"/>
          <w:i/>
          <w:szCs w:val="24"/>
          <w:lang w:val="en-GB"/>
        </w:rPr>
      </w:pPr>
      <w:r w:rsidRPr="006B2715">
        <w:rPr>
          <w:rFonts w:asciiTheme="minorBidi" w:eastAsia="Times New Roman" w:hAnsiTheme="minorBidi"/>
          <w:i/>
          <w:szCs w:val="24"/>
          <w:lang w:val="en-GB"/>
        </w:rPr>
        <w:t>Source: Adapted from Ansoff (1957); BHP-specific application informed by BHP (2026a) and BHP (2026b).</w:t>
      </w:r>
    </w:p>
    <w:p w14:paraId="4579637A" w14:textId="2EC6FAEA" w:rsidR="001A65A6" w:rsidRPr="006B2715" w:rsidRDefault="001A65A6" w:rsidP="00F15D4B">
      <w:pPr>
        <w:spacing w:before="40" w:after="80"/>
        <w:rPr>
          <w:rFonts w:asciiTheme="minorBidi" w:eastAsia="Times New Roman" w:hAnsiTheme="minorBidi"/>
          <w:i/>
          <w:szCs w:val="24"/>
          <w:lang w:val="en-GB"/>
        </w:rPr>
      </w:pPr>
      <w:r w:rsidRPr="006B2715">
        <w:rPr>
          <w:rFonts w:asciiTheme="minorBidi" w:eastAsia="Times New Roman" w:hAnsiTheme="minorBidi"/>
          <w:szCs w:val="24"/>
          <w:lang w:val="en-GB"/>
        </w:rPr>
        <w:lastRenderedPageBreak/>
        <w:t xml:space="preserve">BHP must start by offering a lower-emissions version of copper and should </w:t>
      </w:r>
      <w:r w:rsidR="00D46983" w:rsidRPr="006B2715">
        <w:rPr>
          <w:rFonts w:asciiTheme="minorBidi" w:eastAsia="Times New Roman" w:hAnsiTheme="minorBidi"/>
          <w:szCs w:val="24"/>
          <w:lang w:val="en-GB"/>
        </w:rPr>
        <w:t>expand the strategy to other products only after proving the commercial and environmental rationale</w:t>
      </w:r>
      <w:r w:rsidRPr="006B2715">
        <w:rPr>
          <w:rFonts w:asciiTheme="minorBidi" w:eastAsia="Times New Roman" w:hAnsiTheme="minorBidi"/>
          <w:szCs w:val="24"/>
          <w:lang w:val="en-GB"/>
        </w:rPr>
        <w:t xml:space="preserve">. </w:t>
      </w:r>
      <w:r w:rsidR="00D46983" w:rsidRPr="006B2715">
        <w:rPr>
          <w:rFonts w:asciiTheme="minorBidi" w:eastAsia="Times New Roman" w:hAnsiTheme="minorBidi"/>
          <w:szCs w:val="24"/>
          <w:lang w:val="en-GB"/>
        </w:rPr>
        <w:t xml:space="preserve">Although the product remains copper, </w:t>
      </w:r>
      <w:r w:rsidR="00F15D4B" w:rsidRPr="006B2715">
        <w:rPr>
          <w:rFonts w:asciiTheme="minorBidi" w:eastAsia="Times New Roman" w:hAnsiTheme="minorBidi"/>
          <w:szCs w:val="24"/>
          <w:lang w:val="en-GB"/>
        </w:rPr>
        <w:t>verified emissions performance, product-level environmental information, and traceability add value and make</w:t>
      </w:r>
      <w:r w:rsidRPr="006B2715">
        <w:rPr>
          <w:rFonts w:asciiTheme="minorBidi" w:eastAsia="Times New Roman" w:hAnsiTheme="minorBidi"/>
          <w:szCs w:val="24"/>
          <w:lang w:val="en-GB"/>
        </w:rPr>
        <w:t xml:space="preserve"> the offering an enhanced industrial product. According to Ansoff (1957), </w:t>
      </w:r>
      <w:r w:rsidR="00F15D4B" w:rsidRPr="006B2715">
        <w:rPr>
          <w:rFonts w:asciiTheme="minorBidi" w:eastAsia="Times New Roman" w:hAnsiTheme="minorBidi"/>
          <w:szCs w:val="24"/>
          <w:lang w:val="en-GB"/>
        </w:rPr>
        <w:t>product development involves maintaining the current market or mission while</w:t>
      </w:r>
      <w:r w:rsidRPr="006B2715">
        <w:rPr>
          <w:rFonts w:asciiTheme="minorBidi" w:eastAsia="Times New Roman" w:hAnsiTheme="minorBidi"/>
          <w:szCs w:val="24"/>
          <w:lang w:val="en-GB"/>
        </w:rPr>
        <w:t xml:space="preserve"> adding new or different product features. These additional features</w:t>
      </w:r>
      <w:r w:rsidR="00D46983" w:rsidRPr="006B2715">
        <w:rPr>
          <w:rFonts w:asciiTheme="minorBidi" w:eastAsia="Times New Roman" w:hAnsiTheme="minorBidi"/>
          <w:szCs w:val="24"/>
          <w:lang w:val="en-GB"/>
        </w:rPr>
        <w:t xml:space="preserve"> therefore justify the Product Development category, as BHP would enhance its current commodity product rather than enter</w:t>
      </w:r>
      <w:r w:rsidRPr="006B2715">
        <w:rPr>
          <w:rFonts w:asciiTheme="minorBidi" w:eastAsia="Times New Roman" w:hAnsiTheme="minorBidi"/>
          <w:szCs w:val="24"/>
          <w:lang w:val="en-GB"/>
        </w:rPr>
        <w:t xml:space="preserve"> an entirely new market. Copper is the most rational place to begin </w:t>
      </w:r>
      <w:r w:rsidR="00D46983" w:rsidRPr="006B2715">
        <w:rPr>
          <w:rFonts w:asciiTheme="minorBidi" w:eastAsia="Times New Roman" w:hAnsiTheme="minorBidi"/>
          <w:szCs w:val="24"/>
          <w:lang w:val="en-GB"/>
        </w:rPr>
        <w:t xml:space="preserve">because Task 1 established high levels of transition-led demand, material significance to BHP earnings, and the </w:t>
      </w:r>
      <w:r w:rsidRPr="006B2715">
        <w:rPr>
          <w:rFonts w:asciiTheme="minorBidi" w:eastAsia="Times New Roman" w:hAnsiTheme="minorBidi"/>
          <w:szCs w:val="24"/>
          <w:lang w:val="en-GB"/>
        </w:rPr>
        <w:t>current decarbonisation of operations.</w:t>
      </w:r>
    </w:p>
    <w:p w14:paraId="0138F0DD" w14:textId="77777777" w:rsidR="00F15D4B" w:rsidRPr="006B2715" w:rsidRDefault="00F15D4B" w:rsidP="00D46983">
      <w:pPr>
        <w:jc w:val="both"/>
        <w:rPr>
          <w:rFonts w:asciiTheme="minorBidi" w:eastAsia="Times New Roman" w:hAnsiTheme="minorBidi"/>
          <w:szCs w:val="24"/>
          <w:lang w:val="en-GB"/>
        </w:rPr>
      </w:pPr>
    </w:p>
    <w:p w14:paraId="603BFD1A" w14:textId="0731E122" w:rsidR="009F5308" w:rsidRPr="006B2715" w:rsidRDefault="001A65A6" w:rsidP="00D46983">
      <w:pPr>
        <w:jc w:val="both"/>
        <w:rPr>
          <w:rFonts w:asciiTheme="minorBidi" w:eastAsia="Times New Roman" w:hAnsiTheme="minorBidi"/>
          <w:szCs w:val="24"/>
          <w:lang w:val="en-GB"/>
        </w:rPr>
      </w:pPr>
      <w:r w:rsidRPr="006B2715">
        <w:rPr>
          <w:rFonts w:asciiTheme="minorBidi" w:eastAsia="Times New Roman" w:hAnsiTheme="minorBidi"/>
          <w:szCs w:val="24"/>
          <w:lang w:val="en-GB"/>
        </w:rPr>
        <w:t xml:space="preserve">Operationally, BHP ought to encourage </w:t>
      </w:r>
      <w:r w:rsidR="00D46983" w:rsidRPr="006B2715">
        <w:rPr>
          <w:rFonts w:asciiTheme="minorBidi" w:eastAsia="Times New Roman" w:hAnsiTheme="minorBidi"/>
          <w:szCs w:val="24"/>
          <w:lang w:val="en-GB"/>
        </w:rPr>
        <w:t xml:space="preserve">renewable power, electrification, and other practices that minimise </w:t>
      </w:r>
      <w:r w:rsidRPr="006B2715">
        <w:rPr>
          <w:rFonts w:asciiTheme="minorBidi" w:eastAsia="Times New Roman" w:hAnsiTheme="minorBidi"/>
          <w:szCs w:val="24"/>
          <w:lang w:val="en-GB"/>
        </w:rPr>
        <w:t xml:space="preserve">long-term emissions. </w:t>
      </w:r>
      <w:r w:rsidR="00D46983" w:rsidRPr="006B2715">
        <w:rPr>
          <w:rFonts w:asciiTheme="minorBidi" w:eastAsia="Times New Roman" w:hAnsiTheme="minorBidi"/>
          <w:szCs w:val="24"/>
          <w:lang w:val="en-GB"/>
        </w:rPr>
        <w:t>BHP should then translate these operational enhancements into product-level carbon information and independent validation, so reduced-emissions traits can be proven rather than</w:t>
      </w:r>
      <w:r w:rsidRPr="006B2715">
        <w:rPr>
          <w:rFonts w:asciiTheme="minorBidi" w:eastAsia="Times New Roman" w:hAnsiTheme="minorBidi"/>
          <w:szCs w:val="24"/>
          <w:lang w:val="en-GB"/>
        </w:rPr>
        <w:t xml:space="preserve"> merely claimed. Scaling </w:t>
      </w:r>
      <w:r w:rsidR="00D46983" w:rsidRPr="006B2715">
        <w:rPr>
          <w:rFonts w:asciiTheme="minorBidi" w:eastAsia="Times New Roman" w:hAnsiTheme="minorBidi"/>
          <w:szCs w:val="24"/>
          <w:lang w:val="en-GB"/>
        </w:rPr>
        <w:t xml:space="preserve">should start at the chosen </w:t>
      </w:r>
      <w:r w:rsidR="00F15D4B" w:rsidRPr="006B2715">
        <w:rPr>
          <w:rFonts w:asciiTheme="minorBidi" w:eastAsia="Times New Roman" w:hAnsiTheme="minorBidi"/>
          <w:szCs w:val="24"/>
          <w:lang w:val="en-GB"/>
        </w:rPr>
        <w:t>copper volumes</w:t>
      </w:r>
      <w:r w:rsidR="00D46983" w:rsidRPr="006B2715">
        <w:rPr>
          <w:rFonts w:asciiTheme="minorBidi" w:eastAsia="Times New Roman" w:hAnsiTheme="minorBidi"/>
          <w:szCs w:val="24"/>
          <w:lang w:val="en-GB"/>
        </w:rPr>
        <w:t xml:space="preserve"> and increase only with proven emissions reductions</w:t>
      </w:r>
      <w:r w:rsidRPr="006B2715">
        <w:rPr>
          <w:rFonts w:asciiTheme="minorBidi" w:eastAsia="Times New Roman" w:hAnsiTheme="minorBidi"/>
          <w:szCs w:val="24"/>
          <w:lang w:val="en-GB"/>
        </w:rPr>
        <w:t xml:space="preserve"> at a reasonable incremental cost. </w:t>
      </w:r>
    </w:p>
    <w:p w14:paraId="540A666C" w14:textId="77777777" w:rsidR="00F15D4B" w:rsidRPr="006B2715" w:rsidRDefault="00F15D4B" w:rsidP="00D46983">
      <w:pPr>
        <w:jc w:val="both"/>
        <w:rPr>
          <w:rFonts w:asciiTheme="minorBidi" w:eastAsia="Times New Roman" w:hAnsiTheme="minorBidi"/>
          <w:szCs w:val="24"/>
          <w:lang w:val="en-GB"/>
        </w:rPr>
      </w:pPr>
    </w:p>
    <w:p w14:paraId="5CEA28AB" w14:textId="48903B33" w:rsidR="001A65A6" w:rsidRPr="006B2715" w:rsidRDefault="001A65A6" w:rsidP="00D46983">
      <w:pPr>
        <w:jc w:val="both"/>
        <w:rPr>
          <w:rFonts w:asciiTheme="minorBidi" w:eastAsia="Times New Roman" w:hAnsiTheme="minorBidi"/>
          <w:szCs w:val="24"/>
          <w:lang w:val="en-GB"/>
        </w:rPr>
      </w:pPr>
      <w:r w:rsidRPr="006B2715">
        <w:rPr>
          <w:rFonts w:asciiTheme="minorBidi" w:eastAsia="Times New Roman" w:hAnsiTheme="minorBidi"/>
          <w:szCs w:val="24"/>
          <w:lang w:val="en-GB"/>
        </w:rPr>
        <w:t xml:space="preserve">This step-by-step </w:t>
      </w:r>
      <w:r w:rsidR="00D46983" w:rsidRPr="006B2715">
        <w:rPr>
          <w:rFonts w:asciiTheme="minorBidi" w:eastAsia="Times New Roman" w:hAnsiTheme="minorBidi"/>
          <w:szCs w:val="24"/>
          <w:lang w:val="en-GB"/>
        </w:rPr>
        <w:t>approach matters because large-scale battery-electric mining systems are still early in development, and the required</w:t>
      </w:r>
      <w:r w:rsidRPr="006B2715">
        <w:rPr>
          <w:rFonts w:asciiTheme="minorBidi" w:eastAsia="Times New Roman" w:hAnsiTheme="minorBidi"/>
          <w:szCs w:val="24"/>
          <w:lang w:val="en-GB"/>
        </w:rPr>
        <w:t xml:space="preserve"> capital investment can be enormous (BHP, 2026a). Economic feasibility should thus be measured in terms of incremental margin, return on decarbonisation investment and cost of verified emissions reduction. This incremental strategy minimises </w:t>
      </w:r>
      <w:r w:rsidR="00D46983" w:rsidRPr="006B2715">
        <w:rPr>
          <w:rFonts w:asciiTheme="minorBidi" w:eastAsia="Times New Roman" w:hAnsiTheme="minorBidi"/>
          <w:szCs w:val="24"/>
          <w:lang w:val="en-GB"/>
        </w:rPr>
        <w:t>risk because BHP can test whether a better offering is effective and economically viable before implementing it more broadly</w:t>
      </w:r>
      <w:r w:rsidRPr="006B2715">
        <w:rPr>
          <w:rFonts w:asciiTheme="minorBidi" w:eastAsia="Times New Roman" w:hAnsiTheme="minorBidi"/>
          <w:szCs w:val="24"/>
          <w:lang w:val="en-GB"/>
        </w:rPr>
        <w:t>.</w:t>
      </w:r>
    </w:p>
    <w:p w14:paraId="1E2710CC" w14:textId="77777777" w:rsidR="001A65A6" w:rsidRPr="006B2715" w:rsidRDefault="001A65A6" w:rsidP="00DD7443">
      <w:pPr>
        <w:jc w:val="center"/>
        <w:rPr>
          <w:rFonts w:asciiTheme="minorBidi" w:eastAsia="Times New Roman" w:hAnsiTheme="minorBidi"/>
          <w:b/>
          <w:bCs/>
          <w:szCs w:val="24"/>
          <w:lang w:val="en-GB"/>
        </w:rPr>
      </w:pPr>
      <w:r w:rsidRPr="006B2715">
        <w:rPr>
          <w:rFonts w:asciiTheme="minorBidi" w:eastAsia="Times New Roman" w:hAnsiTheme="minorBidi"/>
          <w:b/>
          <w:bCs/>
          <w:szCs w:val="24"/>
          <w:lang w:val="en-GB"/>
        </w:rPr>
        <w:t>Porter's Generic Strategy: Differentiation</w:t>
      </w:r>
    </w:p>
    <w:p w14:paraId="5BBC326E" w14:textId="6D3A995F" w:rsidR="001A65A6" w:rsidRPr="006B2715" w:rsidRDefault="001A65A6" w:rsidP="00D46983">
      <w:pPr>
        <w:jc w:val="both"/>
        <w:rPr>
          <w:rFonts w:asciiTheme="minorBidi" w:eastAsia="Times New Roman" w:hAnsiTheme="minorBidi"/>
          <w:szCs w:val="24"/>
          <w:lang w:val="en-GB"/>
        </w:rPr>
      </w:pPr>
      <w:r w:rsidRPr="006B2715">
        <w:rPr>
          <w:rFonts w:asciiTheme="minorBidi" w:eastAsia="Times New Roman" w:hAnsiTheme="minorBidi"/>
          <w:szCs w:val="24"/>
          <w:lang w:val="en-GB"/>
        </w:rPr>
        <w:t xml:space="preserve">A differentiation strategy will work only </w:t>
      </w:r>
      <w:r w:rsidR="00D46983" w:rsidRPr="006B2715">
        <w:rPr>
          <w:rFonts w:asciiTheme="minorBidi" w:eastAsia="Times New Roman" w:hAnsiTheme="minorBidi"/>
          <w:szCs w:val="24"/>
          <w:lang w:val="en-GB"/>
        </w:rPr>
        <w:t>if customers view BHP's lower-emission offering as more useful than competitors'</w:t>
      </w:r>
      <w:r w:rsidRPr="006B2715">
        <w:rPr>
          <w:rFonts w:asciiTheme="minorBidi" w:eastAsia="Times New Roman" w:hAnsiTheme="minorBidi"/>
          <w:szCs w:val="24"/>
          <w:lang w:val="en-GB"/>
        </w:rPr>
        <w:t xml:space="preserve"> offerings. According to Porter (1980), customers tend to become less price-sensitive when they perceive value and clear differentiation in an offering, but establishing such differentiation can be expensive. </w:t>
      </w:r>
      <w:r w:rsidR="00D46983" w:rsidRPr="006B2715">
        <w:rPr>
          <w:rFonts w:asciiTheme="minorBidi" w:eastAsia="Times New Roman" w:hAnsiTheme="minorBidi"/>
          <w:szCs w:val="24"/>
          <w:lang w:val="en-GB"/>
        </w:rPr>
        <w:t xml:space="preserve">BHP's potential advantage </w:t>
      </w:r>
      <w:r w:rsidRPr="006B2715">
        <w:rPr>
          <w:rFonts w:asciiTheme="minorBidi" w:eastAsia="Times New Roman" w:hAnsiTheme="minorBidi"/>
          <w:szCs w:val="24"/>
          <w:lang w:val="en-GB"/>
        </w:rPr>
        <w:t xml:space="preserve">goes beyond merely making a sustainability assertion. </w:t>
      </w:r>
      <w:r w:rsidR="00F07305" w:rsidRPr="006B2715">
        <w:rPr>
          <w:rFonts w:asciiTheme="minorBidi" w:eastAsia="Times New Roman" w:hAnsiTheme="minorBidi"/>
          <w:szCs w:val="24"/>
        </w:rPr>
        <w:t>According to BHP (2026a)</w:t>
      </w:r>
      <w:r w:rsidRPr="006B2715">
        <w:rPr>
          <w:rFonts w:asciiTheme="minorBidi" w:eastAsia="Times New Roman" w:hAnsiTheme="minorBidi"/>
          <w:szCs w:val="24"/>
          <w:lang w:val="en-GB"/>
        </w:rPr>
        <w:t xml:space="preserve">, in calendar year 2025, </w:t>
      </w:r>
      <w:r w:rsidR="00D46983" w:rsidRPr="006B2715">
        <w:rPr>
          <w:rFonts w:asciiTheme="minorBidi" w:eastAsia="Times New Roman" w:hAnsiTheme="minorBidi"/>
          <w:szCs w:val="24"/>
          <w:lang w:val="en-GB"/>
        </w:rPr>
        <w:t xml:space="preserve">its iron ore and copper production </w:t>
      </w:r>
      <w:r w:rsidR="00D46983" w:rsidRPr="006B2715">
        <w:rPr>
          <w:rFonts w:asciiTheme="minorBidi" w:eastAsia="Times New Roman" w:hAnsiTheme="minorBidi"/>
          <w:szCs w:val="24"/>
          <w:lang w:val="en-GB"/>
        </w:rPr>
        <w:lastRenderedPageBreak/>
        <w:t>intensity was in the lowest 25% of global mining activity examined by</w:t>
      </w:r>
      <w:r w:rsidR="00393B7A" w:rsidRPr="006B2715">
        <w:rPr>
          <w:rFonts w:asciiTheme="minorBidi" w:hAnsiTheme="minorBidi"/>
          <w:szCs w:val="24"/>
          <w:lang w:val="en-GB"/>
        </w:rPr>
        <w:t xml:space="preserve"> </w:t>
      </w:r>
      <w:r w:rsidR="00393B7A" w:rsidRPr="006B2715">
        <w:rPr>
          <w:rFonts w:asciiTheme="minorBidi" w:eastAsia="Times New Roman" w:hAnsiTheme="minorBidi"/>
          <w:szCs w:val="24"/>
          <w:lang w:val="en-GB"/>
        </w:rPr>
        <w:t>Commodities Research Unit</w:t>
      </w:r>
      <w:r w:rsidR="00D46983" w:rsidRPr="006B2715">
        <w:rPr>
          <w:rFonts w:asciiTheme="minorBidi" w:eastAsia="Times New Roman" w:hAnsiTheme="minorBidi"/>
          <w:szCs w:val="24"/>
          <w:lang w:val="en-GB"/>
        </w:rPr>
        <w:t xml:space="preserve"> </w:t>
      </w:r>
      <w:r w:rsidR="00393B7A" w:rsidRPr="006B2715">
        <w:rPr>
          <w:rFonts w:asciiTheme="minorBidi" w:eastAsia="Times New Roman" w:hAnsiTheme="minorBidi"/>
          <w:szCs w:val="24"/>
          <w:lang w:val="en-GB"/>
        </w:rPr>
        <w:t>(</w:t>
      </w:r>
      <w:r w:rsidR="00D46983" w:rsidRPr="006B2715">
        <w:rPr>
          <w:rFonts w:asciiTheme="minorBidi" w:eastAsia="Times New Roman" w:hAnsiTheme="minorBidi"/>
          <w:szCs w:val="24"/>
          <w:lang w:val="en-GB"/>
        </w:rPr>
        <w:t>CRU</w:t>
      </w:r>
      <w:r w:rsidR="00393B7A" w:rsidRPr="006B2715">
        <w:rPr>
          <w:rFonts w:asciiTheme="minorBidi" w:eastAsia="Times New Roman" w:hAnsiTheme="minorBidi"/>
          <w:szCs w:val="24"/>
          <w:lang w:val="en-GB"/>
        </w:rPr>
        <w:t>)</w:t>
      </w:r>
      <w:r w:rsidR="00D46983" w:rsidRPr="006B2715">
        <w:rPr>
          <w:rFonts w:asciiTheme="minorBidi" w:eastAsia="Times New Roman" w:hAnsiTheme="minorBidi"/>
          <w:szCs w:val="24"/>
          <w:lang w:val="en-GB"/>
        </w:rPr>
        <w:t>, but this comparison relies</w:t>
      </w:r>
      <w:r w:rsidRPr="006B2715">
        <w:rPr>
          <w:rFonts w:asciiTheme="minorBidi" w:eastAsia="Times New Roman" w:hAnsiTheme="minorBidi"/>
          <w:szCs w:val="24"/>
          <w:lang w:val="en-GB"/>
        </w:rPr>
        <w:t xml:space="preserve"> on CRU assumptions and estimates (BHP, 2026a). Together with operating scale, existing customer relationships, technology experiments, verification, and traceability, this </w:t>
      </w:r>
      <w:r w:rsidR="00D46983" w:rsidRPr="006B2715">
        <w:rPr>
          <w:rFonts w:asciiTheme="minorBidi" w:eastAsia="Times New Roman" w:hAnsiTheme="minorBidi"/>
          <w:szCs w:val="24"/>
          <w:lang w:val="en-GB"/>
        </w:rPr>
        <w:t>provides a viable platform to offer</w:t>
      </w:r>
      <w:r w:rsidRPr="006B2715">
        <w:rPr>
          <w:rFonts w:asciiTheme="minorBidi" w:eastAsia="Times New Roman" w:hAnsiTheme="minorBidi"/>
          <w:szCs w:val="24"/>
          <w:lang w:val="en-GB"/>
        </w:rPr>
        <w:t xml:space="preserve"> lower-emission commodities at a commercially significant scale. Ong et al. (2024) also support the argument that a business's operational and technological capabilities are more important than green marketing. This </w:t>
      </w:r>
      <w:r w:rsidR="00D46983" w:rsidRPr="006B2715">
        <w:rPr>
          <w:rFonts w:asciiTheme="minorBidi" w:eastAsia="Times New Roman" w:hAnsiTheme="minorBidi"/>
          <w:szCs w:val="24"/>
          <w:lang w:val="en-GB"/>
        </w:rPr>
        <w:t>does not prove superiority over</w:t>
      </w:r>
      <w:r w:rsidRPr="006B2715">
        <w:rPr>
          <w:rFonts w:asciiTheme="minorBidi" w:eastAsia="Times New Roman" w:hAnsiTheme="minorBidi"/>
          <w:szCs w:val="24"/>
          <w:lang w:val="en-GB"/>
        </w:rPr>
        <w:t xml:space="preserve"> competitors, but </w:t>
      </w:r>
      <w:r w:rsidR="00D46983" w:rsidRPr="006B2715">
        <w:rPr>
          <w:rFonts w:asciiTheme="minorBidi" w:eastAsia="Times New Roman" w:hAnsiTheme="minorBidi"/>
          <w:szCs w:val="24"/>
          <w:lang w:val="en-GB"/>
        </w:rPr>
        <w:t xml:space="preserve">it </w:t>
      </w:r>
      <w:r w:rsidRPr="006B2715">
        <w:rPr>
          <w:rFonts w:asciiTheme="minorBidi" w:eastAsia="Times New Roman" w:hAnsiTheme="minorBidi"/>
          <w:szCs w:val="24"/>
          <w:lang w:val="en-GB"/>
        </w:rPr>
        <w:t>reinforces the differentiation argument.</w:t>
      </w:r>
    </w:p>
    <w:p w14:paraId="36774FC1" w14:textId="77777777" w:rsidR="00F15D4B" w:rsidRPr="006B2715" w:rsidRDefault="00F15D4B" w:rsidP="00D46983">
      <w:pPr>
        <w:jc w:val="both"/>
        <w:rPr>
          <w:rFonts w:asciiTheme="minorBidi" w:eastAsia="Times New Roman" w:hAnsiTheme="minorBidi"/>
          <w:szCs w:val="24"/>
          <w:lang w:val="en-GB"/>
        </w:rPr>
      </w:pPr>
    </w:p>
    <w:p w14:paraId="5DE79B5F" w14:textId="092E331C" w:rsidR="001A65A6" w:rsidRPr="006B2715" w:rsidRDefault="001A65A6" w:rsidP="00D46983">
      <w:pPr>
        <w:jc w:val="both"/>
        <w:rPr>
          <w:rFonts w:asciiTheme="minorBidi" w:eastAsia="Times New Roman" w:hAnsiTheme="minorBidi"/>
          <w:szCs w:val="24"/>
          <w:lang w:val="en-GB"/>
        </w:rPr>
      </w:pPr>
      <w:r w:rsidRPr="006B2715">
        <w:rPr>
          <w:rFonts w:asciiTheme="minorBidi" w:eastAsia="Times New Roman" w:hAnsiTheme="minorBidi"/>
          <w:szCs w:val="24"/>
          <w:lang w:val="en-GB"/>
        </w:rPr>
        <w:t>This advantage is not guaranteed to be valuable in the long term, since other large mining corporations will reduce emissions, and lower-carbon performance can become an industry norm rather than a competitive advantage</w:t>
      </w:r>
      <w:r w:rsidR="00393B7A" w:rsidRPr="006B2715">
        <w:rPr>
          <w:rFonts w:asciiTheme="minorBidi" w:hAnsiTheme="minorBidi"/>
          <w:szCs w:val="24"/>
          <w:lang w:val="en-GB"/>
        </w:rPr>
        <w:t xml:space="preserve"> </w:t>
      </w:r>
      <w:r w:rsidR="00393B7A" w:rsidRPr="006B2715">
        <w:rPr>
          <w:rFonts w:asciiTheme="minorBidi" w:eastAsia="Times New Roman" w:hAnsiTheme="minorBidi"/>
          <w:szCs w:val="24"/>
          <w:lang w:val="en-GB"/>
        </w:rPr>
        <w:t>(Porter, 1980)</w:t>
      </w:r>
      <w:r w:rsidRPr="006B2715">
        <w:rPr>
          <w:rFonts w:asciiTheme="minorBidi" w:eastAsia="Times New Roman" w:hAnsiTheme="minorBidi"/>
          <w:szCs w:val="24"/>
          <w:lang w:val="en-GB"/>
        </w:rPr>
        <w:t xml:space="preserve">. BHP therefore ought to maintain cost discipline and </w:t>
      </w:r>
      <w:r w:rsidR="00D46983" w:rsidRPr="006B2715">
        <w:rPr>
          <w:rFonts w:asciiTheme="minorBidi" w:eastAsia="Times New Roman" w:hAnsiTheme="minorBidi"/>
          <w:szCs w:val="24"/>
          <w:lang w:val="en-GB"/>
        </w:rPr>
        <w:t>strengthen the proposition</w:t>
      </w:r>
      <w:r w:rsidR="00F07305" w:rsidRPr="006B2715">
        <w:rPr>
          <w:rFonts w:asciiTheme="minorBidi" w:eastAsia="Times New Roman" w:hAnsiTheme="minorBidi"/>
          <w:szCs w:val="24"/>
          <w:lang w:val="en-GB"/>
        </w:rPr>
        <w:t xml:space="preserve"> with</w:t>
      </w:r>
      <w:r w:rsidR="00D46983" w:rsidRPr="006B2715">
        <w:rPr>
          <w:rFonts w:asciiTheme="minorBidi" w:eastAsia="Times New Roman" w:hAnsiTheme="minorBidi"/>
          <w:szCs w:val="24"/>
          <w:lang w:val="en-GB"/>
        </w:rPr>
        <w:t xml:space="preserve"> operational</w:t>
      </w:r>
      <w:r w:rsidR="00F07305" w:rsidRPr="006B2715">
        <w:rPr>
          <w:rFonts w:asciiTheme="minorBidi" w:eastAsia="Times New Roman" w:hAnsiTheme="minorBidi"/>
          <w:szCs w:val="24"/>
          <w:lang w:val="en-GB"/>
        </w:rPr>
        <w:t xml:space="preserve"> </w:t>
      </w:r>
      <w:r w:rsidR="00D46983" w:rsidRPr="006B2715">
        <w:rPr>
          <w:rFonts w:asciiTheme="minorBidi" w:eastAsia="Times New Roman" w:hAnsiTheme="minorBidi"/>
          <w:szCs w:val="24"/>
          <w:lang w:val="en-GB"/>
        </w:rPr>
        <w:t>data and relational support</w:t>
      </w:r>
      <w:r w:rsidRPr="006B2715">
        <w:rPr>
          <w:rFonts w:asciiTheme="minorBidi" w:eastAsia="Times New Roman" w:hAnsiTheme="minorBidi"/>
          <w:szCs w:val="24"/>
          <w:lang w:val="en-GB"/>
        </w:rPr>
        <w:t xml:space="preserve">. Efficiency should be backed by differentiation, since environmental benefits </w:t>
      </w:r>
      <w:r w:rsidR="00D46983" w:rsidRPr="006B2715">
        <w:rPr>
          <w:rFonts w:asciiTheme="minorBidi" w:eastAsia="Times New Roman" w:hAnsiTheme="minorBidi"/>
          <w:szCs w:val="24"/>
          <w:lang w:val="en-GB"/>
        </w:rPr>
        <w:t xml:space="preserve">generate little commercial value when </w:t>
      </w:r>
      <w:r w:rsidR="00F15D4B" w:rsidRPr="006B2715">
        <w:rPr>
          <w:rFonts w:asciiTheme="minorBidi" w:eastAsia="Times New Roman" w:hAnsiTheme="minorBidi"/>
          <w:szCs w:val="24"/>
          <w:lang w:val="en-GB"/>
        </w:rPr>
        <w:t xml:space="preserve">delivery costs are too high, or </w:t>
      </w:r>
      <w:r w:rsidRPr="006B2715">
        <w:rPr>
          <w:rFonts w:asciiTheme="minorBidi" w:eastAsia="Times New Roman" w:hAnsiTheme="minorBidi"/>
          <w:szCs w:val="24"/>
          <w:lang w:val="en-GB"/>
        </w:rPr>
        <w:t>competitors can offer the same performance.</w:t>
      </w:r>
    </w:p>
    <w:p w14:paraId="1DB8227F" w14:textId="77777777" w:rsidR="00F15D4B" w:rsidRPr="006B2715" w:rsidRDefault="00F15D4B" w:rsidP="00D46983">
      <w:pPr>
        <w:jc w:val="both"/>
        <w:rPr>
          <w:rFonts w:asciiTheme="minorBidi" w:eastAsia="Times New Roman" w:hAnsiTheme="minorBidi"/>
          <w:szCs w:val="24"/>
          <w:lang w:val="en-GB"/>
        </w:rPr>
      </w:pPr>
    </w:p>
    <w:p w14:paraId="19407D8E" w14:textId="7D626B4A" w:rsidR="001A65A6" w:rsidRPr="006B2715" w:rsidRDefault="001A65A6" w:rsidP="00D46983">
      <w:pPr>
        <w:jc w:val="both"/>
        <w:rPr>
          <w:rFonts w:asciiTheme="minorBidi" w:eastAsia="Times New Roman" w:hAnsiTheme="minorBidi"/>
          <w:szCs w:val="24"/>
          <w:lang w:val="en-GB"/>
        </w:rPr>
      </w:pPr>
      <w:r w:rsidRPr="006B2715">
        <w:rPr>
          <w:rFonts w:asciiTheme="minorBidi" w:eastAsia="Times New Roman" w:hAnsiTheme="minorBidi"/>
          <w:szCs w:val="24"/>
          <w:lang w:val="en-GB"/>
        </w:rPr>
        <w:t xml:space="preserve">The implementation must be in phases. </w:t>
      </w:r>
      <w:r w:rsidR="00D46983" w:rsidRPr="006B2715">
        <w:rPr>
          <w:rFonts w:asciiTheme="minorBidi" w:eastAsia="Times New Roman" w:hAnsiTheme="minorBidi"/>
          <w:szCs w:val="24"/>
          <w:lang w:val="en-GB"/>
        </w:rPr>
        <w:t>Major risks include high investment costs, new technologies, changes in commodity prices, changes in regulation, competitors duplicating the strategy</w:t>
      </w:r>
      <w:r w:rsidRPr="006B2715">
        <w:rPr>
          <w:rFonts w:asciiTheme="minorBidi" w:eastAsia="Times New Roman" w:hAnsiTheme="minorBidi"/>
          <w:szCs w:val="24"/>
          <w:lang w:val="en-GB"/>
        </w:rPr>
        <w:t xml:space="preserve">, and false environmental claims. According to the Australian Competition and Consumer Commission (ACCC, n.d.), </w:t>
      </w:r>
      <w:r w:rsidR="00D46983" w:rsidRPr="006B2715">
        <w:rPr>
          <w:rFonts w:asciiTheme="minorBidi" w:eastAsia="Times New Roman" w:hAnsiTheme="minorBidi"/>
          <w:szCs w:val="24"/>
          <w:lang w:val="en-GB"/>
        </w:rPr>
        <w:t>environmental claims should be true, factual,</w:t>
      </w:r>
      <w:r w:rsidRPr="006B2715">
        <w:rPr>
          <w:rFonts w:asciiTheme="minorBidi" w:eastAsia="Times New Roman" w:hAnsiTheme="minorBidi"/>
          <w:szCs w:val="24"/>
          <w:lang w:val="en-GB"/>
        </w:rPr>
        <w:t xml:space="preserve"> and non-deceptive. </w:t>
      </w:r>
      <w:r w:rsidR="00D46983" w:rsidRPr="006B2715">
        <w:rPr>
          <w:rFonts w:asciiTheme="minorBidi" w:eastAsia="Times New Roman" w:hAnsiTheme="minorBidi"/>
          <w:szCs w:val="24"/>
          <w:lang w:val="en-GB"/>
        </w:rPr>
        <w:t xml:space="preserve">Management should monitor </w:t>
      </w:r>
      <w:r w:rsidR="00393B7A" w:rsidRPr="006B2715">
        <w:rPr>
          <w:rFonts w:asciiTheme="minorBidi" w:eastAsia="Times New Roman" w:hAnsiTheme="minorBidi"/>
          <w:szCs w:val="24"/>
          <w:lang w:val="en-GB"/>
        </w:rPr>
        <w:t xml:space="preserve">the key indicators shown in Table 3, including </w:t>
      </w:r>
      <w:r w:rsidR="00D46983" w:rsidRPr="006B2715">
        <w:rPr>
          <w:rFonts w:asciiTheme="minorBidi" w:eastAsia="Times New Roman" w:hAnsiTheme="minorBidi"/>
          <w:szCs w:val="24"/>
          <w:lang w:val="en-GB"/>
        </w:rPr>
        <w:t>emissions per tonne, independently verified production, the return on investment in decarbonisation, and</w:t>
      </w:r>
      <w:r w:rsidRPr="006B2715">
        <w:rPr>
          <w:rFonts w:asciiTheme="minorBidi" w:eastAsia="Times New Roman" w:hAnsiTheme="minorBidi"/>
          <w:szCs w:val="24"/>
          <w:lang w:val="en-GB"/>
        </w:rPr>
        <w:t xml:space="preserve"> the proportion of renewable electricity and traceable production.</w:t>
      </w:r>
    </w:p>
    <w:p w14:paraId="6374672E" w14:textId="252FE129" w:rsidR="006F6365" w:rsidRPr="006B2715" w:rsidRDefault="00F15D0F" w:rsidP="00DD7443">
      <w:pPr>
        <w:jc w:val="center"/>
        <w:rPr>
          <w:rFonts w:asciiTheme="minorBidi" w:hAnsiTheme="minorBidi"/>
          <w:b/>
          <w:bCs/>
          <w:szCs w:val="24"/>
          <w:lang w:val="en-GB"/>
        </w:rPr>
      </w:pPr>
      <w:r w:rsidRPr="006B2715">
        <w:rPr>
          <w:rFonts w:asciiTheme="minorBidi" w:eastAsia="Times New Roman" w:hAnsiTheme="minorBidi"/>
          <w:b/>
          <w:bCs/>
          <w:szCs w:val="24"/>
          <w:lang w:val="en-GB"/>
        </w:rPr>
        <w:t xml:space="preserve">Table </w:t>
      </w:r>
      <w:r w:rsidR="00393B7A" w:rsidRPr="006B2715">
        <w:rPr>
          <w:rFonts w:asciiTheme="minorBidi" w:eastAsia="Times New Roman" w:hAnsiTheme="minorBidi"/>
          <w:b/>
          <w:bCs/>
          <w:szCs w:val="24"/>
          <w:lang w:val="en-GB"/>
        </w:rPr>
        <w:t>3</w:t>
      </w:r>
      <w:r w:rsidRPr="006B2715">
        <w:rPr>
          <w:rFonts w:asciiTheme="minorBidi" w:eastAsia="Times New Roman" w:hAnsiTheme="minorBidi"/>
          <w:b/>
          <w:bCs/>
          <w:szCs w:val="24"/>
          <w:lang w:val="en-GB"/>
        </w:rPr>
        <w:t>. Strategic Implementation Scorecard</w:t>
      </w:r>
    </w:p>
    <w:tbl>
      <w:tblPr>
        <w:tblStyle w:val="TableGrid"/>
        <w:tblW w:w="9227" w:type="dxa"/>
        <w:jc w:val="center"/>
        <w:tblLayout w:type="fixed"/>
        <w:tblLook w:val="04A0" w:firstRow="1" w:lastRow="0" w:firstColumn="1" w:lastColumn="0" w:noHBand="0" w:noVBand="1"/>
      </w:tblPr>
      <w:tblGrid>
        <w:gridCol w:w="2693"/>
        <w:gridCol w:w="1946"/>
        <w:gridCol w:w="2256"/>
        <w:gridCol w:w="2332"/>
      </w:tblGrid>
      <w:tr w:rsidR="006F6365" w:rsidRPr="006B2715" w14:paraId="3D106538" w14:textId="77777777" w:rsidTr="002C5053">
        <w:trPr>
          <w:tblHeader/>
          <w:jc w:val="center"/>
        </w:trPr>
        <w:tc>
          <w:tcPr>
            <w:tcW w:w="2693" w:type="dxa"/>
            <w:shd w:val="clear" w:color="auto" w:fill="E7E6E6"/>
            <w:tcMar>
              <w:top w:w="70" w:type="dxa"/>
              <w:left w:w="80" w:type="dxa"/>
              <w:bottom w:w="70" w:type="dxa"/>
              <w:right w:w="80" w:type="dxa"/>
            </w:tcMar>
            <w:vAlign w:val="center"/>
          </w:tcPr>
          <w:p w14:paraId="03A749EC" w14:textId="77777777" w:rsidR="006F6365" w:rsidRPr="006B2715" w:rsidRDefault="00F15D0F">
            <w:pPr>
              <w:spacing w:line="252" w:lineRule="auto"/>
              <w:jc w:val="center"/>
              <w:rPr>
                <w:rFonts w:asciiTheme="minorBidi" w:hAnsiTheme="minorBidi"/>
                <w:b/>
                <w:bCs/>
                <w:szCs w:val="24"/>
                <w:lang w:val="en-GB"/>
              </w:rPr>
            </w:pPr>
            <w:r w:rsidRPr="006B2715">
              <w:rPr>
                <w:rFonts w:asciiTheme="minorBidi" w:eastAsia="Times New Roman" w:hAnsiTheme="minorBidi"/>
                <w:b/>
                <w:bCs/>
                <w:szCs w:val="24"/>
                <w:lang w:val="en-GB"/>
              </w:rPr>
              <w:t>Strategic initiative</w:t>
            </w:r>
          </w:p>
        </w:tc>
        <w:tc>
          <w:tcPr>
            <w:tcW w:w="1946" w:type="dxa"/>
            <w:shd w:val="clear" w:color="auto" w:fill="E7E6E6"/>
            <w:tcMar>
              <w:top w:w="70" w:type="dxa"/>
              <w:left w:w="80" w:type="dxa"/>
              <w:bottom w:w="70" w:type="dxa"/>
              <w:right w:w="80" w:type="dxa"/>
            </w:tcMar>
            <w:vAlign w:val="center"/>
          </w:tcPr>
          <w:p w14:paraId="43CBA007" w14:textId="77777777" w:rsidR="006F6365" w:rsidRPr="006B2715" w:rsidRDefault="00F15D0F">
            <w:pPr>
              <w:spacing w:line="252" w:lineRule="auto"/>
              <w:jc w:val="center"/>
              <w:rPr>
                <w:rFonts w:asciiTheme="minorBidi" w:hAnsiTheme="minorBidi"/>
                <w:b/>
                <w:bCs/>
                <w:szCs w:val="24"/>
                <w:lang w:val="en-GB"/>
              </w:rPr>
            </w:pPr>
            <w:r w:rsidRPr="006B2715">
              <w:rPr>
                <w:rFonts w:asciiTheme="minorBidi" w:eastAsia="Times New Roman" w:hAnsiTheme="minorBidi"/>
                <w:b/>
                <w:bCs/>
                <w:szCs w:val="24"/>
                <w:lang w:val="en-GB"/>
              </w:rPr>
              <w:t>Benefit</w:t>
            </w:r>
          </w:p>
        </w:tc>
        <w:tc>
          <w:tcPr>
            <w:tcW w:w="2256" w:type="dxa"/>
            <w:shd w:val="clear" w:color="auto" w:fill="E7E6E6"/>
            <w:tcMar>
              <w:top w:w="70" w:type="dxa"/>
              <w:left w:w="80" w:type="dxa"/>
              <w:bottom w:w="70" w:type="dxa"/>
              <w:right w:w="80" w:type="dxa"/>
            </w:tcMar>
            <w:vAlign w:val="center"/>
          </w:tcPr>
          <w:p w14:paraId="75C6F658" w14:textId="77777777" w:rsidR="006F6365" w:rsidRPr="006B2715" w:rsidRDefault="00F15D0F">
            <w:pPr>
              <w:spacing w:line="252" w:lineRule="auto"/>
              <w:jc w:val="center"/>
              <w:rPr>
                <w:rFonts w:asciiTheme="minorBidi" w:hAnsiTheme="minorBidi"/>
                <w:b/>
                <w:bCs/>
                <w:szCs w:val="24"/>
                <w:lang w:val="en-GB"/>
              </w:rPr>
            </w:pPr>
            <w:r w:rsidRPr="006B2715">
              <w:rPr>
                <w:rFonts w:asciiTheme="minorBidi" w:eastAsia="Times New Roman" w:hAnsiTheme="minorBidi"/>
                <w:b/>
                <w:bCs/>
                <w:szCs w:val="24"/>
                <w:lang w:val="en-GB"/>
              </w:rPr>
              <w:t>Principal risk</w:t>
            </w:r>
          </w:p>
        </w:tc>
        <w:tc>
          <w:tcPr>
            <w:tcW w:w="2332" w:type="dxa"/>
            <w:shd w:val="clear" w:color="auto" w:fill="E7E6E6"/>
            <w:tcMar>
              <w:top w:w="70" w:type="dxa"/>
              <w:left w:w="80" w:type="dxa"/>
              <w:bottom w:w="70" w:type="dxa"/>
              <w:right w:w="80" w:type="dxa"/>
            </w:tcMar>
            <w:vAlign w:val="center"/>
          </w:tcPr>
          <w:p w14:paraId="6CE58AF2" w14:textId="77777777" w:rsidR="006F6365" w:rsidRPr="006B2715" w:rsidRDefault="00F15D0F">
            <w:pPr>
              <w:spacing w:line="252" w:lineRule="auto"/>
              <w:jc w:val="center"/>
              <w:rPr>
                <w:rFonts w:asciiTheme="minorBidi" w:hAnsiTheme="minorBidi"/>
                <w:b/>
                <w:bCs/>
                <w:szCs w:val="24"/>
                <w:lang w:val="en-GB"/>
              </w:rPr>
            </w:pPr>
            <w:r w:rsidRPr="006B2715">
              <w:rPr>
                <w:rFonts w:asciiTheme="minorBidi" w:eastAsia="Times New Roman" w:hAnsiTheme="minorBidi"/>
                <w:b/>
                <w:bCs/>
                <w:szCs w:val="24"/>
                <w:lang w:val="en-GB"/>
              </w:rPr>
              <w:t>KPI</w:t>
            </w:r>
          </w:p>
        </w:tc>
      </w:tr>
      <w:tr w:rsidR="006F6365" w:rsidRPr="006B2715" w14:paraId="18C51B25" w14:textId="77777777" w:rsidTr="002C5053">
        <w:trPr>
          <w:jc w:val="center"/>
        </w:trPr>
        <w:tc>
          <w:tcPr>
            <w:tcW w:w="2693" w:type="dxa"/>
            <w:tcMar>
              <w:top w:w="70" w:type="dxa"/>
              <w:left w:w="80" w:type="dxa"/>
              <w:bottom w:w="70" w:type="dxa"/>
              <w:right w:w="80" w:type="dxa"/>
            </w:tcMar>
            <w:vAlign w:val="center"/>
          </w:tcPr>
          <w:p w14:paraId="3907E033" w14:textId="77777777" w:rsidR="006F6365" w:rsidRPr="006B2715" w:rsidRDefault="00F15D0F">
            <w:pPr>
              <w:spacing w:line="252" w:lineRule="auto"/>
              <w:rPr>
                <w:rFonts w:asciiTheme="minorBidi" w:hAnsiTheme="minorBidi"/>
                <w:b/>
                <w:bCs/>
                <w:szCs w:val="24"/>
                <w:lang w:val="en-GB"/>
              </w:rPr>
            </w:pPr>
            <w:r w:rsidRPr="006B2715">
              <w:rPr>
                <w:rFonts w:asciiTheme="minorBidi" w:eastAsia="Times New Roman" w:hAnsiTheme="minorBidi"/>
                <w:b/>
                <w:bCs/>
                <w:szCs w:val="24"/>
                <w:lang w:val="en-GB"/>
              </w:rPr>
              <w:t>Decarbonise copper production</w:t>
            </w:r>
          </w:p>
        </w:tc>
        <w:tc>
          <w:tcPr>
            <w:tcW w:w="1946" w:type="dxa"/>
            <w:tcMar>
              <w:top w:w="70" w:type="dxa"/>
              <w:left w:w="80" w:type="dxa"/>
              <w:bottom w:w="70" w:type="dxa"/>
              <w:right w:w="80" w:type="dxa"/>
            </w:tcMar>
            <w:vAlign w:val="center"/>
          </w:tcPr>
          <w:p w14:paraId="7E30C99C"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Credible lower-emissions basis</w:t>
            </w:r>
          </w:p>
        </w:tc>
        <w:tc>
          <w:tcPr>
            <w:tcW w:w="2256" w:type="dxa"/>
            <w:tcMar>
              <w:top w:w="70" w:type="dxa"/>
              <w:left w:w="80" w:type="dxa"/>
              <w:bottom w:w="70" w:type="dxa"/>
              <w:right w:w="80" w:type="dxa"/>
            </w:tcMar>
            <w:vAlign w:val="center"/>
          </w:tcPr>
          <w:p w14:paraId="30B351A5"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Capital cost; technology immaturity</w:t>
            </w:r>
          </w:p>
        </w:tc>
        <w:tc>
          <w:tcPr>
            <w:tcW w:w="2332" w:type="dxa"/>
            <w:tcMar>
              <w:top w:w="70" w:type="dxa"/>
              <w:left w:w="80" w:type="dxa"/>
              <w:bottom w:w="70" w:type="dxa"/>
              <w:right w:w="80" w:type="dxa"/>
            </w:tcMar>
            <w:vAlign w:val="center"/>
          </w:tcPr>
          <w:p w14:paraId="6A4FF70A"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Emissions intensity; renewable-electricity share</w:t>
            </w:r>
          </w:p>
        </w:tc>
      </w:tr>
      <w:tr w:rsidR="006F6365" w:rsidRPr="006B2715" w14:paraId="55A407B2" w14:textId="77777777" w:rsidTr="002C5053">
        <w:trPr>
          <w:jc w:val="center"/>
        </w:trPr>
        <w:tc>
          <w:tcPr>
            <w:tcW w:w="2693" w:type="dxa"/>
            <w:tcMar>
              <w:top w:w="70" w:type="dxa"/>
              <w:left w:w="80" w:type="dxa"/>
              <w:bottom w:w="70" w:type="dxa"/>
              <w:right w:w="80" w:type="dxa"/>
            </w:tcMar>
            <w:vAlign w:val="center"/>
          </w:tcPr>
          <w:p w14:paraId="5CAF0C1E" w14:textId="77777777" w:rsidR="006F6365" w:rsidRPr="006B2715" w:rsidRDefault="00F15D0F">
            <w:pPr>
              <w:spacing w:line="252" w:lineRule="auto"/>
              <w:rPr>
                <w:rFonts w:asciiTheme="minorBidi" w:hAnsiTheme="minorBidi"/>
                <w:b/>
                <w:bCs/>
                <w:szCs w:val="24"/>
                <w:lang w:val="en-GB"/>
              </w:rPr>
            </w:pPr>
            <w:r w:rsidRPr="006B2715">
              <w:rPr>
                <w:rFonts w:asciiTheme="minorBidi" w:eastAsia="Times New Roman" w:hAnsiTheme="minorBidi"/>
                <w:b/>
                <w:bCs/>
                <w:szCs w:val="24"/>
                <w:lang w:val="en-GB"/>
              </w:rPr>
              <w:t>Verify product-level carbon</w:t>
            </w:r>
          </w:p>
        </w:tc>
        <w:tc>
          <w:tcPr>
            <w:tcW w:w="1946" w:type="dxa"/>
            <w:tcMar>
              <w:top w:w="70" w:type="dxa"/>
              <w:left w:w="80" w:type="dxa"/>
              <w:bottom w:w="70" w:type="dxa"/>
              <w:right w:w="80" w:type="dxa"/>
            </w:tcMar>
            <w:vAlign w:val="center"/>
          </w:tcPr>
          <w:p w14:paraId="4270C526"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Credible differentiation</w:t>
            </w:r>
          </w:p>
        </w:tc>
        <w:tc>
          <w:tcPr>
            <w:tcW w:w="2256" w:type="dxa"/>
            <w:tcMar>
              <w:top w:w="70" w:type="dxa"/>
              <w:left w:w="80" w:type="dxa"/>
              <w:bottom w:w="70" w:type="dxa"/>
              <w:right w:w="80" w:type="dxa"/>
            </w:tcMar>
            <w:vAlign w:val="center"/>
          </w:tcPr>
          <w:p w14:paraId="7B480C02"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Measurement and verification cost</w:t>
            </w:r>
          </w:p>
        </w:tc>
        <w:tc>
          <w:tcPr>
            <w:tcW w:w="2332" w:type="dxa"/>
            <w:tcMar>
              <w:top w:w="70" w:type="dxa"/>
              <w:left w:w="80" w:type="dxa"/>
              <w:bottom w:w="70" w:type="dxa"/>
              <w:right w:w="80" w:type="dxa"/>
            </w:tcMar>
            <w:vAlign w:val="center"/>
          </w:tcPr>
          <w:p w14:paraId="16019454"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Percentage independently verified</w:t>
            </w:r>
          </w:p>
        </w:tc>
      </w:tr>
      <w:tr w:rsidR="006F6365" w:rsidRPr="006B2715" w14:paraId="5F997D03" w14:textId="77777777" w:rsidTr="002C5053">
        <w:trPr>
          <w:jc w:val="center"/>
        </w:trPr>
        <w:tc>
          <w:tcPr>
            <w:tcW w:w="2693" w:type="dxa"/>
            <w:tcMar>
              <w:top w:w="70" w:type="dxa"/>
              <w:left w:w="80" w:type="dxa"/>
              <w:bottom w:w="70" w:type="dxa"/>
              <w:right w:w="80" w:type="dxa"/>
            </w:tcMar>
            <w:vAlign w:val="center"/>
          </w:tcPr>
          <w:p w14:paraId="10C825D0" w14:textId="77777777" w:rsidR="006F6365" w:rsidRPr="006B2715" w:rsidRDefault="00F15D0F">
            <w:pPr>
              <w:spacing w:line="252" w:lineRule="auto"/>
              <w:rPr>
                <w:rFonts w:asciiTheme="minorBidi" w:hAnsiTheme="minorBidi"/>
                <w:b/>
                <w:bCs/>
                <w:szCs w:val="24"/>
                <w:lang w:val="en-GB"/>
              </w:rPr>
            </w:pPr>
            <w:r w:rsidRPr="006B2715">
              <w:rPr>
                <w:rFonts w:asciiTheme="minorBidi" w:eastAsia="Times New Roman" w:hAnsiTheme="minorBidi"/>
                <w:b/>
                <w:bCs/>
                <w:szCs w:val="24"/>
                <w:lang w:val="en-GB"/>
              </w:rPr>
              <w:lastRenderedPageBreak/>
              <w:t>Trace environmental attributes</w:t>
            </w:r>
          </w:p>
        </w:tc>
        <w:tc>
          <w:tcPr>
            <w:tcW w:w="1946" w:type="dxa"/>
            <w:tcMar>
              <w:top w:w="70" w:type="dxa"/>
              <w:left w:w="80" w:type="dxa"/>
              <w:bottom w:w="70" w:type="dxa"/>
              <w:right w:w="80" w:type="dxa"/>
            </w:tcMar>
            <w:vAlign w:val="center"/>
          </w:tcPr>
          <w:p w14:paraId="695F507C"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Demonstrable performance</w:t>
            </w:r>
          </w:p>
        </w:tc>
        <w:tc>
          <w:tcPr>
            <w:tcW w:w="2256" w:type="dxa"/>
            <w:tcMar>
              <w:top w:w="70" w:type="dxa"/>
              <w:left w:w="80" w:type="dxa"/>
              <w:bottom w:w="70" w:type="dxa"/>
              <w:right w:w="80" w:type="dxa"/>
            </w:tcMar>
            <w:vAlign w:val="center"/>
          </w:tcPr>
          <w:p w14:paraId="089FA088"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Double counting; governance failure</w:t>
            </w:r>
          </w:p>
        </w:tc>
        <w:tc>
          <w:tcPr>
            <w:tcW w:w="2332" w:type="dxa"/>
            <w:tcMar>
              <w:top w:w="70" w:type="dxa"/>
              <w:left w:w="80" w:type="dxa"/>
              <w:bottom w:w="70" w:type="dxa"/>
              <w:right w:w="80" w:type="dxa"/>
            </w:tcMar>
            <w:vAlign w:val="center"/>
          </w:tcPr>
          <w:p w14:paraId="6EDE4211"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Tonnes traceable</w:t>
            </w:r>
          </w:p>
        </w:tc>
      </w:tr>
      <w:tr w:rsidR="006F6365" w:rsidRPr="006B2715" w14:paraId="476D9C3D" w14:textId="77777777" w:rsidTr="002C5053">
        <w:trPr>
          <w:jc w:val="center"/>
        </w:trPr>
        <w:tc>
          <w:tcPr>
            <w:tcW w:w="2693" w:type="dxa"/>
            <w:tcMar>
              <w:top w:w="70" w:type="dxa"/>
              <w:left w:w="80" w:type="dxa"/>
              <w:bottom w:w="70" w:type="dxa"/>
              <w:right w:w="80" w:type="dxa"/>
            </w:tcMar>
            <w:vAlign w:val="center"/>
          </w:tcPr>
          <w:p w14:paraId="1E5DB93A" w14:textId="77777777" w:rsidR="006F6365" w:rsidRPr="006B2715" w:rsidRDefault="00F15D0F">
            <w:pPr>
              <w:spacing w:line="252" w:lineRule="auto"/>
              <w:rPr>
                <w:rFonts w:asciiTheme="minorBidi" w:hAnsiTheme="minorBidi"/>
                <w:b/>
                <w:bCs/>
                <w:szCs w:val="24"/>
                <w:lang w:val="en-GB"/>
              </w:rPr>
            </w:pPr>
            <w:r w:rsidRPr="006B2715">
              <w:rPr>
                <w:rFonts w:asciiTheme="minorBidi" w:eastAsia="Times New Roman" w:hAnsiTheme="minorBidi"/>
                <w:b/>
                <w:bCs/>
                <w:szCs w:val="24"/>
                <w:lang w:val="en-GB"/>
              </w:rPr>
              <w:t>Scale selectively</w:t>
            </w:r>
          </w:p>
        </w:tc>
        <w:tc>
          <w:tcPr>
            <w:tcW w:w="1946" w:type="dxa"/>
            <w:tcMar>
              <w:top w:w="70" w:type="dxa"/>
              <w:left w:w="80" w:type="dxa"/>
              <w:bottom w:w="70" w:type="dxa"/>
              <w:right w:w="80" w:type="dxa"/>
            </w:tcMar>
            <w:vAlign w:val="center"/>
          </w:tcPr>
          <w:p w14:paraId="0C97B772"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Capital discipline</w:t>
            </w:r>
          </w:p>
        </w:tc>
        <w:tc>
          <w:tcPr>
            <w:tcW w:w="2256" w:type="dxa"/>
            <w:tcMar>
              <w:top w:w="70" w:type="dxa"/>
              <w:left w:w="80" w:type="dxa"/>
              <w:bottom w:w="70" w:type="dxa"/>
              <w:right w:w="80" w:type="dxa"/>
            </w:tcMar>
            <w:vAlign w:val="center"/>
          </w:tcPr>
          <w:p w14:paraId="33654DEE"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Volatility; imitation; overinvestment</w:t>
            </w:r>
          </w:p>
        </w:tc>
        <w:tc>
          <w:tcPr>
            <w:tcW w:w="2332" w:type="dxa"/>
            <w:tcMar>
              <w:top w:w="70" w:type="dxa"/>
              <w:left w:w="80" w:type="dxa"/>
              <w:bottom w:w="70" w:type="dxa"/>
              <w:right w:w="80" w:type="dxa"/>
            </w:tcMar>
            <w:vAlign w:val="center"/>
          </w:tcPr>
          <w:p w14:paraId="506B822B" w14:textId="77777777" w:rsidR="006F6365" w:rsidRPr="006B2715" w:rsidRDefault="00F15D0F">
            <w:pPr>
              <w:spacing w:line="252" w:lineRule="auto"/>
              <w:rPr>
                <w:rFonts w:asciiTheme="minorBidi" w:hAnsiTheme="minorBidi"/>
                <w:szCs w:val="24"/>
                <w:lang w:val="en-GB"/>
              </w:rPr>
            </w:pPr>
            <w:r w:rsidRPr="006B2715">
              <w:rPr>
                <w:rFonts w:asciiTheme="minorBidi" w:eastAsia="Times New Roman" w:hAnsiTheme="minorBidi"/>
                <w:szCs w:val="24"/>
                <w:lang w:val="en-GB"/>
              </w:rPr>
              <w:t>Return on decarbonisation investment; incremental margin</w:t>
            </w:r>
          </w:p>
        </w:tc>
      </w:tr>
    </w:tbl>
    <w:p w14:paraId="2188C953" w14:textId="4FE94067" w:rsidR="00393B7A" w:rsidRPr="006B2715" w:rsidRDefault="00393B7A" w:rsidP="00F15D4B">
      <w:pPr>
        <w:rPr>
          <w:rFonts w:asciiTheme="minorBidi" w:hAnsiTheme="minorBidi"/>
          <w:szCs w:val="24"/>
          <w:lang w:val="en-GB"/>
        </w:rPr>
      </w:pPr>
      <w:r w:rsidRPr="006B2715">
        <w:rPr>
          <w:rFonts w:asciiTheme="minorBidi" w:eastAsia="Times New Roman" w:hAnsiTheme="minorBidi"/>
          <w:szCs w:val="24"/>
          <w:lang w:val="en-GB"/>
        </w:rPr>
        <w:t>Source: Self-made based on BHP (2026a), ACCC (n.d.) and Ong et al. (2024).</w:t>
      </w:r>
    </w:p>
    <w:p w14:paraId="1B023349" w14:textId="0DE83D6A" w:rsidR="006F6365" w:rsidRPr="006B2715" w:rsidRDefault="00F15D0F" w:rsidP="00DD7443">
      <w:pPr>
        <w:pStyle w:val="Heading1"/>
        <w:spacing w:before="0" w:after="120"/>
        <w:jc w:val="center"/>
        <w:rPr>
          <w:rFonts w:asciiTheme="minorBidi" w:hAnsiTheme="minorBidi" w:cstheme="minorBidi"/>
          <w:sz w:val="24"/>
          <w:szCs w:val="24"/>
          <w:lang w:val="en-GB"/>
        </w:rPr>
      </w:pPr>
      <w:r w:rsidRPr="006B2715">
        <w:rPr>
          <w:rFonts w:asciiTheme="minorBidi" w:eastAsia="Times New Roman" w:hAnsiTheme="minorBidi" w:cstheme="minorBidi"/>
          <w:sz w:val="24"/>
          <w:szCs w:val="24"/>
          <w:lang w:val="en-GB"/>
        </w:rPr>
        <w:t>Task 3: Managerial and Professional Reflection</w:t>
      </w:r>
    </w:p>
    <w:p w14:paraId="3B5347FE" w14:textId="18219795" w:rsidR="00A63E0E" w:rsidRPr="006B2715" w:rsidRDefault="00A63E0E" w:rsidP="00D46983">
      <w:pPr>
        <w:jc w:val="both"/>
        <w:rPr>
          <w:rFonts w:asciiTheme="minorBidi" w:eastAsia="Times New Roman" w:hAnsiTheme="minorBidi"/>
          <w:b/>
          <w:bCs/>
          <w:szCs w:val="24"/>
          <w:lang w:val="en-GB"/>
        </w:rPr>
      </w:pPr>
      <w:r w:rsidRPr="006B2715">
        <w:rPr>
          <w:rFonts w:asciiTheme="minorBidi" w:eastAsia="Times New Roman" w:hAnsiTheme="minorBidi"/>
          <w:b/>
          <w:bCs/>
          <w:szCs w:val="24"/>
          <w:lang w:val="en-GB"/>
        </w:rPr>
        <w:t>Choice of External Actors</w:t>
      </w:r>
    </w:p>
    <w:p w14:paraId="1CDE736F" w14:textId="4DD22C47" w:rsidR="00A63E0E" w:rsidRPr="006B2715" w:rsidRDefault="008663C6" w:rsidP="00D46983">
      <w:pPr>
        <w:jc w:val="both"/>
        <w:rPr>
          <w:rFonts w:asciiTheme="minorBidi" w:hAnsiTheme="minorBidi"/>
          <w:szCs w:val="24"/>
          <w:lang w:val="en-GB"/>
        </w:rPr>
      </w:pPr>
      <w:r w:rsidRPr="006B2715">
        <w:rPr>
          <w:rFonts w:asciiTheme="minorBidi" w:eastAsia="Times New Roman" w:hAnsiTheme="minorBidi"/>
          <w:szCs w:val="24"/>
          <w:lang w:val="en-GB"/>
        </w:rPr>
        <w:t xml:space="preserve">Reflecting on the decisions </w:t>
      </w:r>
      <w:r w:rsidR="00D46983" w:rsidRPr="006B2715">
        <w:rPr>
          <w:rFonts w:asciiTheme="minorBidi" w:eastAsia="Times New Roman" w:hAnsiTheme="minorBidi"/>
          <w:szCs w:val="24"/>
          <w:lang w:val="en-GB"/>
        </w:rPr>
        <w:t xml:space="preserve">in this report, BHP is an informative example </w:t>
      </w:r>
      <w:r w:rsidR="00F15D4B" w:rsidRPr="006B2715">
        <w:rPr>
          <w:rFonts w:asciiTheme="minorBidi" w:eastAsia="Times New Roman" w:hAnsiTheme="minorBidi"/>
          <w:szCs w:val="24"/>
          <w:lang w:val="en-GB"/>
        </w:rPr>
        <w:t xml:space="preserve">because it illustrates the conflict between mining's environmental impacts </w:t>
      </w:r>
      <w:r w:rsidR="00D46983" w:rsidRPr="006B2715">
        <w:rPr>
          <w:rFonts w:asciiTheme="minorBidi" w:eastAsia="Times New Roman" w:hAnsiTheme="minorBidi"/>
          <w:szCs w:val="24"/>
          <w:lang w:val="en-GB"/>
        </w:rPr>
        <w:t>and the role</w:t>
      </w:r>
      <w:r w:rsidRPr="006B2715">
        <w:rPr>
          <w:rFonts w:asciiTheme="minorBidi" w:eastAsia="Times New Roman" w:hAnsiTheme="minorBidi"/>
          <w:szCs w:val="24"/>
          <w:lang w:val="en-GB"/>
        </w:rPr>
        <w:t xml:space="preserve"> of minerals like copper in electrification and infrastructure. Although the assessment recommends BHP, </w:t>
      </w:r>
      <w:r w:rsidR="00D46983" w:rsidRPr="006B2715">
        <w:rPr>
          <w:rFonts w:asciiTheme="minorBidi" w:eastAsia="Times New Roman" w:hAnsiTheme="minorBidi"/>
          <w:szCs w:val="24"/>
          <w:lang w:val="en-GB"/>
        </w:rPr>
        <w:t xml:space="preserve">I </w:t>
      </w:r>
      <w:r w:rsidR="00F15D4B" w:rsidRPr="006B2715">
        <w:rPr>
          <w:rFonts w:asciiTheme="minorBidi" w:eastAsia="Times New Roman" w:hAnsiTheme="minorBidi"/>
          <w:szCs w:val="24"/>
          <w:lang w:val="en-GB"/>
        </w:rPr>
        <w:t>chose</w:t>
      </w:r>
      <w:r w:rsidRPr="006B2715">
        <w:rPr>
          <w:rFonts w:asciiTheme="minorBidi" w:eastAsia="Times New Roman" w:hAnsiTheme="minorBidi"/>
          <w:szCs w:val="24"/>
          <w:lang w:val="en-GB"/>
        </w:rPr>
        <w:t xml:space="preserve"> the external forces that mattered most to its lower-carbon transition. I </w:t>
      </w:r>
      <w:r w:rsidR="00D46983" w:rsidRPr="006B2715">
        <w:rPr>
          <w:rFonts w:asciiTheme="minorBidi" w:eastAsia="Times New Roman" w:hAnsiTheme="minorBidi"/>
          <w:szCs w:val="24"/>
          <w:lang w:val="en-GB"/>
        </w:rPr>
        <w:t>prioritised the Environmental, Political, and Legal actors because they represent three distinct pressures: the environmental impact of mining, uncertainty about the government's climate policy direction, and binding requirements that affect</w:t>
      </w:r>
      <w:r w:rsidRPr="006B2715">
        <w:rPr>
          <w:rFonts w:asciiTheme="minorBidi" w:eastAsia="Times New Roman" w:hAnsiTheme="minorBidi"/>
          <w:szCs w:val="24"/>
          <w:lang w:val="en-GB"/>
        </w:rPr>
        <w:t xml:space="preserve"> operating and investment choices</w:t>
      </w:r>
      <w:r w:rsidR="00A63E0E" w:rsidRPr="006B2715">
        <w:rPr>
          <w:rFonts w:asciiTheme="minorBidi" w:eastAsia="Times New Roman" w:hAnsiTheme="minorBidi"/>
          <w:szCs w:val="24"/>
          <w:lang w:val="en-GB"/>
        </w:rPr>
        <w:t>.</w:t>
      </w:r>
      <w:r w:rsidR="00A63E0E" w:rsidRPr="006B2715">
        <w:rPr>
          <w:rFonts w:asciiTheme="minorBidi" w:hAnsiTheme="minorBidi"/>
          <w:szCs w:val="24"/>
          <w:lang w:val="en-GB"/>
        </w:rPr>
        <w:t xml:space="preserve"> </w:t>
      </w:r>
    </w:p>
    <w:p w14:paraId="34162E8C" w14:textId="77777777" w:rsidR="00F15D4B" w:rsidRPr="006B2715" w:rsidRDefault="00F15D4B" w:rsidP="00D46983">
      <w:pPr>
        <w:jc w:val="both"/>
        <w:rPr>
          <w:rFonts w:asciiTheme="minorBidi" w:hAnsiTheme="minorBidi"/>
          <w:szCs w:val="24"/>
          <w:lang w:val="en-GB"/>
        </w:rPr>
      </w:pPr>
    </w:p>
    <w:p w14:paraId="5187D12F" w14:textId="6270CFBD" w:rsidR="00A63E0E" w:rsidRPr="006B2715" w:rsidRDefault="00A63E0E" w:rsidP="00D46983">
      <w:pPr>
        <w:jc w:val="both"/>
        <w:rPr>
          <w:rFonts w:asciiTheme="minorBidi" w:eastAsia="Times New Roman" w:hAnsiTheme="minorBidi"/>
          <w:b/>
          <w:bCs/>
          <w:szCs w:val="24"/>
          <w:lang w:val="en-GB"/>
        </w:rPr>
      </w:pPr>
      <w:r w:rsidRPr="006B2715">
        <w:rPr>
          <w:rFonts w:asciiTheme="minorBidi" w:eastAsia="Times New Roman" w:hAnsiTheme="minorBidi"/>
          <w:b/>
          <w:bCs/>
          <w:szCs w:val="24"/>
          <w:lang w:val="en-GB"/>
        </w:rPr>
        <w:t>Change in Perspective</w:t>
      </w:r>
    </w:p>
    <w:p w14:paraId="2749C57D" w14:textId="34A8F9E7" w:rsidR="008663C6" w:rsidRPr="006B2715" w:rsidRDefault="008663C6" w:rsidP="00D46983">
      <w:pPr>
        <w:jc w:val="both"/>
        <w:rPr>
          <w:rFonts w:asciiTheme="minorBidi" w:eastAsia="Times New Roman" w:hAnsiTheme="minorBidi"/>
          <w:szCs w:val="24"/>
          <w:lang w:val="en-GB"/>
        </w:rPr>
      </w:pPr>
      <w:r w:rsidRPr="006B2715">
        <w:rPr>
          <w:rFonts w:asciiTheme="minorBidi" w:eastAsia="Times New Roman" w:hAnsiTheme="minorBidi"/>
          <w:szCs w:val="24"/>
          <w:lang w:val="en-GB"/>
        </w:rPr>
        <w:t xml:space="preserve">My initial assumption was that increasing copper production would be the most self-evident method for BHP to expand. The analysis </w:t>
      </w:r>
      <w:r w:rsidR="00D46983" w:rsidRPr="006B2715">
        <w:rPr>
          <w:rFonts w:asciiTheme="minorBidi" w:eastAsia="Times New Roman" w:hAnsiTheme="minorBidi"/>
          <w:szCs w:val="24"/>
          <w:lang w:val="en-GB"/>
        </w:rPr>
        <w:t xml:space="preserve">challenged this view by showing that volume growth can increase emissions, water and biodiversity pressures, and </w:t>
      </w:r>
      <w:r w:rsidRPr="006B2715">
        <w:rPr>
          <w:rFonts w:asciiTheme="minorBidi" w:eastAsia="Times New Roman" w:hAnsiTheme="minorBidi"/>
          <w:szCs w:val="24"/>
          <w:lang w:val="en-GB"/>
        </w:rPr>
        <w:t xml:space="preserve">subject BHP to policy and compliance risks. I therefore realised that true environmental enhancement </w:t>
      </w:r>
      <w:r w:rsidR="00D46983" w:rsidRPr="006B2715">
        <w:rPr>
          <w:rFonts w:asciiTheme="minorBidi" w:eastAsia="Times New Roman" w:hAnsiTheme="minorBidi"/>
          <w:szCs w:val="24"/>
          <w:lang w:val="en-GB"/>
        </w:rPr>
        <w:t xml:space="preserve">requires sustainable development and must be included in BHP's marketing pattern, and cannot be considered </w:t>
      </w:r>
      <w:r w:rsidRPr="006B2715">
        <w:rPr>
          <w:rFonts w:asciiTheme="minorBidi" w:eastAsia="Times New Roman" w:hAnsiTheme="minorBidi"/>
          <w:szCs w:val="24"/>
          <w:lang w:val="en-GB"/>
        </w:rPr>
        <w:t>in isolation.</w:t>
      </w:r>
    </w:p>
    <w:p w14:paraId="1197BA3B" w14:textId="77777777" w:rsidR="00F15D4B" w:rsidRPr="006B2715" w:rsidRDefault="00F15D4B" w:rsidP="00D46983">
      <w:pPr>
        <w:jc w:val="both"/>
        <w:rPr>
          <w:rFonts w:asciiTheme="minorBidi" w:eastAsia="Times New Roman" w:hAnsiTheme="minorBidi"/>
          <w:szCs w:val="24"/>
          <w:lang w:val="en-GB"/>
        </w:rPr>
      </w:pPr>
    </w:p>
    <w:p w14:paraId="02990F4B" w14:textId="2146A160" w:rsidR="00A63E0E" w:rsidRPr="006B2715" w:rsidRDefault="00A63E0E" w:rsidP="00D46983">
      <w:pPr>
        <w:jc w:val="both"/>
        <w:rPr>
          <w:rFonts w:asciiTheme="minorBidi" w:eastAsia="Times New Roman" w:hAnsiTheme="minorBidi"/>
          <w:b/>
          <w:bCs/>
          <w:szCs w:val="24"/>
          <w:lang w:val="en-GB"/>
        </w:rPr>
      </w:pPr>
      <w:r w:rsidRPr="006B2715">
        <w:rPr>
          <w:rFonts w:asciiTheme="minorBidi" w:eastAsia="Times New Roman" w:hAnsiTheme="minorBidi"/>
          <w:b/>
          <w:bCs/>
          <w:szCs w:val="24"/>
          <w:lang w:val="en-GB"/>
        </w:rPr>
        <w:t>Strategic Recommendation</w:t>
      </w:r>
    </w:p>
    <w:p w14:paraId="3D67F2B0" w14:textId="77777777" w:rsidR="00F15D4B" w:rsidRPr="006B2715" w:rsidRDefault="008663C6" w:rsidP="00D46983">
      <w:pPr>
        <w:jc w:val="both"/>
        <w:rPr>
          <w:rFonts w:asciiTheme="minorBidi" w:eastAsia="Times New Roman" w:hAnsiTheme="minorBidi"/>
          <w:szCs w:val="24"/>
          <w:lang w:val="en-GB"/>
        </w:rPr>
      </w:pPr>
      <w:r w:rsidRPr="006B2715">
        <w:rPr>
          <w:rFonts w:asciiTheme="minorBidi" w:eastAsia="Times New Roman" w:hAnsiTheme="minorBidi"/>
          <w:szCs w:val="24"/>
          <w:lang w:val="en-GB"/>
        </w:rPr>
        <w:t xml:space="preserve">This new knowledge also affected the strategic approach that I suggested. </w:t>
      </w:r>
      <w:r w:rsidR="00D46983" w:rsidRPr="006B2715">
        <w:rPr>
          <w:rFonts w:asciiTheme="minorBidi" w:eastAsia="Times New Roman" w:hAnsiTheme="minorBidi"/>
          <w:szCs w:val="24"/>
          <w:lang w:val="en-GB"/>
        </w:rPr>
        <w:t>I chose Product Development because BHP can enhance an existing copper product with proven lower-emissions performance, product-level environmental data, and traceability while</w:t>
      </w:r>
      <w:r w:rsidRPr="006B2715">
        <w:rPr>
          <w:rFonts w:asciiTheme="minorBidi" w:eastAsia="Times New Roman" w:hAnsiTheme="minorBidi"/>
          <w:szCs w:val="24"/>
          <w:lang w:val="en-GB"/>
        </w:rPr>
        <w:t xml:space="preserve"> staying within existing markets. Market Penetration may </w:t>
      </w:r>
      <w:r w:rsidR="00D46983" w:rsidRPr="006B2715">
        <w:rPr>
          <w:rFonts w:asciiTheme="minorBidi" w:eastAsia="Times New Roman" w:hAnsiTheme="minorBidi"/>
          <w:szCs w:val="24"/>
          <w:lang w:val="en-GB"/>
        </w:rPr>
        <w:t>meet growing demand, but would leave BHP's offerings largely unchanged</w:t>
      </w:r>
      <w:r w:rsidRPr="006B2715">
        <w:rPr>
          <w:rFonts w:asciiTheme="minorBidi" w:eastAsia="Times New Roman" w:hAnsiTheme="minorBidi"/>
          <w:szCs w:val="24"/>
          <w:lang w:val="en-GB"/>
        </w:rPr>
        <w:t xml:space="preserve">. Market Development </w:t>
      </w:r>
      <w:r w:rsidR="00F15D4B" w:rsidRPr="006B2715">
        <w:rPr>
          <w:rFonts w:asciiTheme="minorBidi" w:eastAsia="Times New Roman" w:hAnsiTheme="minorBidi"/>
          <w:szCs w:val="24"/>
          <w:lang w:val="en-GB"/>
        </w:rPr>
        <w:t xml:space="preserve">could enter new markets without significant environmental </w:t>
      </w:r>
      <w:r w:rsidR="00F15D4B" w:rsidRPr="006B2715">
        <w:rPr>
          <w:rFonts w:asciiTheme="minorBidi" w:eastAsia="Times New Roman" w:hAnsiTheme="minorBidi"/>
          <w:szCs w:val="24"/>
          <w:lang w:val="en-GB"/>
        </w:rPr>
        <w:lastRenderedPageBreak/>
        <w:t xml:space="preserve">differentiation, whereas Diversification would require more capabilities and carry </w:t>
      </w:r>
      <w:r w:rsidR="00D46983" w:rsidRPr="006B2715">
        <w:rPr>
          <w:rFonts w:asciiTheme="minorBidi" w:eastAsia="Times New Roman" w:hAnsiTheme="minorBidi"/>
          <w:szCs w:val="24"/>
          <w:lang w:val="en-GB"/>
        </w:rPr>
        <w:t>higher execution risk</w:t>
      </w:r>
      <w:r w:rsidRPr="006B2715">
        <w:rPr>
          <w:rFonts w:asciiTheme="minorBidi" w:eastAsia="Times New Roman" w:hAnsiTheme="minorBidi"/>
          <w:szCs w:val="24"/>
          <w:lang w:val="en-GB"/>
        </w:rPr>
        <w:t xml:space="preserve">. Porter's differentiation strategy </w:t>
      </w:r>
      <w:r w:rsidR="00D46983" w:rsidRPr="006B2715">
        <w:rPr>
          <w:rFonts w:asciiTheme="minorBidi" w:eastAsia="Times New Roman" w:hAnsiTheme="minorBidi"/>
          <w:szCs w:val="24"/>
          <w:lang w:val="en-GB"/>
        </w:rPr>
        <w:t>suggests that BHP can compete by demonstrating visible, tangible environmental performance that competitors cannot easily replicate, rather than</w:t>
      </w:r>
      <w:r w:rsidRPr="006B2715">
        <w:rPr>
          <w:rFonts w:asciiTheme="minorBidi" w:eastAsia="Times New Roman" w:hAnsiTheme="minorBidi"/>
          <w:szCs w:val="24"/>
          <w:lang w:val="en-GB"/>
        </w:rPr>
        <w:t xml:space="preserve"> just making sustainability claims.</w:t>
      </w:r>
    </w:p>
    <w:p w14:paraId="542A2353" w14:textId="4C6B7830" w:rsidR="008663C6" w:rsidRPr="006B2715" w:rsidRDefault="008663C6" w:rsidP="00D46983">
      <w:pPr>
        <w:jc w:val="both"/>
        <w:rPr>
          <w:rFonts w:asciiTheme="minorBidi" w:eastAsia="Times New Roman" w:hAnsiTheme="minorBidi"/>
          <w:szCs w:val="24"/>
          <w:lang w:val="en-GB"/>
        </w:rPr>
      </w:pPr>
      <w:r w:rsidRPr="006B2715">
        <w:rPr>
          <w:rFonts w:asciiTheme="minorBidi" w:eastAsia="Times New Roman" w:hAnsiTheme="minorBidi"/>
          <w:szCs w:val="24"/>
          <w:lang w:val="en-GB"/>
        </w:rPr>
        <w:t>I also realised that differentiation might not be sustainable</w:t>
      </w:r>
      <w:r w:rsidR="00D46983" w:rsidRPr="006B2715">
        <w:rPr>
          <w:rFonts w:asciiTheme="minorBidi" w:eastAsia="Times New Roman" w:hAnsiTheme="minorBidi"/>
          <w:szCs w:val="24"/>
          <w:lang w:val="en-GB"/>
        </w:rPr>
        <w:t>, since competitors could reduce emissions</w:t>
      </w:r>
      <w:r w:rsidRPr="006B2715">
        <w:rPr>
          <w:rFonts w:asciiTheme="minorBidi" w:eastAsia="Times New Roman" w:hAnsiTheme="minorBidi"/>
          <w:szCs w:val="24"/>
          <w:lang w:val="en-GB"/>
        </w:rPr>
        <w:t xml:space="preserve"> and lower-carbon performance might become standard practice in the industry. Differentiation thus needs efficient operations and cost control.</w:t>
      </w:r>
      <w:r w:rsidR="00F15D4B" w:rsidRPr="006B2715">
        <w:rPr>
          <w:rFonts w:asciiTheme="minorBidi" w:eastAsia="Times New Roman" w:hAnsiTheme="minorBidi"/>
          <w:szCs w:val="24"/>
          <w:lang w:val="en-GB"/>
        </w:rPr>
        <w:t xml:space="preserve"> </w:t>
      </w:r>
    </w:p>
    <w:p w14:paraId="0854E93D" w14:textId="77777777" w:rsidR="00F15D4B" w:rsidRPr="006B2715" w:rsidRDefault="00F15D4B" w:rsidP="00D46983">
      <w:pPr>
        <w:jc w:val="both"/>
        <w:rPr>
          <w:rFonts w:asciiTheme="minorBidi" w:eastAsia="Times New Roman" w:hAnsiTheme="minorBidi"/>
          <w:szCs w:val="24"/>
          <w:lang w:val="en-GB"/>
        </w:rPr>
      </w:pPr>
    </w:p>
    <w:p w14:paraId="443BA675" w14:textId="77777777" w:rsidR="00A63E0E" w:rsidRPr="006B2715" w:rsidRDefault="00A63E0E" w:rsidP="00D46983">
      <w:pPr>
        <w:jc w:val="both"/>
        <w:rPr>
          <w:rFonts w:asciiTheme="minorBidi" w:eastAsia="Times New Roman" w:hAnsiTheme="minorBidi"/>
          <w:b/>
          <w:bCs/>
          <w:szCs w:val="24"/>
          <w:lang w:val="en-GB"/>
        </w:rPr>
      </w:pPr>
      <w:r w:rsidRPr="006B2715">
        <w:rPr>
          <w:rFonts w:asciiTheme="minorBidi" w:eastAsia="Times New Roman" w:hAnsiTheme="minorBidi"/>
          <w:b/>
          <w:bCs/>
          <w:szCs w:val="24"/>
          <w:lang w:val="en-GB"/>
        </w:rPr>
        <w:t>Limitations</w:t>
      </w:r>
    </w:p>
    <w:p w14:paraId="519E0088" w14:textId="77777777" w:rsidR="00523017" w:rsidRPr="006B2715" w:rsidRDefault="008663C6" w:rsidP="00D46983">
      <w:pPr>
        <w:jc w:val="both"/>
        <w:rPr>
          <w:rFonts w:asciiTheme="minorBidi" w:eastAsia="Times New Roman" w:hAnsiTheme="minorBidi"/>
          <w:szCs w:val="24"/>
          <w:lang w:val="en-GB"/>
        </w:rPr>
      </w:pPr>
      <w:r w:rsidRPr="006B2715">
        <w:rPr>
          <w:rFonts w:asciiTheme="minorBidi" w:eastAsia="Times New Roman" w:hAnsiTheme="minorBidi"/>
          <w:szCs w:val="24"/>
          <w:lang w:val="en-GB"/>
        </w:rPr>
        <w:t>There are significant limitations to the analysis.</w:t>
      </w:r>
      <w:r w:rsidR="00523017" w:rsidRPr="006B2715">
        <w:rPr>
          <w:rFonts w:asciiTheme="minorBidi" w:eastAsia="Times New Roman" w:hAnsiTheme="minorBidi"/>
          <w:szCs w:val="24"/>
          <w:lang w:val="en-GB"/>
        </w:rPr>
        <w:t xml:space="preserve"> </w:t>
      </w:r>
      <w:r w:rsidR="00523017" w:rsidRPr="006B2715">
        <w:rPr>
          <w:rFonts w:asciiTheme="minorBidi" w:eastAsia="Times New Roman" w:hAnsiTheme="minorBidi"/>
          <w:szCs w:val="24"/>
        </w:rPr>
        <w:t>BHP's evidence is largely self-reported, which can present a positive view of its performance but limits the ability to make future predictions</w:t>
      </w:r>
      <w:r w:rsidRPr="006B2715">
        <w:rPr>
          <w:rFonts w:asciiTheme="minorBidi" w:eastAsia="Times New Roman" w:hAnsiTheme="minorBidi"/>
          <w:szCs w:val="24"/>
          <w:lang w:val="en-GB"/>
        </w:rPr>
        <w:t xml:space="preserve">. </w:t>
      </w:r>
      <w:r w:rsidR="00F15D4B" w:rsidRPr="006B2715">
        <w:rPr>
          <w:rFonts w:asciiTheme="minorBidi" w:eastAsia="Times New Roman" w:hAnsiTheme="minorBidi"/>
          <w:szCs w:val="24"/>
          <w:lang w:val="en-GB"/>
        </w:rPr>
        <w:t xml:space="preserve">Changes in BHP's portfolio, such as the temporary shutdown of Western Australia Nickel, also affected the reported decrease in operational emissions, complicating </w:t>
      </w:r>
      <w:r w:rsidRPr="006B2715">
        <w:rPr>
          <w:rFonts w:asciiTheme="minorBidi" w:eastAsia="Times New Roman" w:hAnsiTheme="minorBidi"/>
          <w:szCs w:val="24"/>
          <w:lang w:val="en-GB"/>
        </w:rPr>
        <w:t xml:space="preserve">interpretation of the results (BHP, 2026a). </w:t>
      </w:r>
    </w:p>
    <w:p w14:paraId="6F9A1BF7" w14:textId="1305691C" w:rsidR="008663C6" w:rsidRPr="006B2715" w:rsidRDefault="008663C6" w:rsidP="00D46983">
      <w:pPr>
        <w:jc w:val="both"/>
        <w:rPr>
          <w:rFonts w:asciiTheme="minorBidi" w:eastAsia="Times New Roman" w:hAnsiTheme="minorBidi"/>
          <w:szCs w:val="24"/>
          <w:lang w:val="en-GB"/>
        </w:rPr>
      </w:pPr>
      <w:r w:rsidRPr="006B2715">
        <w:rPr>
          <w:rFonts w:asciiTheme="minorBidi" w:eastAsia="Times New Roman" w:hAnsiTheme="minorBidi"/>
          <w:szCs w:val="24"/>
          <w:lang w:val="en-GB"/>
        </w:rPr>
        <w:t xml:space="preserve">Studies indicate that loyal customers </w:t>
      </w:r>
      <w:r w:rsidR="00D46983" w:rsidRPr="006B2715">
        <w:rPr>
          <w:rFonts w:asciiTheme="minorBidi" w:eastAsia="Times New Roman" w:hAnsiTheme="minorBidi"/>
          <w:szCs w:val="24"/>
          <w:lang w:val="en-GB"/>
        </w:rPr>
        <w:t>may be more willing to pay and less likely to switch suppliers, although this data is not mining-specific and does not show how BHP customers would</w:t>
      </w:r>
      <w:r w:rsidRPr="006B2715">
        <w:rPr>
          <w:rFonts w:asciiTheme="minorBidi" w:eastAsia="Times New Roman" w:hAnsiTheme="minorBidi"/>
          <w:szCs w:val="24"/>
          <w:lang w:val="en-GB"/>
        </w:rPr>
        <w:t xml:space="preserve"> react (Casidy &amp; Lie, 2023). Public information also offers partial insights into </w:t>
      </w:r>
      <w:r w:rsidR="00D46983" w:rsidRPr="006B2715">
        <w:rPr>
          <w:rFonts w:asciiTheme="minorBidi" w:eastAsia="Times New Roman" w:hAnsiTheme="minorBidi"/>
          <w:szCs w:val="24"/>
          <w:lang w:val="en-GB"/>
        </w:rPr>
        <w:t xml:space="preserve">competitors' production costs, project-level margins, internal investment thresholds, and the cost of scaling </w:t>
      </w:r>
      <w:r w:rsidRPr="006B2715">
        <w:rPr>
          <w:rFonts w:asciiTheme="minorBidi" w:eastAsia="Times New Roman" w:hAnsiTheme="minorBidi"/>
          <w:szCs w:val="24"/>
          <w:lang w:val="en-GB"/>
        </w:rPr>
        <w:t>lower-emissions technologies.</w:t>
      </w:r>
    </w:p>
    <w:p w14:paraId="314184C3" w14:textId="77777777" w:rsidR="00F15D4B" w:rsidRPr="006B2715" w:rsidRDefault="00F15D4B" w:rsidP="00D46983">
      <w:pPr>
        <w:jc w:val="both"/>
        <w:rPr>
          <w:rFonts w:asciiTheme="minorBidi" w:eastAsia="Times New Roman" w:hAnsiTheme="minorBidi"/>
          <w:szCs w:val="24"/>
          <w:lang w:val="en-GB"/>
        </w:rPr>
      </w:pPr>
    </w:p>
    <w:p w14:paraId="6E2710BC" w14:textId="0FBDE774" w:rsidR="00A63E0E" w:rsidRPr="006B2715" w:rsidRDefault="00A63E0E" w:rsidP="00DD7443">
      <w:pPr>
        <w:jc w:val="both"/>
        <w:rPr>
          <w:rFonts w:asciiTheme="minorBidi" w:eastAsia="Times New Roman" w:hAnsiTheme="minorBidi"/>
          <w:b/>
          <w:bCs/>
          <w:szCs w:val="24"/>
          <w:lang w:val="en-GB"/>
        </w:rPr>
      </w:pPr>
      <w:r w:rsidRPr="006B2715">
        <w:rPr>
          <w:rFonts w:asciiTheme="minorBidi" w:eastAsia="Times New Roman" w:hAnsiTheme="minorBidi"/>
          <w:b/>
          <w:bCs/>
          <w:szCs w:val="24"/>
          <w:lang w:val="en-GB"/>
        </w:rPr>
        <w:t>Additional Information Needed</w:t>
      </w:r>
    </w:p>
    <w:p w14:paraId="062FB364" w14:textId="41871F7B" w:rsidR="008663C6" w:rsidRPr="006B2715" w:rsidRDefault="00DD7443" w:rsidP="00DD7443">
      <w:pPr>
        <w:jc w:val="both"/>
        <w:rPr>
          <w:rFonts w:asciiTheme="minorBidi" w:eastAsia="Times New Roman" w:hAnsiTheme="minorBidi"/>
          <w:szCs w:val="24"/>
          <w:lang w:val="en-GB"/>
        </w:rPr>
      </w:pPr>
      <w:r w:rsidRPr="006B2715">
        <w:rPr>
          <w:rFonts w:asciiTheme="minorBidi" w:eastAsia="Times New Roman" w:hAnsiTheme="minorBidi"/>
          <w:szCs w:val="24"/>
          <w:lang w:val="en-GB"/>
        </w:rPr>
        <w:t xml:space="preserve">Before </w:t>
      </w:r>
      <w:r w:rsidR="00C465B1" w:rsidRPr="006B2715">
        <w:rPr>
          <w:rFonts w:asciiTheme="minorBidi" w:eastAsia="Times New Roman" w:hAnsiTheme="minorBidi"/>
          <w:szCs w:val="24"/>
          <w:lang w:val="en-GB"/>
        </w:rPr>
        <w:t>recommending a final course of action to senior management, I would asses</w:t>
      </w:r>
      <w:r w:rsidR="006B2715" w:rsidRPr="006B2715">
        <w:rPr>
          <w:rFonts w:asciiTheme="minorBidi" w:eastAsia="Times New Roman" w:hAnsiTheme="minorBidi"/>
          <w:szCs w:val="24"/>
          <w:lang w:val="en-GB"/>
        </w:rPr>
        <w:t>s</w:t>
      </w:r>
      <w:r w:rsidRPr="006B2715">
        <w:rPr>
          <w:rFonts w:asciiTheme="minorBidi" w:eastAsia="Times New Roman" w:hAnsiTheme="minorBidi"/>
          <w:szCs w:val="24"/>
          <w:lang w:val="en-GB"/>
        </w:rPr>
        <w:t xml:space="preserve"> </w:t>
      </w:r>
      <w:r w:rsidR="00F15D4B" w:rsidRPr="006B2715">
        <w:rPr>
          <w:rFonts w:asciiTheme="minorBidi" w:eastAsia="Times New Roman" w:hAnsiTheme="minorBidi"/>
          <w:szCs w:val="24"/>
          <w:lang w:val="en-GB"/>
        </w:rPr>
        <w:t>each asset's costs</w:t>
      </w:r>
      <w:r w:rsidRPr="006B2715">
        <w:rPr>
          <w:rFonts w:asciiTheme="minorBidi" w:eastAsia="Times New Roman" w:hAnsiTheme="minorBidi"/>
          <w:szCs w:val="24"/>
          <w:lang w:val="en-GB"/>
        </w:rPr>
        <w:t>, operating costs, product margins, internal carbon prices, and the cost of reducing emissions</w:t>
      </w:r>
      <w:r w:rsidR="008663C6" w:rsidRPr="006B2715">
        <w:rPr>
          <w:rFonts w:asciiTheme="minorBidi" w:eastAsia="Times New Roman" w:hAnsiTheme="minorBidi"/>
          <w:szCs w:val="24"/>
          <w:lang w:val="en-GB"/>
        </w:rPr>
        <w:t xml:space="preserve">. I would also rely on customer interviews and willingness-to-pay research </w:t>
      </w:r>
      <w:r w:rsidRPr="006B2715">
        <w:rPr>
          <w:rFonts w:asciiTheme="minorBidi" w:eastAsia="Times New Roman" w:hAnsiTheme="minorBidi"/>
          <w:szCs w:val="24"/>
          <w:lang w:val="en-GB"/>
        </w:rPr>
        <w:t xml:space="preserve">to determine whether proven emissions performance, traceability, and certification affect procurement decisions or </w:t>
      </w:r>
      <w:r w:rsidR="008663C6" w:rsidRPr="006B2715">
        <w:rPr>
          <w:rFonts w:asciiTheme="minorBidi" w:eastAsia="Times New Roman" w:hAnsiTheme="minorBidi"/>
          <w:szCs w:val="24"/>
          <w:lang w:val="en-GB"/>
        </w:rPr>
        <w:t xml:space="preserve">contract terms. Competitor benchmarking must </w:t>
      </w:r>
      <w:r w:rsidRPr="006B2715">
        <w:rPr>
          <w:rFonts w:asciiTheme="minorBidi" w:eastAsia="Times New Roman" w:hAnsiTheme="minorBidi"/>
          <w:szCs w:val="24"/>
          <w:lang w:val="en-GB"/>
        </w:rPr>
        <w:t xml:space="preserve">cover emission levels, verification systems, technological requirements, and the </w:t>
      </w:r>
      <w:r w:rsidR="008663C6" w:rsidRPr="006B2715">
        <w:rPr>
          <w:rFonts w:asciiTheme="minorBidi" w:eastAsia="Times New Roman" w:hAnsiTheme="minorBidi"/>
          <w:szCs w:val="24"/>
          <w:lang w:val="en-GB"/>
        </w:rPr>
        <w:t xml:space="preserve">cost of similar lower-carbon projects. Additional data </w:t>
      </w:r>
      <w:r w:rsidRPr="006B2715">
        <w:rPr>
          <w:rFonts w:asciiTheme="minorBidi" w:eastAsia="Times New Roman" w:hAnsiTheme="minorBidi"/>
          <w:szCs w:val="24"/>
          <w:lang w:val="en-GB"/>
        </w:rPr>
        <w:t>should include product life-cycle data, confidential contract evidence, technology-readiness tests, and scenario analyses of commodity prices, carbon payments,</w:t>
      </w:r>
      <w:r w:rsidR="008663C6" w:rsidRPr="006B2715">
        <w:rPr>
          <w:rFonts w:asciiTheme="minorBidi" w:eastAsia="Times New Roman" w:hAnsiTheme="minorBidi"/>
          <w:szCs w:val="24"/>
          <w:lang w:val="en-GB"/>
        </w:rPr>
        <w:t xml:space="preserve"> and future </w:t>
      </w:r>
      <w:r w:rsidR="00012179" w:rsidRPr="006B2715">
        <w:rPr>
          <w:rFonts w:asciiTheme="minorBidi" w:eastAsia="Times New Roman" w:hAnsiTheme="minorBidi"/>
          <w:szCs w:val="24"/>
          <w:lang w:val="en-GB"/>
        </w:rPr>
        <w:t>regulations</w:t>
      </w:r>
      <w:r w:rsidR="008663C6" w:rsidRPr="006B2715">
        <w:rPr>
          <w:rFonts w:asciiTheme="minorBidi" w:eastAsia="Times New Roman" w:hAnsiTheme="minorBidi"/>
          <w:szCs w:val="24"/>
          <w:lang w:val="en-GB"/>
        </w:rPr>
        <w:t xml:space="preserve">. This would </w:t>
      </w:r>
      <w:r w:rsidRPr="006B2715">
        <w:rPr>
          <w:rFonts w:asciiTheme="minorBidi" w:eastAsia="Times New Roman" w:hAnsiTheme="minorBidi"/>
          <w:szCs w:val="24"/>
          <w:lang w:val="en-GB"/>
        </w:rPr>
        <w:t>help management assess the financial viability and scalability of Product Development and Differentiation under different market conditions</w:t>
      </w:r>
      <w:r w:rsidR="008663C6" w:rsidRPr="006B2715">
        <w:rPr>
          <w:rFonts w:asciiTheme="minorBidi" w:eastAsia="Times New Roman" w:hAnsiTheme="minorBidi"/>
          <w:szCs w:val="24"/>
          <w:lang w:val="en-GB"/>
        </w:rPr>
        <w:t xml:space="preserve"> and policies.</w:t>
      </w:r>
    </w:p>
    <w:p w14:paraId="60DE262C" w14:textId="079A73A2" w:rsidR="006F6365" w:rsidRPr="00046D1B" w:rsidRDefault="00F15D0F" w:rsidP="00F15D4B">
      <w:pPr>
        <w:rPr>
          <w:rFonts w:cs="Times New Roman"/>
          <w:szCs w:val="24"/>
          <w:lang w:val="en-GB"/>
        </w:rPr>
      </w:pPr>
      <w:r w:rsidRPr="00046D1B">
        <w:rPr>
          <w:rFonts w:cs="Times New Roman"/>
          <w:szCs w:val="24"/>
          <w:lang w:val="en-GB"/>
        </w:rPr>
        <w:br w:type="page"/>
      </w:r>
      <w:r w:rsidRPr="00046D1B">
        <w:rPr>
          <w:rFonts w:eastAsia="Times New Roman" w:cs="Times New Roman"/>
          <w:szCs w:val="24"/>
          <w:lang w:val="en-GB"/>
        </w:rPr>
        <w:lastRenderedPageBreak/>
        <w:t>References</w:t>
      </w:r>
    </w:p>
    <w:p w14:paraId="456B5FD1" w14:textId="77777777" w:rsidR="006F6365" w:rsidRPr="00046D1B" w:rsidRDefault="00F15D0F">
      <w:pPr>
        <w:spacing w:after="100" w:line="276" w:lineRule="auto"/>
        <w:ind w:left="720" w:hanging="720"/>
        <w:rPr>
          <w:rFonts w:cs="Times New Roman"/>
          <w:szCs w:val="24"/>
          <w:lang w:val="en-GB"/>
        </w:rPr>
      </w:pPr>
      <w:r w:rsidRPr="00046D1B">
        <w:rPr>
          <w:rFonts w:eastAsia="Times New Roman" w:cs="Times New Roman"/>
          <w:szCs w:val="24"/>
          <w:lang w:val="en-GB"/>
        </w:rPr>
        <w:t xml:space="preserve">Ansoff, H.I. (1957) 'Strategies for diversification', </w:t>
      </w:r>
      <w:r w:rsidRPr="00046D1B">
        <w:rPr>
          <w:rFonts w:eastAsia="Times New Roman" w:cs="Times New Roman"/>
          <w:i/>
          <w:szCs w:val="24"/>
          <w:lang w:val="en-GB"/>
        </w:rPr>
        <w:t>Harvard Business Review</w:t>
      </w:r>
      <w:r w:rsidRPr="00046D1B">
        <w:rPr>
          <w:rFonts w:eastAsia="Times New Roman" w:cs="Times New Roman"/>
          <w:szCs w:val="24"/>
          <w:lang w:val="en-GB"/>
        </w:rPr>
        <w:t>, 35(5), pp. 113-124.</w:t>
      </w:r>
    </w:p>
    <w:p w14:paraId="4347BC1A" w14:textId="77777777" w:rsidR="006F6365" w:rsidRPr="00046D1B" w:rsidRDefault="00F15D0F">
      <w:pPr>
        <w:spacing w:after="100" w:line="276" w:lineRule="auto"/>
        <w:ind w:left="720" w:hanging="720"/>
        <w:rPr>
          <w:rFonts w:cs="Times New Roman"/>
          <w:szCs w:val="24"/>
          <w:lang w:val="en-GB"/>
        </w:rPr>
      </w:pPr>
      <w:r w:rsidRPr="00046D1B">
        <w:rPr>
          <w:rFonts w:eastAsia="Times New Roman" w:cs="Times New Roman"/>
          <w:szCs w:val="24"/>
          <w:lang w:val="en-GB"/>
        </w:rPr>
        <w:t>Australian Competition and Consumer Commission (ACCC) (n.d.) 'Environmental and sustainability claims'. Available at: https://www.accc.gov.au/consumers/advertising-and-promotions/environmental-and-sustainability-claims (Accessed: 5 October 2026).</w:t>
      </w:r>
    </w:p>
    <w:p w14:paraId="32080FDB" w14:textId="77777777" w:rsidR="006F6365" w:rsidRPr="00046D1B" w:rsidRDefault="00F15D0F">
      <w:pPr>
        <w:spacing w:after="100" w:line="276" w:lineRule="auto"/>
        <w:ind w:left="720" w:hanging="720"/>
        <w:rPr>
          <w:rFonts w:cs="Times New Roman"/>
          <w:szCs w:val="24"/>
          <w:lang w:val="en-GB"/>
        </w:rPr>
      </w:pPr>
      <w:r w:rsidRPr="00046D1B">
        <w:rPr>
          <w:rFonts w:eastAsia="Times New Roman" w:cs="Times New Roman"/>
          <w:szCs w:val="24"/>
          <w:lang w:val="en-GB"/>
        </w:rPr>
        <w:t xml:space="preserve">Berthet, E., Lavalley, J., Anquetil-Deck, C., Ballesteros, F., Stadler, K., </w:t>
      </w:r>
      <w:proofErr w:type="spellStart"/>
      <w:r w:rsidRPr="00046D1B">
        <w:rPr>
          <w:rFonts w:eastAsia="Times New Roman" w:cs="Times New Roman"/>
          <w:szCs w:val="24"/>
          <w:lang w:val="en-GB"/>
        </w:rPr>
        <w:t>Soytas</w:t>
      </w:r>
      <w:proofErr w:type="spellEnd"/>
      <w:r w:rsidRPr="00046D1B">
        <w:rPr>
          <w:rFonts w:eastAsia="Times New Roman" w:cs="Times New Roman"/>
          <w:szCs w:val="24"/>
          <w:lang w:val="en-GB"/>
        </w:rPr>
        <w:t xml:space="preserve">, U., Hauschild, M. and Laurent, A. (2024) 'Assessing the social and environmental impacts of critical mineral supply chains for the energy transition in Europe', </w:t>
      </w:r>
      <w:r w:rsidRPr="00046D1B">
        <w:rPr>
          <w:rFonts w:eastAsia="Times New Roman" w:cs="Times New Roman"/>
          <w:i/>
          <w:szCs w:val="24"/>
          <w:lang w:val="en-GB"/>
        </w:rPr>
        <w:t>Global Environmental Change</w:t>
      </w:r>
      <w:r w:rsidRPr="00046D1B">
        <w:rPr>
          <w:rFonts w:eastAsia="Times New Roman" w:cs="Times New Roman"/>
          <w:szCs w:val="24"/>
          <w:lang w:val="en-GB"/>
        </w:rPr>
        <w:t>, 86, 102841. Available at: https://doi.org/10.1016/j.gloenvcha.2024.102841.</w:t>
      </w:r>
    </w:p>
    <w:p w14:paraId="7A55194D" w14:textId="77777777" w:rsidR="006F6365" w:rsidRPr="00046D1B" w:rsidRDefault="00F15D0F">
      <w:pPr>
        <w:spacing w:after="100" w:line="276" w:lineRule="auto"/>
        <w:ind w:left="720" w:hanging="720"/>
        <w:rPr>
          <w:rFonts w:cs="Times New Roman"/>
          <w:szCs w:val="24"/>
          <w:lang w:val="en-GB"/>
        </w:rPr>
      </w:pPr>
      <w:r w:rsidRPr="00046D1B">
        <w:rPr>
          <w:rFonts w:eastAsia="Times New Roman" w:cs="Times New Roman"/>
          <w:szCs w:val="24"/>
          <w:lang w:val="en-GB"/>
        </w:rPr>
        <w:t xml:space="preserve">BHP (2026a) </w:t>
      </w:r>
      <w:r w:rsidRPr="00046D1B">
        <w:rPr>
          <w:rFonts w:eastAsia="Times New Roman" w:cs="Times New Roman"/>
          <w:i/>
          <w:szCs w:val="24"/>
          <w:lang w:val="en-GB"/>
        </w:rPr>
        <w:t>Annual Report 2026</w:t>
      </w:r>
      <w:r w:rsidRPr="00046D1B">
        <w:rPr>
          <w:rFonts w:eastAsia="Times New Roman" w:cs="Times New Roman"/>
          <w:szCs w:val="24"/>
          <w:lang w:val="en-GB"/>
        </w:rPr>
        <w:t>. Melbourne: BHP Group Limited. Available at: https://www.bhp.com/annualreport (Accessed: 5 October 2026).</w:t>
      </w:r>
    </w:p>
    <w:p w14:paraId="2DB88986" w14:textId="77777777" w:rsidR="006F6365" w:rsidRPr="00046D1B" w:rsidRDefault="00F15D0F">
      <w:pPr>
        <w:spacing w:after="100" w:line="276" w:lineRule="auto"/>
        <w:ind w:left="720" w:hanging="720"/>
        <w:rPr>
          <w:rFonts w:cs="Times New Roman"/>
          <w:szCs w:val="24"/>
          <w:lang w:val="en-GB"/>
        </w:rPr>
      </w:pPr>
      <w:r w:rsidRPr="00046D1B">
        <w:rPr>
          <w:rFonts w:eastAsia="Times New Roman" w:cs="Times New Roman"/>
          <w:szCs w:val="24"/>
          <w:lang w:val="en-GB"/>
        </w:rPr>
        <w:t>BHP (2026b) 'Economic and commodity outlook', 18 August. Available at: https://www.bhp.com/investor-centre/reports-and-presentations/economic-and-commodity-outlook/2026/08/economic-and-commodity-outlook (Accessed: 5 October 2026).</w:t>
      </w:r>
    </w:p>
    <w:p w14:paraId="1B80988C" w14:textId="77777777" w:rsidR="006F6365" w:rsidRPr="00046D1B" w:rsidRDefault="00F15D0F">
      <w:pPr>
        <w:spacing w:after="100" w:line="276" w:lineRule="auto"/>
        <w:ind w:left="720" w:hanging="720"/>
        <w:rPr>
          <w:rFonts w:cs="Times New Roman"/>
          <w:szCs w:val="24"/>
          <w:lang w:val="en-GB"/>
        </w:rPr>
      </w:pPr>
      <w:r w:rsidRPr="00046D1B">
        <w:rPr>
          <w:rFonts w:eastAsia="Times New Roman" w:cs="Times New Roman"/>
          <w:szCs w:val="24"/>
          <w:lang w:val="en-GB"/>
        </w:rPr>
        <w:t xml:space="preserve">Casidy, R. and Lie, D.S. (2023) 'The effects of B2B sustainable brand positioning on relationship outcomes', </w:t>
      </w:r>
      <w:r w:rsidRPr="00046D1B">
        <w:rPr>
          <w:rFonts w:eastAsia="Times New Roman" w:cs="Times New Roman"/>
          <w:i/>
          <w:szCs w:val="24"/>
          <w:lang w:val="en-GB"/>
        </w:rPr>
        <w:t>Industrial Marketing Management</w:t>
      </w:r>
      <w:r w:rsidRPr="00046D1B">
        <w:rPr>
          <w:rFonts w:eastAsia="Times New Roman" w:cs="Times New Roman"/>
          <w:szCs w:val="24"/>
          <w:lang w:val="en-GB"/>
        </w:rPr>
        <w:t>, 109, pp. 245-256. Available at: https://doi.org/10.1016/j.indmarman.2023.02.006.</w:t>
      </w:r>
    </w:p>
    <w:p w14:paraId="2F68F58C" w14:textId="77777777" w:rsidR="006F6365" w:rsidRPr="00046D1B" w:rsidRDefault="00F15D0F">
      <w:pPr>
        <w:spacing w:after="100" w:line="276" w:lineRule="auto"/>
        <w:ind w:left="720" w:hanging="720"/>
        <w:rPr>
          <w:rFonts w:cs="Times New Roman"/>
          <w:szCs w:val="24"/>
          <w:lang w:val="en-GB"/>
        </w:rPr>
      </w:pPr>
      <w:r w:rsidRPr="00046D1B">
        <w:rPr>
          <w:rFonts w:eastAsia="Times New Roman" w:cs="Times New Roman"/>
          <w:szCs w:val="24"/>
          <w:lang w:val="en-GB"/>
        </w:rPr>
        <w:t>Department of Climate Change, Energy, the Environment and Water (DCCEEW) (2026a) '2026-27 Review of the Safeguard Mechanism'. Available at: https://www.dcceew.gov.au/climate-change/emissions-reporting/national-greenhouse-energy-reporting-scheme/safeguard-mechanism/2026-67-review-of-the-safeguard-mechanism (Accessed: 5 October 2026).</w:t>
      </w:r>
    </w:p>
    <w:p w14:paraId="68A0C8A9" w14:textId="77777777" w:rsidR="006F6365" w:rsidRPr="00046D1B" w:rsidRDefault="00F15D0F">
      <w:pPr>
        <w:spacing w:after="100" w:line="276" w:lineRule="auto"/>
        <w:ind w:left="720" w:hanging="720"/>
        <w:rPr>
          <w:rFonts w:cs="Times New Roman"/>
          <w:szCs w:val="24"/>
          <w:lang w:val="en-GB"/>
        </w:rPr>
      </w:pPr>
      <w:r w:rsidRPr="00046D1B">
        <w:rPr>
          <w:rFonts w:eastAsia="Times New Roman" w:cs="Times New Roman"/>
          <w:szCs w:val="24"/>
          <w:lang w:val="en-GB"/>
        </w:rPr>
        <w:t>Department of Climate Change, Energy, the Environment and Water (DCCEEW) (2026b) 'Safeguard Mechanism overview', updated 18 June. Available at: https://www.dcceew.gov.au/climate-change/emissions-reporting/national-greenhouse-energy-reporting-scheme/safeguard-mechanism/overview (Accessed: 5 October 2026).</w:t>
      </w:r>
    </w:p>
    <w:p w14:paraId="7B3EDC33" w14:textId="77777777" w:rsidR="006F6365" w:rsidRPr="00046D1B" w:rsidRDefault="00F15D0F">
      <w:pPr>
        <w:spacing w:after="100" w:line="276" w:lineRule="auto"/>
        <w:ind w:left="720" w:hanging="720"/>
        <w:rPr>
          <w:rFonts w:cs="Times New Roman"/>
          <w:szCs w:val="24"/>
          <w:lang w:val="en-GB"/>
        </w:rPr>
      </w:pPr>
      <w:r w:rsidRPr="00046D1B">
        <w:rPr>
          <w:rFonts w:eastAsia="Times New Roman" w:cs="Times New Roman"/>
          <w:szCs w:val="24"/>
          <w:lang w:val="en-GB"/>
        </w:rPr>
        <w:t xml:space="preserve">Fabrizi, A., Gentile, M., Guarini, G. and </w:t>
      </w:r>
      <w:proofErr w:type="spellStart"/>
      <w:r w:rsidRPr="00046D1B">
        <w:rPr>
          <w:rFonts w:eastAsia="Times New Roman" w:cs="Times New Roman"/>
          <w:szCs w:val="24"/>
          <w:lang w:val="en-GB"/>
        </w:rPr>
        <w:t>Meliciani</w:t>
      </w:r>
      <w:proofErr w:type="spellEnd"/>
      <w:r w:rsidRPr="00046D1B">
        <w:rPr>
          <w:rFonts w:eastAsia="Times New Roman" w:cs="Times New Roman"/>
          <w:szCs w:val="24"/>
          <w:lang w:val="en-GB"/>
        </w:rPr>
        <w:t xml:space="preserve">, V. (2024) 'The impact of environmental regulation on innovation and international competitiveness', </w:t>
      </w:r>
      <w:r w:rsidRPr="00046D1B">
        <w:rPr>
          <w:rFonts w:eastAsia="Times New Roman" w:cs="Times New Roman"/>
          <w:i/>
          <w:szCs w:val="24"/>
          <w:lang w:val="en-GB"/>
        </w:rPr>
        <w:t>Journal of Evolutionary Economics</w:t>
      </w:r>
      <w:r w:rsidRPr="00046D1B">
        <w:rPr>
          <w:rFonts w:eastAsia="Times New Roman" w:cs="Times New Roman"/>
          <w:szCs w:val="24"/>
          <w:lang w:val="en-GB"/>
        </w:rPr>
        <w:t>, 34, pp. 169-204. Available at: https://doi.org/10.1007/s00191-024-00852-y.</w:t>
      </w:r>
    </w:p>
    <w:p w14:paraId="35928471" w14:textId="77777777" w:rsidR="006F6365" w:rsidRPr="00046D1B" w:rsidRDefault="00F15D0F">
      <w:pPr>
        <w:spacing w:after="100" w:line="276" w:lineRule="auto"/>
        <w:ind w:left="720" w:hanging="720"/>
        <w:rPr>
          <w:rFonts w:cs="Times New Roman"/>
          <w:szCs w:val="24"/>
          <w:lang w:val="en-GB"/>
        </w:rPr>
      </w:pPr>
      <w:r w:rsidRPr="00046D1B">
        <w:rPr>
          <w:rFonts w:eastAsia="Times New Roman" w:cs="Times New Roman"/>
          <w:szCs w:val="24"/>
          <w:lang w:val="en-GB"/>
        </w:rPr>
        <w:t xml:space="preserve">Gholami, A., </w:t>
      </w:r>
      <w:proofErr w:type="spellStart"/>
      <w:r w:rsidRPr="00046D1B">
        <w:rPr>
          <w:rFonts w:eastAsia="Times New Roman" w:cs="Times New Roman"/>
          <w:szCs w:val="24"/>
          <w:lang w:val="en-GB"/>
        </w:rPr>
        <w:t>Tokac</w:t>
      </w:r>
      <w:proofErr w:type="spellEnd"/>
      <w:r w:rsidRPr="00046D1B">
        <w:rPr>
          <w:rFonts w:eastAsia="Times New Roman" w:cs="Times New Roman"/>
          <w:szCs w:val="24"/>
          <w:lang w:val="en-GB"/>
        </w:rPr>
        <w:t xml:space="preserve">, B. and Zhang, Q. (2024) 'Knowledge synthesis on the mine life cycle and the mining value chain to address climate change', </w:t>
      </w:r>
      <w:r w:rsidRPr="00046D1B">
        <w:rPr>
          <w:rFonts w:eastAsia="Times New Roman" w:cs="Times New Roman"/>
          <w:i/>
          <w:szCs w:val="24"/>
          <w:lang w:val="en-GB"/>
        </w:rPr>
        <w:t>Resources Policy</w:t>
      </w:r>
      <w:r w:rsidRPr="00046D1B">
        <w:rPr>
          <w:rFonts w:eastAsia="Times New Roman" w:cs="Times New Roman"/>
          <w:szCs w:val="24"/>
          <w:lang w:val="en-GB"/>
        </w:rPr>
        <w:t>, 95, 105183. Available at: https://doi.org/10.1016/j.resourpol.2024.105183.</w:t>
      </w:r>
    </w:p>
    <w:p w14:paraId="50EFBCE4" w14:textId="77777777" w:rsidR="006F6365" w:rsidRPr="00046D1B" w:rsidRDefault="00F15D0F">
      <w:pPr>
        <w:spacing w:after="100" w:line="276" w:lineRule="auto"/>
        <w:ind w:left="720" w:hanging="720"/>
        <w:rPr>
          <w:rFonts w:cs="Times New Roman"/>
          <w:szCs w:val="24"/>
          <w:lang w:val="en-GB"/>
        </w:rPr>
      </w:pPr>
      <w:r w:rsidRPr="00046D1B">
        <w:rPr>
          <w:rFonts w:eastAsia="Times New Roman" w:cs="Times New Roman"/>
          <w:szCs w:val="24"/>
          <w:lang w:val="en-GB"/>
        </w:rPr>
        <w:t xml:space="preserve">Huang, G., </w:t>
      </w:r>
      <w:proofErr w:type="spellStart"/>
      <w:r w:rsidRPr="00046D1B">
        <w:rPr>
          <w:rFonts w:eastAsia="Times New Roman" w:cs="Times New Roman"/>
          <w:szCs w:val="24"/>
          <w:lang w:val="en-GB"/>
        </w:rPr>
        <w:t>Lanzrath</w:t>
      </w:r>
      <w:proofErr w:type="spellEnd"/>
      <w:r w:rsidRPr="00046D1B">
        <w:rPr>
          <w:rFonts w:eastAsia="Times New Roman" w:cs="Times New Roman"/>
          <w:szCs w:val="24"/>
          <w:lang w:val="en-GB"/>
        </w:rPr>
        <w:t xml:space="preserve">, A.I. and Homburg, C. (2026) 'When sustainability sells: Fostering buyer-perceived value in business-to-business markets', </w:t>
      </w:r>
      <w:r w:rsidRPr="00046D1B">
        <w:rPr>
          <w:rFonts w:eastAsia="Times New Roman" w:cs="Times New Roman"/>
          <w:i/>
          <w:szCs w:val="24"/>
          <w:lang w:val="en-GB"/>
        </w:rPr>
        <w:t xml:space="preserve">Industrial Marketing </w:t>
      </w:r>
      <w:r w:rsidRPr="00046D1B">
        <w:rPr>
          <w:rFonts w:eastAsia="Times New Roman" w:cs="Times New Roman"/>
          <w:i/>
          <w:szCs w:val="24"/>
          <w:lang w:val="en-GB"/>
        </w:rPr>
        <w:lastRenderedPageBreak/>
        <w:t>Management</w:t>
      </w:r>
      <w:r w:rsidRPr="00046D1B">
        <w:rPr>
          <w:rFonts w:eastAsia="Times New Roman" w:cs="Times New Roman"/>
          <w:szCs w:val="24"/>
          <w:lang w:val="en-GB"/>
        </w:rPr>
        <w:t>, 137, pp. 17-30. Available at: https://doi.org/10.1016/j.indmarman.2026.07.002.</w:t>
      </w:r>
    </w:p>
    <w:p w14:paraId="182E4881" w14:textId="77777777" w:rsidR="006F6365" w:rsidRPr="00046D1B" w:rsidRDefault="00F15D0F">
      <w:pPr>
        <w:spacing w:after="100" w:line="276" w:lineRule="auto"/>
        <w:ind w:left="720" w:hanging="720"/>
        <w:rPr>
          <w:rFonts w:cs="Times New Roman"/>
          <w:szCs w:val="24"/>
          <w:lang w:val="en-GB"/>
        </w:rPr>
      </w:pPr>
      <w:r w:rsidRPr="00046D1B">
        <w:rPr>
          <w:rFonts w:eastAsia="Times New Roman" w:cs="Times New Roman"/>
          <w:szCs w:val="24"/>
          <w:lang w:val="en-GB"/>
        </w:rPr>
        <w:t xml:space="preserve">International Energy Agency (IEA) (2026) </w:t>
      </w:r>
      <w:r w:rsidRPr="00046D1B">
        <w:rPr>
          <w:rFonts w:eastAsia="Times New Roman" w:cs="Times New Roman"/>
          <w:i/>
          <w:szCs w:val="24"/>
          <w:lang w:val="en-GB"/>
        </w:rPr>
        <w:t>Global Critical Minerals Outlook 2026</w:t>
      </w:r>
      <w:r w:rsidRPr="00046D1B">
        <w:rPr>
          <w:rFonts w:eastAsia="Times New Roman" w:cs="Times New Roman"/>
          <w:szCs w:val="24"/>
          <w:lang w:val="en-GB"/>
        </w:rPr>
        <w:t>. Paris: International Energy Agency. Available at: https://www.iea.org/reports/global-critical-minerals-outlook-2026 (Accessed: 5 October 2026).</w:t>
      </w:r>
    </w:p>
    <w:p w14:paraId="42A02FE4" w14:textId="77777777" w:rsidR="006F6365" w:rsidRPr="00046D1B" w:rsidRDefault="00F15D0F">
      <w:pPr>
        <w:spacing w:after="100" w:line="276" w:lineRule="auto"/>
        <w:ind w:left="720" w:hanging="720"/>
        <w:rPr>
          <w:rFonts w:cs="Times New Roman"/>
          <w:szCs w:val="24"/>
          <w:lang w:val="en-GB"/>
        </w:rPr>
      </w:pPr>
      <w:r w:rsidRPr="00046D1B">
        <w:rPr>
          <w:rFonts w:eastAsia="Times New Roman" w:cs="Times New Roman"/>
          <w:szCs w:val="24"/>
          <w:lang w:val="en-GB"/>
        </w:rPr>
        <w:t xml:space="preserve">Kotler, P., Armstrong, G., Harris, L.C. and He, H. (2024) </w:t>
      </w:r>
      <w:r w:rsidRPr="00046D1B">
        <w:rPr>
          <w:rFonts w:eastAsia="Times New Roman" w:cs="Times New Roman"/>
          <w:i/>
          <w:szCs w:val="24"/>
          <w:lang w:val="en-GB"/>
        </w:rPr>
        <w:t>Principles of marketing</w:t>
      </w:r>
      <w:r w:rsidRPr="00046D1B">
        <w:rPr>
          <w:rFonts w:eastAsia="Times New Roman" w:cs="Times New Roman"/>
          <w:szCs w:val="24"/>
          <w:lang w:val="en-GB"/>
        </w:rPr>
        <w:t xml:space="preserve">. 19th </w:t>
      </w:r>
      <w:proofErr w:type="spellStart"/>
      <w:r w:rsidRPr="00046D1B">
        <w:rPr>
          <w:rFonts w:eastAsia="Times New Roman" w:cs="Times New Roman"/>
          <w:szCs w:val="24"/>
          <w:lang w:val="en-GB"/>
        </w:rPr>
        <w:t>edn</w:t>
      </w:r>
      <w:proofErr w:type="spellEnd"/>
      <w:r w:rsidRPr="00046D1B">
        <w:rPr>
          <w:rFonts w:eastAsia="Times New Roman" w:cs="Times New Roman"/>
          <w:szCs w:val="24"/>
          <w:lang w:val="en-GB"/>
        </w:rPr>
        <w:t>. Harlow: Pearson.</w:t>
      </w:r>
    </w:p>
    <w:p w14:paraId="165A0C0E" w14:textId="77777777" w:rsidR="006F6365" w:rsidRPr="00046D1B" w:rsidRDefault="00F15D0F">
      <w:pPr>
        <w:spacing w:after="100" w:line="276" w:lineRule="auto"/>
        <w:ind w:left="720" w:hanging="720"/>
        <w:rPr>
          <w:rFonts w:cs="Times New Roman"/>
          <w:szCs w:val="24"/>
          <w:lang w:val="en-GB"/>
        </w:rPr>
      </w:pPr>
      <w:r w:rsidRPr="00046D1B">
        <w:rPr>
          <w:rFonts w:eastAsia="Times New Roman" w:cs="Times New Roman"/>
          <w:szCs w:val="24"/>
          <w:lang w:val="en-GB"/>
        </w:rPr>
        <w:t xml:space="preserve">Negrete, M., Fuentes, M., Kraslawski, A., </w:t>
      </w:r>
      <w:proofErr w:type="spellStart"/>
      <w:r w:rsidRPr="00046D1B">
        <w:rPr>
          <w:rFonts w:eastAsia="Times New Roman" w:cs="Times New Roman"/>
          <w:szCs w:val="24"/>
          <w:lang w:val="en-GB"/>
        </w:rPr>
        <w:t>Irarrazaval</w:t>
      </w:r>
      <w:proofErr w:type="spellEnd"/>
      <w:r w:rsidRPr="00046D1B">
        <w:rPr>
          <w:rFonts w:eastAsia="Times New Roman" w:cs="Times New Roman"/>
          <w:szCs w:val="24"/>
          <w:lang w:val="en-GB"/>
        </w:rPr>
        <w:t xml:space="preserve">, F. and Herrera-Leon, S. (2024) 'Socio-environmental implications of the decarbonization of copper and lithium mining and mineral processing', </w:t>
      </w:r>
      <w:r w:rsidRPr="00046D1B">
        <w:rPr>
          <w:rFonts w:eastAsia="Times New Roman" w:cs="Times New Roman"/>
          <w:i/>
          <w:szCs w:val="24"/>
          <w:lang w:val="en-GB"/>
        </w:rPr>
        <w:t>Resources Policy</w:t>
      </w:r>
      <w:r w:rsidRPr="00046D1B">
        <w:rPr>
          <w:rFonts w:eastAsia="Times New Roman" w:cs="Times New Roman"/>
          <w:szCs w:val="24"/>
          <w:lang w:val="en-GB"/>
        </w:rPr>
        <w:t>, 95, 105135. Available at: https://doi.org/10.1016/j.resourpol.2024.105135.</w:t>
      </w:r>
    </w:p>
    <w:p w14:paraId="178D40D7" w14:textId="77777777" w:rsidR="006F6365" w:rsidRPr="00046D1B" w:rsidRDefault="00F15D0F">
      <w:pPr>
        <w:spacing w:after="100" w:line="276" w:lineRule="auto"/>
        <w:ind w:left="720" w:hanging="720"/>
        <w:rPr>
          <w:rFonts w:cs="Times New Roman"/>
          <w:szCs w:val="24"/>
          <w:lang w:val="en-GB"/>
        </w:rPr>
      </w:pPr>
      <w:r w:rsidRPr="00046D1B">
        <w:rPr>
          <w:rFonts w:eastAsia="Times New Roman" w:cs="Times New Roman"/>
          <w:szCs w:val="24"/>
          <w:lang w:val="en-GB"/>
        </w:rPr>
        <w:t xml:space="preserve">Ong, J.W., Goh, G.G.G., Lim, W. and Yong, S.H.S. (2024) 'A winning green profile to stay ahead? Companies' green value chain profiles based on competitive advantage attainment', </w:t>
      </w:r>
      <w:r w:rsidRPr="00046D1B">
        <w:rPr>
          <w:rFonts w:eastAsia="Times New Roman" w:cs="Times New Roman"/>
          <w:i/>
          <w:szCs w:val="24"/>
          <w:lang w:val="en-GB"/>
        </w:rPr>
        <w:t>SAGE Open</w:t>
      </w:r>
      <w:r w:rsidRPr="00046D1B">
        <w:rPr>
          <w:rFonts w:eastAsia="Times New Roman" w:cs="Times New Roman"/>
          <w:szCs w:val="24"/>
          <w:lang w:val="en-GB"/>
        </w:rPr>
        <w:t>, 14(4), pp. 1-13. Available at: https://doi.org/10.1177/21582440241291264.</w:t>
      </w:r>
    </w:p>
    <w:p w14:paraId="20FD4416" w14:textId="3A600D04" w:rsidR="00505923" w:rsidRPr="00046D1B" w:rsidRDefault="00F15D0F">
      <w:pPr>
        <w:spacing w:after="100" w:line="276" w:lineRule="auto"/>
        <w:ind w:left="720" w:hanging="720"/>
        <w:rPr>
          <w:rFonts w:eastAsia="Times New Roman" w:cs="Times New Roman"/>
          <w:szCs w:val="24"/>
          <w:lang w:val="en-GB"/>
        </w:rPr>
      </w:pPr>
      <w:r w:rsidRPr="00046D1B">
        <w:rPr>
          <w:rFonts w:eastAsia="Times New Roman" w:cs="Times New Roman"/>
          <w:szCs w:val="24"/>
          <w:lang w:val="en-GB"/>
        </w:rPr>
        <w:t xml:space="preserve">Porter, M.E. (1980) </w:t>
      </w:r>
      <w:r w:rsidRPr="00046D1B">
        <w:rPr>
          <w:rFonts w:eastAsia="Times New Roman" w:cs="Times New Roman"/>
          <w:i/>
          <w:szCs w:val="24"/>
          <w:lang w:val="en-GB"/>
        </w:rPr>
        <w:t xml:space="preserve">Competitive Strategy: Techniques for </w:t>
      </w:r>
      <w:proofErr w:type="spellStart"/>
      <w:r w:rsidRPr="00046D1B">
        <w:rPr>
          <w:rFonts w:eastAsia="Times New Roman" w:cs="Times New Roman"/>
          <w:i/>
          <w:szCs w:val="24"/>
          <w:lang w:val="en-GB"/>
        </w:rPr>
        <w:t>Analyzing</w:t>
      </w:r>
      <w:proofErr w:type="spellEnd"/>
      <w:r w:rsidRPr="00046D1B">
        <w:rPr>
          <w:rFonts w:eastAsia="Times New Roman" w:cs="Times New Roman"/>
          <w:i/>
          <w:szCs w:val="24"/>
          <w:lang w:val="en-GB"/>
        </w:rPr>
        <w:t xml:space="preserve"> Industries and Competitors</w:t>
      </w:r>
      <w:r w:rsidRPr="00046D1B">
        <w:rPr>
          <w:rFonts w:eastAsia="Times New Roman" w:cs="Times New Roman"/>
          <w:szCs w:val="24"/>
          <w:lang w:val="en-GB"/>
        </w:rPr>
        <w:t>. New York: Free Press.</w:t>
      </w:r>
    </w:p>
    <w:p w14:paraId="7F570B72" w14:textId="77777777" w:rsidR="00046D1B" w:rsidRDefault="00046D1B">
      <w:pPr>
        <w:spacing w:after="200" w:line="276" w:lineRule="auto"/>
        <w:rPr>
          <w:rFonts w:asciiTheme="minorBidi" w:eastAsia="Times New Roman" w:hAnsiTheme="minorBidi"/>
          <w:b/>
          <w:bCs/>
          <w:szCs w:val="24"/>
          <w:lang w:val="en-GB"/>
        </w:rPr>
      </w:pPr>
      <w:r>
        <w:rPr>
          <w:rFonts w:asciiTheme="minorBidi" w:eastAsia="Times New Roman" w:hAnsiTheme="minorBidi"/>
          <w:b/>
          <w:bCs/>
          <w:szCs w:val="24"/>
          <w:lang w:val="en-GB"/>
        </w:rPr>
        <w:br w:type="page"/>
      </w:r>
    </w:p>
    <w:p w14:paraId="6060874C" w14:textId="62C6CA98" w:rsidR="00505923" w:rsidRPr="00046D1B" w:rsidRDefault="00505923" w:rsidP="00F15D4B">
      <w:pPr>
        <w:spacing w:after="200" w:line="276" w:lineRule="auto"/>
        <w:rPr>
          <w:rFonts w:eastAsia="Times New Roman" w:cs="Times New Roman"/>
          <w:b/>
          <w:bCs/>
          <w:szCs w:val="24"/>
          <w:lang w:val="en-GB"/>
        </w:rPr>
      </w:pPr>
      <w:r w:rsidRPr="00046D1B">
        <w:rPr>
          <w:rFonts w:asciiTheme="minorBidi" w:eastAsia="Times New Roman" w:hAnsiTheme="minorBidi"/>
          <w:b/>
          <w:bCs/>
          <w:szCs w:val="24"/>
          <w:lang w:val="en-GB"/>
        </w:rPr>
        <w:lastRenderedPageBreak/>
        <w:t>List of Abbreviations</w:t>
      </w:r>
    </w:p>
    <w:tbl>
      <w:tblPr>
        <w:tblStyle w:val="TableGrid"/>
        <w:tblW w:w="9270" w:type="dxa"/>
        <w:jc w:val="center"/>
        <w:tblLayout w:type="fixed"/>
        <w:tblLook w:val="04A0" w:firstRow="1" w:lastRow="0" w:firstColumn="1" w:lastColumn="0" w:noHBand="0" w:noVBand="1"/>
      </w:tblPr>
      <w:tblGrid>
        <w:gridCol w:w="2258"/>
        <w:gridCol w:w="7012"/>
      </w:tblGrid>
      <w:tr w:rsidR="00505923" w:rsidRPr="00046D1B" w14:paraId="5AA23342" w14:textId="77777777" w:rsidTr="001310E1">
        <w:trPr>
          <w:tblHeader/>
          <w:jc w:val="center"/>
        </w:trPr>
        <w:tc>
          <w:tcPr>
            <w:tcW w:w="2258" w:type="dxa"/>
            <w:shd w:val="clear" w:color="auto" w:fill="E7E6E6"/>
            <w:tcMar>
              <w:top w:w="70" w:type="dxa"/>
              <w:left w:w="80" w:type="dxa"/>
              <w:bottom w:w="70" w:type="dxa"/>
              <w:right w:w="80" w:type="dxa"/>
            </w:tcMar>
            <w:vAlign w:val="center"/>
          </w:tcPr>
          <w:p w14:paraId="723347B2" w14:textId="77777777" w:rsidR="00505923" w:rsidRPr="00046D1B" w:rsidRDefault="00505923" w:rsidP="001310E1">
            <w:pPr>
              <w:spacing w:line="252" w:lineRule="auto"/>
              <w:rPr>
                <w:rFonts w:asciiTheme="minorBidi" w:hAnsiTheme="minorBidi"/>
                <w:b/>
                <w:bCs/>
                <w:szCs w:val="24"/>
                <w:lang w:val="en-GB"/>
              </w:rPr>
            </w:pPr>
            <w:r w:rsidRPr="00046D1B">
              <w:rPr>
                <w:rFonts w:asciiTheme="minorBidi" w:eastAsia="Times New Roman" w:hAnsiTheme="minorBidi"/>
                <w:b/>
                <w:bCs/>
                <w:szCs w:val="24"/>
                <w:lang w:val="en-GB"/>
              </w:rPr>
              <w:t>Abbreviation</w:t>
            </w:r>
          </w:p>
        </w:tc>
        <w:tc>
          <w:tcPr>
            <w:tcW w:w="7012" w:type="dxa"/>
            <w:shd w:val="clear" w:color="auto" w:fill="E7E6E6"/>
            <w:tcMar>
              <w:top w:w="70" w:type="dxa"/>
              <w:left w:w="80" w:type="dxa"/>
              <w:bottom w:w="70" w:type="dxa"/>
              <w:right w:w="80" w:type="dxa"/>
            </w:tcMar>
            <w:vAlign w:val="center"/>
          </w:tcPr>
          <w:p w14:paraId="345276BE" w14:textId="77777777" w:rsidR="00505923" w:rsidRPr="00046D1B" w:rsidRDefault="00505923" w:rsidP="001310E1">
            <w:pPr>
              <w:spacing w:line="252" w:lineRule="auto"/>
              <w:rPr>
                <w:rFonts w:asciiTheme="minorBidi" w:hAnsiTheme="minorBidi"/>
                <w:b/>
                <w:bCs/>
                <w:szCs w:val="24"/>
                <w:lang w:val="en-GB"/>
              </w:rPr>
            </w:pPr>
            <w:r w:rsidRPr="00046D1B">
              <w:rPr>
                <w:rFonts w:asciiTheme="minorBidi" w:eastAsia="Times New Roman" w:hAnsiTheme="minorBidi"/>
                <w:b/>
                <w:bCs/>
                <w:szCs w:val="24"/>
                <w:lang w:val="en-GB"/>
              </w:rPr>
              <w:t>Meaning</w:t>
            </w:r>
          </w:p>
        </w:tc>
      </w:tr>
      <w:tr w:rsidR="00505923" w:rsidRPr="00046D1B" w14:paraId="5D35DE67" w14:textId="77777777" w:rsidTr="001310E1">
        <w:trPr>
          <w:jc w:val="center"/>
        </w:trPr>
        <w:tc>
          <w:tcPr>
            <w:tcW w:w="2258" w:type="dxa"/>
            <w:tcMar>
              <w:top w:w="70" w:type="dxa"/>
              <w:left w:w="80" w:type="dxa"/>
              <w:bottom w:w="70" w:type="dxa"/>
              <w:right w:w="80" w:type="dxa"/>
            </w:tcMar>
            <w:vAlign w:val="center"/>
          </w:tcPr>
          <w:p w14:paraId="1B955BD2" w14:textId="77777777" w:rsidR="00505923" w:rsidRPr="00046D1B" w:rsidRDefault="00505923" w:rsidP="001310E1">
            <w:pPr>
              <w:spacing w:line="252" w:lineRule="auto"/>
              <w:rPr>
                <w:rFonts w:asciiTheme="minorBidi" w:hAnsiTheme="minorBidi"/>
                <w:szCs w:val="24"/>
                <w:lang w:val="en-GB"/>
              </w:rPr>
            </w:pPr>
            <w:r w:rsidRPr="00046D1B">
              <w:rPr>
                <w:rFonts w:asciiTheme="minorBidi" w:eastAsia="Times New Roman" w:hAnsiTheme="minorBidi"/>
                <w:szCs w:val="24"/>
                <w:lang w:val="en-GB"/>
              </w:rPr>
              <w:t>ACCC</w:t>
            </w:r>
          </w:p>
        </w:tc>
        <w:tc>
          <w:tcPr>
            <w:tcW w:w="7012" w:type="dxa"/>
            <w:tcMar>
              <w:top w:w="70" w:type="dxa"/>
              <w:left w:w="80" w:type="dxa"/>
              <w:bottom w:w="70" w:type="dxa"/>
              <w:right w:w="80" w:type="dxa"/>
            </w:tcMar>
            <w:vAlign w:val="center"/>
          </w:tcPr>
          <w:p w14:paraId="4BF04FE5" w14:textId="77777777" w:rsidR="00505923" w:rsidRPr="00046D1B" w:rsidRDefault="00505923" w:rsidP="001310E1">
            <w:pPr>
              <w:spacing w:line="252" w:lineRule="auto"/>
              <w:rPr>
                <w:rFonts w:asciiTheme="minorBidi" w:hAnsiTheme="minorBidi"/>
                <w:szCs w:val="24"/>
                <w:lang w:val="en-GB"/>
              </w:rPr>
            </w:pPr>
            <w:r w:rsidRPr="00046D1B">
              <w:rPr>
                <w:rFonts w:asciiTheme="minorBidi" w:eastAsia="Times New Roman" w:hAnsiTheme="minorBidi"/>
                <w:szCs w:val="24"/>
                <w:lang w:val="en-GB"/>
              </w:rPr>
              <w:t>Australian Competition and Consumer Commission</w:t>
            </w:r>
          </w:p>
        </w:tc>
      </w:tr>
      <w:tr w:rsidR="00505923" w:rsidRPr="00046D1B" w14:paraId="2EC662EC" w14:textId="77777777" w:rsidTr="001310E1">
        <w:trPr>
          <w:jc w:val="center"/>
        </w:trPr>
        <w:tc>
          <w:tcPr>
            <w:tcW w:w="2258" w:type="dxa"/>
            <w:tcMar>
              <w:top w:w="70" w:type="dxa"/>
              <w:left w:w="80" w:type="dxa"/>
              <w:bottom w:w="70" w:type="dxa"/>
              <w:right w:w="80" w:type="dxa"/>
            </w:tcMar>
            <w:vAlign w:val="center"/>
          </w:tcPr>
          <w:p w14:paraId="76A209EE" w14:textId="77777777" w:rsidR="00505923" w:rsidRPr="00046D1B" w:rsidRDefault="00505923" w:rsidP="001310E1">
            <w:pPr>
              <w:spacing w:line="252" w:lineRule="auto"/>
              <w:rPr>
                <w:rFonts w:asciiTheme="minorBidi" w:hAnsiTheme="minorBidi"/>
                <w:szCs w:val="24"/>
                <w:lang w:val="en-GB"/>
              </w:rPr>
            </w:pPr>
            <w:r w:rsidRPr="00046D1B">
              <w:rPr>
                <w:rFonts w:asciiTheme="minorBidi" w:eastAsia="Times New Roman" w:hAnsiTheme="minorBidi"/>
                <w:szCs w:val="24"/>
                <w:lang w:val="en-GB"/>
              </w:rPr>
              <w:t>BHP</w:t>
            </w:r>
          </w:p>
        </w:tc>
        <w:tc>
          <w:tcPr>
            <w:tcW w:w="7012" w:type="dxa"/>
            <w:tcMar>
              <w:top w:w="70" w:type="dxa"/>
              <w:left w:w="80" w:type="dxa"/>
              <w:bottom w:w="70" w:type="dxa"/>
              <w:right w:w="80" w:type="dxa"/>
            </w:tcMar>
            <w:vAlign w:val="center"/>
          </w:tcPr>
          <w:p w14:paraId="4163DA9C" w14:textId="77777777" w:rsidR="00505923" w:rsidRPr="00046D1B" w:rsidRDefault="00505923" w:rsidP="001310E1">
            <w:pPr>
              <w:spacing w:line="252" w:lineRule="auto"/>
              <w:rPr>
                <w:rFonts w:asciiTheme="minorBidi" w:hAnsiTheme="minorBidi"/>
                <w:szCs w:val="24"/>
                <w:lang w:val="en-GB"/>
              </w:rPr>
            </w:pPr>
            <w:r w:rsidRPr="00046D1B">
              <w:rPr>
                <w:rFonts w:asciiTheme="minorBidi" w:eastAsia="Times New Roman" w:hAnsiTheme="minorBidi"/>
                <w:szCs w:val="24"/>
                <w:lang w:val="en-GB"/>
              </w:rPr>
              <w:t>BHP Group Limited</w:t>
            </w:r>
          </w:p>
        </w:tc>
      </w:tr>
      <w:tr w:rsidR="00505923" w:rsidRPr="00046D1B" w14:paraId="32A49835" w14:textId="77777777" w:rsidTr="001310E1">
        <w:trPr>
          <w:jc w:val="center"/>
        </w:trPr>
        <w:tc>
          <w:tcPr>
            <w:tcW w:w="2258" w:type="dxa"/>
            <w:tcMar>
              <w:top w:w="70" w:type="dxa"/>
              <w:left w:w="80" w:type="dxa"/>
              <w:bottom w:w="70" w:type="dxa"/>
              <w:right w:w="80" w:type="dxa"/>
            </w:tcMar>
            <w:vAlign w:val="center"/>
          </w:tcPr>
          <w:p w14:paraId="0BCDBFD2" w14:textId="77777777" w:rsidR="00505923" w:rsidRPr="00046D1B" w:rsidRDefault="00505923" w:rsidP="001310E1">
            <w:pPr>
              <w:spacing w:line="252" w:lineRule="auto"/>
              <w:rPr>
                <w:rFonts w:asciiTheme="minorBidi" w:hAnsiTheme="minorBidi"/>
                <w:szCs w:val="24"/>
                <w:lang w:val="en-GB"/>
              </w:rPr>
            </w:pPr>
            <w:r w:rsidRPr="00046D1B">
              <w:rPr>
                <w:rFonts w:asciiTheme="minorBidi" w:eastAsia="Times New Roman" w:hAnsiTheme="minorBidi"/>
                <w:szCs w:val="24"/>
                <w:lang w:val="en-GB"/>
              </w:rPr>
              <w:t>DCCEEW</w:t>
            </w:r>
          </w:p>
        </w:tc>
        <w:tc>
          <w:tcPr>
            <w:tcW w:w="7012" w:type="dxa"/>
            <w:tcMar>
              <w:top w:w="70" w:type="dxa"/>
              <w:left w:w="80" w:type="dxa"/>
              <w:bottom w:w="70" w:type="dxa"/>
              <w:right w:w="80" w:type="dxa"/>
            </w:tcMar>
            <w:vAlign w:val="center"/>
          </w:tcPr>
          <w:p w14:paraId="6F4484B9" w14:textId="77777777" w:rsidR="00505923" w:rsidRPr="00046D1B" w:rsidRDefault="00505923" w:rsidP="001310E1">
            <w:pPr>
              <w:spacing w:line="252" w:lineRule="auto"/>
              <w:rPr>
                <w:rFonts w:asciiTheme="minorBidi" w:hAnsiTheme="minorBidi"/>
                <w:szCs w:val="24"/>
                <w:lang w:val="en-GB"/>
              </w:rPr>
            </w:pPr>
            <w:r w:rsidRPr="00046D1B">
              <w:rPr>
                <w:rFonts w:asciiTheme="minorBidi" w:eastAsia="Times New Roman" w:hAnsiTheme="minorBidi"/>
                <w:szCs w:val="24"/>
                <w:lang w:val="en-GB"/>
              </w:rPr>
              <w:t>Department of Climate Change, Energy, the Environment and Water</w:t>
            </w:r>
          </w:p>
        </w:tc>
      </w:tr>
      <w:tr w:rsidR="00505923" w:rsidRPr="00046D1B" w14:paraId="2F0CFD6B" w14:textId="77777777" w:rsidTr="001310E1">
        <w:trPr>
          <w:jc w:val="center"/>
        </w:trPr>
        <w:tc>
          <w:tcPr>
            <w:tcW w:w="2258" w:type="dxa"/>
            <w:tcMar>
              <w:top w:w="70" w:type="dxa"/>
              <w:left w:w="80" w:type="dxa"/>
              <w:bottom w:w="70" w:type="dxa"/>
              <w:right w:w="80" w:type="dxa"/>
            </w:tcMar>
            <w:vAlign w:val="center"/>
          </w:tcPr>
          <w:p w14:paraId="6F6FEB6A" w14:textId="77777777" w:rsidR="00505923" w:rsidRPr="00046D1B" w:rsidRDefault="00505923" w:rsidP="001310E1">
            <w:pPr>
              <w:spacing w:line="252" w:lineRule="auto"/>
              <w:rPr>
                <w:rFonts w:asciiTheme="minorBidi" w:hAnsiTheme="minorBidi"/>
                <w:szCs w:val="24"/>
                <w:lang w:val="en-GB"/>
              </w:rPr>
            </w:pPr>
            <w:r w:rsidRPr="00046D1B">
              <w:rPr>
                <w:rFonts w:asciiTheme="minorBidi" w:eastAsia="Times New Roman" w:hAnsiTheme="minorBidi"/>
                <w:szCs w:val="24"/>
                <w:lang w:val="en-GB"/>
              </w:rPr>
              <w:t>EBITDA</w:t>
            </w:r>
          </w:p>
        </w:tc>
        <w:tc>
          <w:tcPr>
            <w:tcW w:w="7012" w:type="dxa"/>
            <w:tcMar>
              <w:top w:w="70" w:type="dxa"/>
              <w:left w:w="80" w:type="dxa"/>
              <w:bottom w:w="70" w:type="dxa"/>
              <w:right w:w="80" w:type="dxa"/>
            </w:tcMar>
            <w:vAlign w:val="center"/>
          </w:tcPr>
          <w:p w14:paraId="33A72A42" w14:textId="77777777" w:rsidR="00505923" w:rsidRPr="00046D1B" w:rsidRDefault="00505923" w:rsidP="001310E1">
            <w:pPr>
              <w:spacing w:line="252" w:lineRule="auto"/>
              <w:rPr>
                <w:rFonts w:asciiTheme="minorBidi" w:hAnsiTheme="minorBidi"/>
                <w:szCs w:val="24"/>
                <w:lang w:val="en-GB"/>
              </w:rPr>
            </w:pPr>
            <w:r w:rsidRPr="00046D1B">
              <w:rPr>
                <w:rFonts w:asciiTheme="minorBidi" w:eastAsia="Times New Roman" w:hAnsiTheme="minorBidi"/>
                <w:szCs w:val="24"/>
                <w:lang w:val="en-GB"/>
              </w:rPr>
              <w:t>Earnings before interest, tax, depreciation and amortisation</w:t>
            </w:r>
          </w:p>
        </w:tc>
      </w:tr>
      <w:tr w:rsidR="00505923" w:rsidRPr="00046D1B" w14:paraId="25027C32" w14:textId="77777777" w:rsidTr="001310E1">
        <w:trPr>
          <w:jc w:val="center"/>
        </w:trPr>
        <w:tc>
          <w:tcPr>
            <w:tcW w:w="2258" w:type="dxa"/>
            <w:tcMar>
              <w:top w:w="70" w:type="dxa"/>
              <w:left w:w="80" w:type="dxa"/>
              <w:bottom w:w="70" w:type="dxa"/>
              <w:right w:w="80" w:type="dxa"/>
            </w:tcMar>
            <w:vAlign w:val="center"/>
          </w:tcPr>
          <w:p w14:paraId="2062CABD" w14:textId="77777777" w:rsidR="00505923" w:rsidRPr="00046D1B" w:rsidRDefault="00505923" w:rsidP="001310E1">
            <w:pPr>
              <w:spacing w:line="252" w:lineRule="auto"/>
              <w:rPr>
                <w:rFonts w:asciiTheme="minorBidi" w:hAnsiTheme="minorBidi"/>
                <w:szCs w:val="24"/>
                <w:lang w:val="en-GB"/>
              </w:rPr>
            </w:pPr>
            <w:r w:rsidRPr="00046D1B">
              <w:rPr>
                <w:rFonts w:asciiTheme="minorBidi" w:eastAsia="Times New Roman" w:hAnsiTheme="minorBidi"/>
                <w:szCs w:val="24"/>
                <w:lang w:val="en-GB"/>
              </w:rPr>
              <w:t>FY</w:t>
            </w:r>
          </w:p>
        </w:tc>
        <w:tc>
          <w:tcPr>
            <w:tcW w:w="7012" w:type="dxa"/>
            <w:tcMar>
              <w:top w:w="70" w:type="dxa"/>
              <w:left w:w="80" w:type="dxa"/>
              <w:bottom w:w="70" w:type="dxa"/>
              <w:right w:w="80" w:type="dxa"/>
            </w:tcMar>
            <w:vAlign w:val="center"/>
          </w:tcPr>
          <w:p w14:paraId="09087879" w14:textId="77777777" w:rsidR="00505923" w:rsidRPr="00046D1B" w:rsidRDefault="00505923" w:rsidP="001310E1">
            <w:pPr>
              <w:spacing w:line="252" w:lineRule="auto"/>
              <w:rPr>
                <w:rFonts w:asciiTheme="minorBidi" w:hAnsiTheme="minorBidi"/>
                <w:szCs w:val="24"/>
                <w:lang w:val="en-GB"/>
              </w:rPr>
            </w:pPr>
            <w:r w:rsidRPr="00046D1B">
              <w:rPr>
                <w:rFonts w:asciiTheme="minorBidi" w:eastAsia="Times New Roman" w:hAnsiTheme="minorBidi"/>
                <w:szCs w:val="24"/>
                <w:lang w:val="en-GB"/>
              </w:rPr>
              <w:t>Financial year</w:t>
            </w:r>
          </w:p>
        </w:tc>
      </w:tr>
      <w:tr w:rsidR="00505923" w:rsidRPr="00046D1B" w14:paraId="64EECEDC" w14:textId="77777777" w:rsidTr="001310E1">
        <w:trPr>
          <w:jc w:val="center"/>
        </w:trPr>
        <w:tc>
          <w:tcPr>
            <w:tcW w:w="2258" w:type="dxa"/>
            <w:tcMar>
              <w:top w:w="70" w:type="dxa"/>
              <w:left w:w="80" w:type="dxa"/>
              <w:bottom w:w="70" w:type="dxa"/>
              <w:right w:w="80" w:type="dxa"/>
            </w:tcMar>
            <w:vAlign w:val="center"/>
          </w:tcPr>
          <w:p w14:paraId="6B635384" w14:textId="77777777" w:rsidR="00505923" w:rsidRPr="00046D1B" w:rsidRDefault="00505923" w:rsidP="001310E1">
            <w:pPr>
              <w:spacing w:line="252" w:lineRule="auto"/>
              <w:rPr>
                <w:rFonts w:asciiTheme="minorBidi" w:hAnsiTheme="minorBidi"/>
                <w:szCs w:val="24"/>
                <w:lang w:val="en-GB"/>
              </w:rPr>
            </w:pPr>
            <w:r w:rsidRPr="00046D1B">
              <w:rPr>
                <w:rFonts w:asciiTheme="minorBidi" w:eastAsia="Times New Roman" w:hAnsiTheme="minorBidi"/>
                <w:szCs w:val="24"/>
                <w:lang w:val="en-GB"/>
              </w:rPr>
              <w:t>IEA</w:t>
            </w:r>
          </w:p>
        </w:tc>
        <w:tc>
          <w:tcPr>
            <w:tcW w:w="7012" w:type="dxa"/>
            <w:tcMar>
              <w:top w:w="70" w:type="dxa"/>
              <w:left w:w="80" w:type="dxa"/>
              <w:bottom w:w="70" w:type="dxa"/>
              <w:right w:w="80" w:type="dxa"/>
            </w:tcMar>
            <w:vAlign w:val="center"/>
          </w:tcPr>
          <w:p w14:paraId="5C87E87C" w14:textId="77777777" w:rsidR="00505923" w:rsidRPr="00046D1B" w:rsidRDefault="00505923" w:rsidP="001310E1">
            <w:pPr>
              <w:spacing w:line="252" w:lineRule="auto"/>
              <w:rPr>
                <w:rFonts w:asciiTheme="minorBidi" w:hAnsiTheme="minorBidi"/>
                <w:szCs w:val="24"/>
                <w:lang w:val="en-GB"/>
              </w:rPr>
            </w:pPr>
            <w:r w:rsidRPr="00046D1B">
              <w:rPr>
                <w:rFonts w:asciiTheme="minorBidi" w:eastAsia="Times New Roman" w:hAnsiTheme="minorBidi"/>
                <w:szCs w:val="24"/>
                <w:lang w:val="en-GB"/>
              </w:rPr>
              <w:t>International Energy Agency</w:t>
            </w:r>
          </w:p>
        </w:tc>
      </w:tr>
      <w:tr w:rsidR="00505923" w:rsidRPr="00046D1B" w14:paraId="4E3566EB" w14:textId="77777777" w:rsidTr="001310E1">
        <w:trPr>
          <w:jc w:val="center"/>
        </w:trPr>
        <w:tc>
          <w:tcPr>
            <w:tcW w:w="2258" w:type="dxa"/>
            <w:tcMar>
              <w:top w:w="70" w:type="dxa"/>
              <w:left w:w="80" w:type="dxa"/>
              <w:bottom w:w="70" w:type="dxa"/>
              <w:right w:w="80" w:type="dxa"/>
            </w:tcMar>
            <w:vAlign w:val="center"/>
          </w:tcPr>
          <w:p w14:paraId="3882CAC1" w14:textId="77777777" w:rsidR="00505923" w:rsidRPr="00046D1B" w:rsidRDefault="00505923" w:rsidP="001310E1">
            <w:pPr>
              <w:spacing w:line="252" w:lineRule="auto"/>
              <w:rPr>
                <w:rFonts w:asciiTheme="minorBidi" w:hAnsiTheme="minorBidi"/>
                <w:szCs w:val="24"/>
                <w:lang w:val="en-GB"/>
              </w:rPr>
            </w:pPr>
            <w:r w:rsidRPr="00046D1B">
              <w:rPr>
                <w:rFonts w:asciiTheme="minorBidi" w:eastAsia="Times New Roman" w:hAnsiTheme="minorBidi"/>
                <w:szCs w:val="24"/>
                <w:lang w:val="en-GB"/>
              </w:rPr>
              <w:t>KPI</w:t>
            </w:r>
          </w:p>
        </w:tc>
        <w:tc>
          <w:tcPr>
            <w:tcW w:w="7012" w:type="dxa"/>
            <w:tcMar>
              <w:top w:w="70" w:type="dxa"/>
              <w:left w:w="80" w:type="dxa"/>
              <w:bottom w:w="70" w:type="dxa"/>
              <w:right w:w="80" w:type="dxa"/>
            </w:tcMar>
            <w:vAlign w:val="center"/>
          </w:tcPr>
          <w:p w14:paraId="0CA9191F" w14:textId="77777777" w:rsidR="00505923" w:rsidRPr="00046D1B" w:rsidRDefault="00505923" w:rsidP="001310E1">
            <w:pPr>
              <w:spacing w:line="252" w:lineRule="auto"/>
              <w:rPr>
                <w:rFonts w:asciiTheme="minorBidi" w:hAnsiTheme="minorBidi"/>
                <w:szCs w:val="24"/>
                <w:lang w:val="en-GB"/>
              </w:rPr>
            </w:pPr>
            <w:r w:rsidRPr="00046D1B">
              <w:rPr>
                <w:rFonts w:asciiTheme="minorBidi" w:eastAsia="Times New Roman" w:hAnsiTheme="minorBidi"/>
                <w:szCs w:val="24"/>
                <w:lang w:val="en-GB"/>
              </w:rPr>
              <w:t>Key performance indicator</w:t>
            </w:r>
          </w:p>
        </w:tc>
      </w:tr>
      <w:tr w:rsidR="00505923" w:rsidRPr="00046D1B" w14:paraId="3D9A85FD" w14:textId="77777777" w:rsidTr="001310E1">
        <w:trPr>
          <w:jc w:val="center"/>
        </w:trPr>
        <w:tc>
          <w:tcPr>
            <w:tcW w:w="2258" w:type="dxa"/>
            <w:tcMar>
              <w:top w:w="70" w:type="dxa"/>
              <w:left w:w="80" w:type="dxa"/>
              <w:bottom w:w="70" w:type="dxa"/>
              <w:right w:w="80" w:type="dxa"/>
            </w:tcMar>
            <w:vAlign w:val="center"/>
          </w:tcPr>
          <w:p w14:paraId="71BA2919" w14:textId="77777777" w:rsidR="00505923" w:rsidRPr="00046D1B" w:rsidRDefault="00505923" w:rsidP="001310E1">
            <w:pPr>
              <w:spacing w:line="252" w:lineRule="auto"/>
              <w:rPr>
                <w:rFonts w:asciiTheme="minorBidi" w:hAnsiTheme="minorBidi"/>
                <w:szCs w:val="24"/>
                <w:lang w:val="en-GB"/>
              </w:rPr>
            </w:pPr>
            <w:r w:rsidRPr="00046D1B">
              <w:rPr>
                <w:rFonts w:asciiTheme="minorBidi" w:eastAsia="Times New Roman" w:hAnsiTheme="minorBidi"/>
                <w:szCs w:val="24"/>
                <w:lang w:val="en-GB"/>
              </w:rPr>
              <w:t>Mt</w:t>
            </w:r>
          </w:p>
        </w:tc>
        <w:tc>
          <w:tcPr>
            <w:tcW w:w="7012" w:type="dxa"/>
            <w:tcMar>
              <w:top w:w="70" w:type="dxa"/>
              <w:left w:w="80" w:type="dxa"/>
              <w:bottom w:w="70" w:type="dxa"/>
              <w:right w:w="80" w:type="dxa"/>
            </w:tcMar>
            <w:vAlign w:val="center"/>
          </w:tcPr>
          <w:p w14:paraId="0DC79B39" w14:textId="77777777" w:rsidR="00505923" w:rsidRPr="00046D1B" w:rsidRDefault="00505923" w:rsidP="001310E1">
            <w:pPr>
              <w:spacing w:line="252" w:lineRule="auto"/>
              <w:rPr>
                <w:rFonts w:asciiTheme="minorBidi" w:hAnsiTheme="minorBidi"/>
                <w:szCs w:val="24"/>
                <w:lang w:val="en-GB"/>
              </w:rPr>
            </w:pPr>
            <w:r w:rsidRPr="00046D1B">
              <w:rPr>
                <w:rFonts w:asciiTheme="minorBidi" w:eastAsia="Times New Roman" w:hAnsiTheme="minorBidi"/>
                <w:szCs w:val="24"/>
                <w:lang w:val="en-GB"/>
              </w:rPr>
              <w:t>Million tonnes</w:t>
            </w:r>
          </w:p>
        </w:tc>
      </w:tr>
      <w:tr w:rsidR="00505923" w:rsidRPr="00046D1B" w14:paraId="1D9DA221" w14:textId="77777777" w:rsidTr="001310E1">
        <w:trPr>
          <w:jc w:val="center"/>
        </w:trPr>
        <w:tc>
          <w:tcPr>
            <w:tcW w:w="2258" w:type="dxa"/>
            <w:tcMar>
              <w:top w:w="70" w:type="dxa"/>
              <w:left w:w="80" w:type="dxa"/>
              <w:bottom w:w="70" w:type="dxa"/>
              <w:right w:w="80" w:type="dxa"/>
            </w:tcMar>
            <w:vAlign w:val="center"/>
          </w:tcPr>
          <w:p w14:paraId="6C132229" w14:textId="77777777" w:rsidR="00505923" w:rsidRPr="00046D1B" w:rsidRDefault="00505923" w:rsidP="001310E1">
            <w:pPr>
              <w:spacing w:line="252" w:lineRule="auto"/>
              <w:rPr>
                <w:rFonts w:asciiTheme="minorBidi" w:hAnsiTheme="minorBidi"/>
                <w:szCs w:val="24"/>
                <w:lang w:val="en-GB"/>
              </w:rPr>
            </w:pPr>
            <w:r w:rsidRPr="00046D1B">
              <w:rPr>
                <w:rFonts w:asciiTheme="minorBidi" w:eastAsia="Times New Roman" w:hAnsiTheme="minorBidi"/>
                <w:szCs w:val="24"/>
                <w:lang w:val="en-GB"/>
              </w:rPr>
              <w:t>MtCO2-e</w:t>
            </w:r>
          </w:p>
        </w:tc>
        <w:tc>
          <w:tcPr>
            <w:tcW w:w="7012" w:type="dxa"/>
            <w:tcMar>
              <w:top w:w="70" w:type="dxa"/>
              <w:left w:w="80" w:type="dxa"/>
              <w:bottom w:w="70" w:type="dxa"/>
              <w:right w:w="80" w:type="dxa"/>
            </w:tcMar>
            <w:vAlign w:val="center"/>
          </w:tcPr>
          <w:p w14:paraId="35126446" w14:textId="77777777" w:rsidR="00505923" w:rsidRPr="00046D1B" w:rsidRDefault="00505923" w:rsidP="001310E1">
            <w:pPr>
              <w:spacing w:line="252" w:lineRule="auto"/>
              <w:rPr>
                <w:rFonts w:asciiTheme="minorBidi" w:hAnsiTheme="minorBidi"/>
                <w:szCs w:val="24"/>
                <w:lang w:val="en-GB"/>
              </w:rPr>
            </w:pPr>
            <w:r w:rsidRPr="00046D1B">
              <w:rPr>
                <w:rFonts w:asciiTheme="minorBidi" w:eastAsia="Times New Roman" w:hAnsiTheme="minorBidi"/>
                <w:szCs w:val="24"/>
                <w:lang w:val="en-GB"/>
              </w:rPr>
              <w:t>Million tonnes of carbon dioxide equivalent</w:t>
            </w:r>
          </w:p>
        </w:tc>
      </w:tr>
      <w:tr w:rsidR="00505923" w:rsidRPr="00046D1B" w14:paraId="6B904335" w14:textId="77777777" w:rsidTr="001310E1">
        <w:trPr>
          <w:jc w:val="center"/>
        </w:trPr>
        <w:tc>
          <w:tcPr>
            <w:tcW w:w="2258" w:type="dxa"/>
            <w:tcMar>
              <w:top w:w="70" w:type="dxa"/>
              <w:left w:w="80" w:type="dxa"/>
              <w:bottom w:w="70" w:type="dxa"/>
              <w:right w:w="80" w:type="dxa"/>
            </w:tcMar>
            <w:vAlign w:val="center"/>
          </w:tcPr>
          <w:p w14:paraId="43619784" w14:textId="77777777" w:rsidR="00505923" w:rsidRPr="00046D1B" w:rsidRDefault="00505923" w:rsidP="001310E1">
            <w:pPr>
              <w:spacing w:line="252" w:lineRule="auto"/>
              <w:rPr>
                <w:rFonts w:asciiTheme="minorBidi" w:hAnsiTheme="minorBidi"/>
                <w:szCs w:val="24"/>
                <w:lang w:val="en-GB"/>
              </w:rPr>
            </w:pPr>
            <w:r w:rsidRPr="00046D1B">
              <w:rPr>
                <w:rFonts w:asciiTheme="minorBidi" w:eastAsia="Times New Roman" w:hAnsiTheme="minorBidi"/>
                <w:szCs w:val="24"/>
                <w:lang w:val="en-GB"/>
              </w:rPr>
              <w:t>Mtpa</w:t>
            </w:r>
          </w:p>
        </w:tc>
        <w:tc>
          <w:tcPr>
            <w:tcW w:w="7012" w:type="dxa"/>
            <w:tcMar>
              <w:top w:w="70" w:type="dxa"/>
              <w:left w:w="80" w:type="dxa"/>
              <w:bottom w:w="70" w:type="dxa"/>
              <w:right w:w="80" w:type="dxa"/>
            </w:tcMar>
            <w:vAlign w:val="center"/>
          </w:tcPr>
          <w:p w14:paraId="11FE8064" w14:textId="77777777" w:rsidR="00505923" w:rsidRPr="00046D1B" w:rsidRDefault="00505923" w:rsidP="001310E1">
            <w:pPr>
              <w:spacing w:line="252" w:lineRule="auto"/>
              <w:rPr>
                <w:rFonts w:asciiTheme="minorBidi" w:hAnsiTheme="minorBidi"/>
                <w:szCs w:val="24"/>
                <w:lang w:val="en-GB"/>
              </w:rPr>
            </w:pPr>
            <w:r w:rsidRPr="00046D1B">
              <w:rPr>
                <w:rFonts w:asciiTheme="minorBidi" w:eastAsia="Times New Roman" w:hAnsiTheme="minorBidi"/>
                <w:szCs w:val="24"/>
                <w:lang w:val="en-GB"/>
              </w:rPr>
              <w:t>Million tonnes per annum</w:t>
            </w:r>
          </w:p>
        </w:tc>
      </w:tr>
    </w:tbl>
    <w:p w14:paraId="30CCC2F5" w14:textId="77777777" w:rsidR="006F6365" w:rsidRPr="00046D1B" w:rsidRDefault="006F6365" w:rsidP="00505923">
      <w:pPr>
        <w:spacing w:after="100" w:line="276" w:lineRule="auto"/>
        <w:rPr>
          <w:rFonts w:cs="Times New Roman"/>
          <w:szCs w:val="24"/>
          <w:lang w:val="en-GB"/>
        </w:rPr>
      </w:pPr>
    </w:p>
    <w:sectPr w:rsidR="006F6365" w:rsidRPr="00046D1B" w:rsidSect="00034616">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0B4FA2" w14:textId="77777777" w:rsidR="00181A3B" w:rsidRDefault="00181A3B">
      <w:pPr>
        <w:spacing w:line="240" w:lineRule="auto"/>
      </w:pPr>
      <w:r>
        <w:separator/>
      </w:r>
    </w:p>
  </w:endnote>
  <w:endnote w:type="continuationSeparator" w:id="0">
    <w:p w14:paraId="1EB9A3E0" w14:textId="77777777" w:rsidR="00181A3B" w:rsidRDefault="00181A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FC0B1D" w14:textId="77777777" w:rsidR="006F6365" w:rsidRDefault="00F15D0F">
    <w:pPr>
      <w:pStyle w:val="Footer"/>
      <w:jc w:val="center"/>
    </w:pPr>
    <w:r>
      <w:rPr>
        <w:rFonts w:eastAsia="Times New Roman"/>
        <w:sz w:val="20"/>
      </w:rPr>
      <w:fldChar w:fldCharType="begin"/>
    </w:r>
    <w:r>
      <w:rPr>
        <w:rFonts w:eastAsia="Times New Roman"/>
        <w:sz w:val="20"/>
      </w:rPr>
      <w:instrText xml:space="preserve"> PAGE </w:instrText>
    </w:r>
    <w:r>
      <w:rPr>
        <w:rFonts w:eastAsia="Times New Roman"/>
        <w:sz w:val="20"/>
      </w:rPr>
      <w:fldChar w:fldCharType="separate"/>
    </w:r>
    <w:r w:rsidR="00B85EFB">
      <w:rPr>
        <w:rFonts w:eastAsia="Times New Roman"/>
        <w:noProof/>
        <w:sz w:val="20"/>
      </w:rPr>
      <w:t>1</w:t>
    </w:r>
    <w:r>
      <w:rPr>
        <w:rFonts w:eastAsia="Times New Roman"/>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64F58D" w14:textId="77777777" w:rsidR="00181A3B" w:rsidRDefault="00181A3B">
      <w:pPr>
        <w:spacing w:line="240" w:lineRule="auto"/>
      </w:pPr>
      <w:r>
        <w:separator/>
      </w:r>
    </w:p>
  </w:footnote>
  <w:footnote w:type="continuationSeparator" w:id="0">
    <w:p w14:paraId="5F1F145A" w14:textId="77777777" w:rsidR="00181A3B" w:rsidRDefault="00181A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A9C7CF4"/>
    <w:multiLevelType w:val="hybridMultilevel"/>
    <w:tmpl w:val="CC161314"/>
    <w:lvl w:ilvl="0" w:tplc="49DE30C0">
      <w:start w:val="1"/>
      <w:numFmt w:val="bullet"/>
      <w:lvlText w:val=""/>
      <w:lvlJc w:val="left"/>
      <w:pPr>
        <w:ind w:left="1440" w:hanging="360"/>
      </w:pPr>
      <w:rPr>
        <w:rFonts w:ascii="Symbol" w:hAnsi="Symbol"/>
      </w:rPr>
    </w:lvl>
    <w:lvl w:ilvl="1" w:tplc="3E00166C">
      <w:start w:val="1"/>
      <w:numFmt w:val="bullet"/>
      <w:lvlText w:val=""/>
      <w:lvlJc w:val="left"/>
      <w:pPr>
        <w:ind w:left="2160" w:hanging="360"/>
      </w:pPr>
      <w:rPr>
        <w:rFonts w:ascii="Symbol" w:hAnsi="Symbol"/>
      </w:rPr>
    </w:lvl>
    <w:lvl w:ilvl="2" w:tplc="72F82F3C">
      <w:start w:val="1"/>
      <w:numFmt w:val="bullet"/>
      <w:lvlText w:val=""/>
      <w:lvlJc w:val="left"/>
      <w:pPr>
        <w:ind w:left="1440" w:hanging="360"/>
      </w:pPr>
      <w:rPr>
        <w:rFonts w:ascii="Symbol" w:hAnsi="Symbol"/>
      </w:rPr>
    </w:lvl>
    <w:lvl w:ilvl="3" w:tplc="5F7212A8">
      <w:start w:val="1"/>
      <w:numFmt w:val="bullet"/>
      <w:lvlText w:val=""/>
      <w:lvlJc w:val="left"/>
      <w:pPr>
        <w:ind w:left="1440" w:hanging="360"/>
      </w:pPr>
      <w:rPr>
        <w:rFonts w:ascii="Symbol" w:hAnsi="Symbol"/>
      </w:rPr>
    </w:lvl>
    <w:lvl w:ilvl="4" w:tplc="008444AE">
      <w:start w:val="1"/>
      <w:numFmt w:val="bullet"/>
      <w:lvlText w:val=""/>
      <w:lvlJc w:val="left"/>
      <w:pPr>
        <w:ind w:left="1440" w:hanging="360"/>
      </w:pPr>
      <w:rPr>
        <w:rFonts w:ascii="Symbol" w:hAnsi="Symbol"/>
      </w:rPr>
    </w:lvl>
    <w:lvl w:ilvl="5" w:tplc="3CF61D7C">
      <w:start w:val="1"/>
      <w:numFmt w:val="bullet"/>
      <w:lvlText w:val=""/>
      <w:lvlJc w:val="left"/>
      <w:pPr>
        <w:ind w:left="1440" w:hanging="360"/>
      </w:pPr>
      <w:rPr>
        <w:rFonts w:ascii="Symbol" w:hAnsi="Symbol"/>
      </w:rPr>
    </w:lvl>
    <w:lvl w:ilvl="6" w:tplc="6E3E9924">
      <w:start w:val="1"/>
      <w:numFmt w:val="bullet"/>
      <w:lvlText w:val=""/>
      <w:lvlJc w:val="left"/>
      <w:pPr>
        <w:ind w:left="1440" w:hanging="360"/>
      </w:pPr>
      <w:rPr>
        <w:rFonts w:ascii="Symbol" w:hAnsi="Symbol"/>
      </w:rPr>
    </w:lvl>
    <w:lvl w:ilvl="7" w:tplc="A42C9658">
      <w:start w:val="1"/>
      <w:numFmt w:val="bullet"/>
      <w:lvlText w:val=""/>
      <w:lvlJc w:val="left"/>
      <w:pPr>
        <w:ind w:left="1440" w:hanging="360"/>
      </w:pPr>
      <w:rPr>
        <w:rFonts w:ascii="Symbol" w:hAnsi="Symbol"/>
      </w:rPr>
    </w:lvl>
    <w:lvl w:ilvl="8" w:tplc="241CBE98">
      <w:start w:val="1"/>
      <w:numFmt w:val="bullet"/>
      <w:lvlText w:val=""/>
      <w:lvlJc w:val="left"/>
      <w:pPr>
        <w:ind w:left="1440" w:hanging="360"/>
      </w:pPr>
      <w:rPr>
        <w:rFonts w:ascii="Symbol" w:hAnsi="Symbol"/>
      </w:rPr>
    </w:lvl>
  </w:abstractNum>
  <w:num w:numId="1" w16cid:durableId="1311789099">
    <w:abstractNumId w:val="8"/>
  </w:num>
  <w:num w:numId="2" w16cid:durableId="691880455">
    <w:abstractNumId w:val="6"/>
  </w:num>
  <w:num w:numId="3" w16cid:durableId="1233419942">
    <w:abstractNumId w:val="5"/>
  </w:num>
  <w:num w:numId="4" w16cid:durableId="195045097">
    <w:abstractNumId w:val="4"/>
  </w:num>
  <w:num w:numId="5" w16cid:durableId="390349236">
    <w:abstractNumId w:val="7"/>
  </w:num>
  <w:num w:numId="6" w16cid:durableId="1057364593">
    <w:abstractNumId w:val="3"/>
  </w:num>
  <w:num w:numId="7" w16cid:durableId="1231840664">
    <w:abstractNumId w:val="2"/>
  </w:num>
  <w:num w:numId="8" w16cid:durableId="1841432178">
    <w:abstractNumId w:val="1"/>
  </w:num>
  <w:num w:numId="9" w16cid:durableId="865993681">
    <w:abstractNumId w:val="0"/>
  </w:num>
  <w:num w:numId="10" w16cid:durableId="7597220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2179"/>
    <w:rsid w:val="00014889"/>
    <w:rsid w:val="00027234"/>
    <w:rsid w:val="00034616"/>
    <w:rsid w:val="00046D1B"/>
    <w:rsid w:val="00052D8E"/>
    <w:rsid w:val="0006063C"/>
    <w:rsid w:val="00077AE1"/>
    <w:rsid w:val="000848A3"/>
    <w:rsid w:val="000B4A4E"/>
    <w:rsid w:val="000B5BC7"/>
    <w:rsid w:val="000E699D"/>
    <w:rsid w:val="00137B3A"/>
    <w:rsid w:val="0015074B"/>
    <w:rsid w:val="00162BB9"/>
    <w:rsid w:val="001663B6"/>
    <w:rsid w:val="00181A3B"/>
    <w:rsid w:val="00190802"/>
    <w:rsid w:val="001A65A6"/>
    <w:rsid w:val="001C4DFD"/>
    <w:rsid w:val="0028748B"/>
    <w:rsid w:val="0029639D"/>
    <w:rsid w:val="002C5053"/>
    <w:rsid w:val="00311BFE"/>
    <w:rsid w:val="00326F90"/>
    <w:rsid w:val="00335819"/>
    <w:rsid w:val="003603B2"/>
    <w:rsid w:val="00370804"/>
    <w:rsid w:val="00393B7A"/>
    <w:rsid w:val="00404FC0"/>
    <w:rsid w:val="00414CD5"/>
    <w:rsid w:val="004F79FC"/>
    <w:rsid w:val="00501D17"/>
    <w:rsid w:val="00505923"/>
    <w:rsid w:val="00523017"/>
    <w:rsid w:val="00523A18"/>
    <w:rsid w:val="0053057F"/>
    <w:rsid w:val="00543122"/>
    <w:rsid w:val="00551627"/>
    <w:rsid w:val="00571DAF"/>
    <w:rsid w:val="005B2A7F"/>
    <w:rsid w:val="005D4FB0"/>
    <w:rsid w:val="005F2EBC"/>
    <w:rsid w:val="00623945"/>
    <w:rsid w:val="00623AFB"/>
    <w:rsid w:val="006336AB"/>
    <w:rsid w:val="00650B0D"/>
    <w:rsid w:val="00685994"/>
    <w:rsid w:val="006A2F4A"/>
    <w:rsid w:val="006B2715"/>
    <w:rsid w:val="006C28E0"/>
    <w:rsid w:val="006C5B8C"/>
    <w:rsid w:val="006C727E"/>
    <w:rsid w:val="006D54F6"/>
    <w:rsid w:val="006F5BD3"/>
    <w:rsid w:val="006F6365"/>
    <w:rsid w:val="00726EA2"/>
    <w:rsid w:val="00733C40"/>
    <w:rsid w:val="00734CB3"/>
    <w:rsid w:val="00755436"/>
    <w:rsid w:val="00755BF5"/>
    <w:rsid w:val="0078226C"/>
    <w:rsid w:val="00794CDA"/>
    <w:rsid w:val="007B4541"/>
    <w:rsid w:val="007E2172"/>
    <w:rsid w:val="007E25BF"/>
    <w:rsid w:val="008236E4"/>
    <w:rsid w:val="0083416F"/>
    <w:rsid w:val="008663C6"/>
    <w:rsid w:val="008B7477"/>
    <w:rsid w:val="008F7AA3"/>
    <w:rsid w:val="008F7C9D"/>
    <w:rsid w:val="009816FA"/>
    <w:rsid w:val="009A0B36"/>
    <w:rsid w:val="009C07CC"/>
    <w:rsid w:val="009F1F2D"/>
    <w:rsid w:val="009F5308"/>
    <w:rsid w:val="009F610F"/>
    <w:rsid w:val="009F721E"/>
    <w:rsid w:val="00A07204"/>
    <w:rsid w:val="00A63E0E"/>
    <w:rsid w:val="00A7325B"/>
    <w:rsid w:val="00A73DF6"/>
    <w:rsid w:val="00A747AA"/>
    <w:rsid w:val="00A96B6D"/>
    <w:rsid w:val="00AA1D8D"/>
    <w:rsid w:val="00AC29F2"/>
    <w:rsid w:val="00B067A6"/>
    <w:rsid w:val="00B47730"/>
    <w:rsid w:val="00B61462"/>
    <w:rsid w:val="00B85EFB"/>
    <w:rsid w:val="00BD1A50"/>
    <w:rsid w:val="00BD7B6D"/>
    <w:rsid w:val="00BF2953"/>
    <w:rsid w:val="00C465B1"/>
    <w:rsid w:val="00C65692"/>
    <w:rsid w:val="00C90797"/>
    <w:rsid w:val="00C948A5"/>
    <w:rsid w:val="00CB0664"/>
    <w:rsid w:val="00CB7843"/>
    <w:rsid w:val="00CE3950"/>
    <w:rsid w:val="00D00AA8"/>
    <w:rsid w:val="00D05ADA"/>
    <w:rsid w:val="00D06CF6"/>
    <w:rsid w:val="00D140FD"/>
    <w:rsid w:val="00D16F7F"/>
    <w:rsid w:val="00D267BA"/>
    <w:rsid w:val="00D450A7"/>
    <w:rsid w:val="00D46983"/>
    <w:rsid w:val="00D63FAA"/>
    <w:rsid w:val="00D869D2"/>
    <w:rsid w:val="00DB0A30"/>
    <w:rsid w:val="00DD2D07"/>
    <w:rsid w:val="00DD7443"/>
    <w:rsid w:val="00DE57A5"/>
    <w:rsid w:val="00DE72F7"/>
    <w:rsid w:val="00DF5C26"/>
    <w:rsid w:val="00E65793"/>
    <w:rsid w:val="00E902CB"/>
    <w:rsid w:val="00E95B91"/>
    <w:rsid w:val="00EA5381"/>
    <w:rsid w:val="00F07305"/>
    <w:rsid w:val="00F15D0F"/>
    <w:rsid w:val="00F15D4B"/>
    <w:rsid w:val="00F378C9"/>
    <w:rsid w:val="00F503C8"/>
    <w:rsid w:val="00F8542B"/>
    <w:rsid w:val="00FC64DB"/>
    <w:rsid w:val="00FC693F"/>
    <w:rsid w:val="00FD31EC"/>
    <w:rsid w:val="00FE30F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C1FA55F"/>
  <w14:defaultImageDpi w14:val="300"/>
  <w15:docId w15:val="{97EC567B-A578-45DF-A315-8AD41CEB0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923"/>
    <w:pPr>
      <w:spacing w:after="0" w:line="360" w:lineRule="auto"/>
    </w:pPr>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outlineLvl w:val="0"/>
    </w:pPr>
    <w:rPr>
      <w:rFonts w:asciiTheme="majorHAnsi" w:eastAsiaTheme="majorEastAsia" w:hAnsiTheme="majorHAnsi" w:cstheme="majorBidi"/>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200"/>
      <w:outlineLvl w:val="1"/>
    </w:pPr>
    <w:rPr>
      <w:rFonts w:asciiTheme="majorHAnsi" w:eastAsiaTheme="majorEastAsia" w:hAnsiTheme="majorHAnsi" w:cstheme="majorBidi"/>
      <w:b/>
      <w:bCs/>
      <w:color w:val="000000"/>
      <w:szCs w:val="26"/>
    </w:rPr>
  </w:style>
  <w:style w:type="paragraph" w:styleId="Heading3">
    <w:name w:val="heading 3"/>
    <w:basedOn w:val="Normal"/>
    <w:next w:val="Normal"/>
    <w:link w:val="Heading3Char"/>
    <w:uiPriority w:val="9"/>
    <w:unhideWhenUsed/>
    <w:qFormat/>
    <w:rsid w:val="00FC693F"/>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CommentReference">
    <w:name w:val="annotation reference"/>
    <w:basedOn w:val="DefaultParagraphFont"/>
    <w:uiPriority w:val="99"/>
    <w:semiHidden/>
    <w:unhideWhenUsed/>
    <w:rsid w:val="00FD31EC"/>
    <w:rPr>
      <w:sz w:val="16"/>
      <w:szCs w:val="16"/>
    </w:rPr>
  </w:style>
  <w:style w:type="paragraph" w:styleId="CommentText">
    <w:name w:val="annotation text"/>
    <w:basedOn w:val="Normal"/>
    <w:link w:val="CommentTextChar"/>
    <w:uiPriority w:val="99"/>
    <w:unhideWhenUsed/>
    <w:rsid w:val="00FD31EC"/>
    <w:pPr>
      <w:spacing w:line="240" w:lineRule="auto"/>
    </w:pPr>
    <w:rPr>
      <w:sz w:val="20"/>
      <w:szCs w:val="20"/>
    </w:rPr>
  </w:style>
  <w:style w:type="character" w:customStyle="1" w:styleId="CommentTextChar">
    <w:name w:val="Comment Text Char"/>
    <w:basedOn w:val="DefaultParagraphFont"/>
    <w:link w:val="CommentText"/>
    <w:uiPriority w:val="99"/>
    <w:rsid w:val="00FD31E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D31EC"/>
    <w:rPr>
      <w:b/>
      <w:bCs/>
    </w:rPr>
  </w:style>
  <w:style w:type="character" w:customStyle="1" w:styleId="CommentSubjectChar">
    <w:name w:val="Comment Subject Char"/>
    <w:basedOn w:val="CommentTextChar"/>
    <w:link w:val="CommentSubject"/>
    <w:uiPriority w:val="99"/>
    <w:semiHidden/>
    <w:rsid w:val="00FD31EC"/>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Pages>
  <Words>3765</Words>
  <Characters>21466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25181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hamad al-jorani</cp:lastModifiedBy>
  <cp:revision>5</cp:revision>
  <dcterms:created xsi:type="dcterms:W3CDTF">2026-10-20T14:52:00Z</dcterms:created>
  <dcterms:modified xsi:type="dcterms:W3CDTF">2026-10-20T15:07:00Z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51c34f8196411f43d9ad139c3f3122ef1fe943d471723980b1e66840d9f56da2</vt:lpwstr>
  </property>
</Properties>
</file>