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36A8F" w14:textId="324C6C73" w:rsidR="00AD497C" w:rsidRPr="009E6657" w:rsidRDefault="00217745" w:rsidP="009E6657">
      <w:pPr>
        <w:pStyle w:val="NormalWeb"/>
        <w:spacing w:line="360" w:lineRule="auto"/>
        <w:jc w:val="both"/>
        <w:rPr>
          <w:rStyle w:val="Strong"/>
          <w:rFonts w:ascii="Arial" w:hAnsi="Arial" w:cs="Arial"/>
          <w:sz w:val="22"/>
          <w:szCs w:val="22"/>
        </w:rPr>
      </w:pPr>
      <w:r w:rsidRPr="009E6657">
        <w:rPr>
          <w:rFonts w:ascii="Arial" w:hAnsi="Arial" w:cs="Arial"/>
          <w:noProof/>
          <w:sz w:val="22"/>
          <w:szCs w:val="22"/>
        </w:rPr>
        <w:drawing>
          <wp:anchor distT="0" distB="0" distL="114300" distR="114300" simplePos="0" relativeHeight="251658240" behindDoc="0" locked="0" layoutInCell="1" allowOverlap="1" wp14:anchorId="57B98B36" wp14:editId="4F95C06F">
            <wp:simplePos x="0" y="0"/>
            <wp:positionH relativeFrom="column">
              <wp:posOffset>1132840</wp:posOffset>
            </wp:positionH>
            <wp:positionV relativeFrom="paragraph">
              <wp:posOffset>342900</wp:posOffset>
            </wp:positionV>
            <wp:extent cx="3729990" cy="1676400"/>
            <wp:effectExtent l="0" t="0" r="3810" b="0"/>
            <wp:wrapThrough wrapText="bothSides">
              <wp:wrapPolygon edited="0">
                <wp:start x="0" y="0"/>
                <wp:lineTo x="0" y="21355"/>
                <wp:lineTo x="21512" y="21355"/>
                <wp:lineTo x="21512" y="0"/>
                <wp:lineTo x="0" y="0"/>
              </wp:wrapPolygon>
            </wp:wrapThrough>
            <wp:docPr id="3" name="Picture 3" descr="COVID-19 Respon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VID-19 Respons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9990" cy="1676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0EDBCD" w14:textId="5298283C" w:rsidR="00AD497C" w:rsidRPr="009E6657" w:rsidRDefault="00AD497C" w:rsidP="009E6657">
      <w:pPr>
        <w:pStyle w:val="NormalWeb"/>
        <w:spacing w:line="360" w:lineRule="auto"/>
        <w:jc w:val="both"/>
        <w:rPr>
          <w:rStyle w:val="Strong"/>
          <w:rFonts w:ascii="Arial" w:hAnsi="Arial" w:cs="Arial"/>
          <w:sz w:val="22"/>
          <w:szCs w:val="22"/>
        </w:rPr>
      </w:pPr>
    </w:p>
    <w:p w14:paraId="52E49CF4" w14:textId="1F372BE0" w:rsidR="00AD497C" w:rsidRDefault="00AD497C" w:rsidP="009E6657">
      <w:pPr>
        <w:pStyle w:val="NormalWeb"/>
        <w:spacing w:line="360" w:lineRule="auto"/>
        <w:jc w:val="both"/>
        <w:rPr>
          <w:rStyle w:val="Strong"/>
          <w:rFonts w:ascii="Arial" w:hAnsi="Arial" w:cs="Arial"/>
          <w:sz w:val="22"/>
          <w:szCs w:val="22"/>
        </w:rPr>
      </w:pPr>
    </w:p>
    <w:p w14:paraId="2645F05E" w14:textId="77777777" w:rsidR="00217745" w:rsidRDefault="00217745" w:rsidP="009E6657">
      <w:pPr>
        <w:pStyle w:val="NormalWeb"/>
        <w:spacing w:line="360" w:lineRule="auto"/>
        <w:jc w:val="both"/>
        <w:rPr>
          <w:rStyle w:val="Strong"/>
          <w:rFonts w:ascii="Arial" w:hAnsi="Arial" w:cs="Arial"/>
          <w:sz w:val="22"/>
          <w:szCs w:val="22"/>
        </w:rPr>
      </w:pPr>
    </w:p>
    <w:p w14:paraId="21AAA662" w14:textId="77777777" w:rsidR="00217745" w:rsidRPr="009E6657" w:rsidRDefault="00217745" w:rsidP="009E6657">
      <w:pPr>
        <w:pStyle w:val="NormalWeb"/>
        <w:spacing w:line="360" w:lineRule="auto"/>
        <w:jc w:val="both"/>
        <w:rPr>
          <w:rStyle w:val="Strong"/>
          <w:rFonts w:ascii="Arial" w:hAnsi="Arial" w:cs="Arial"/>
          <w:sz w:val="22"/>
          <w:szCs w:val="22"/>
        </w:rPr>
      </w:pPr>
    </w:p>
    <w:p w14:paraId="0A08F63C" w14:textId="77777777" w:rsidR="00AD497C" w:rsidRPr="009E6657" w:rsidRDefault="00AD497C" w:rsidP="009E6657">
      <w:pPr>
        <w:pStyle w:val="NormalWeb"/>
        <w:spacing w:line="360" w:lineRule="auto"/>
        <w:jc w:val="both"/>
        <w:rPr>
          <w:rStyle w:val="Strong"/>
          <w:rFonts w:ascii="Arial" w:hAnsi="Arial" w:cs="Arial"/>
          <w:sz w:val="22"/>
          <w:szCs w:val="22"/>
        </w:rPr>
      </w:pPr>
    </w:p>
    <w:p w14:paraId="2CEB751D" w14:textId="7B1408B8" w:rsidR="007661AD" w:rsidRPr="009E6657" w:rsidRDefault="007661AD" w:rsidP="00217745">
      <w:pPr>
        <w:pStyle w:val="NormalWeb"/>
        <w:spacing w:line="360" w:lineRule="auto"/>
        <w:jc w:val="center"/>
        <w:rPr>
          <w:rStyle w:val="Strong"/>
          <w:rFonts w:ascii="Arial" w:hAnsi="Arial" w:cs="Arial"/>
          <w:sz w:val="22"/>
          <w:szCs w:val="22"/>
        </w:rPr>
      </w:pPr>
      <w:r w:rsidRPr="009E6657">
        <w:rPr>
          <w:rStyle w:val="Strong"/>
          <w:rFonts w:ascii="Arial" w:hAnsi="Arial" w:cs="Arial"/>
          <w:sz w:val="22"/>
          <w:szCs w:val="22"/>
        </w:rPr>
        <w:t>Name:</w:t>
      </w:r>
      <w:r w:rsidR="00217745">
        <w:rPr>
          <w:rStyle w:val="Strong"/>
          <w:rFonts w:ascii="Arial" w:hAnsi="Arial" w:cs="Arial"/>
          <w:sz w:val="22"/>
          <w:szCs w:val="22"/>
        </w:rPr>
        <w:t xml:space="preserve"> </w:t>
      </w:r>
      <w:r w:rsidR="00217745" w:rsidRPr="00217745">
        <w:rPr>
          <w:rStyle w:val="Strong"/>
          <w:rFonts w:ascii="Arial" w:hAnsi="Arial" w:cs="Arial"/>
          <w:sz w:val="22"/>
          <w:szCs w:val="22"/>
        </w:rPr>
        <w:t>Muhammad Javed</w:t>
      </w:r>
    </w:p>
    <w:p w14:paraId="1698801E" w14:textId="2A05DE4E" w:rsidR="007661AD" w:rsidRPr="009E6657" w:rsidRDefault="00D84FA9" w:rsidP="00217745">
      <w:pPr>
        <w:pStyle w:val="NormalWeb"/>
        <w:spacing w:line="360" w:lineRule="auto"/>
        <w:jc w:val="center"/>
        <w:rPr>
          <w:rStyle w:val="Strong"/>
          <w:rFonts w:ascii="Arial" w:hAnsi="Arial" w:cs="Arial"/>
          <w:sz w:val="22"/>
          <w:szCs w:val="22"/>
        </w:rPr>
      </w:pPr>
      <w:r w:rsidRPr="009E6657">
        <w:rPr>
          <w:rStyle w:val="Strong"/>
          <w:rFonts w:ascii="Arial" w:hAnsi="Arial" w:cs="Arial"/>
          <w:sz w:val="22"/>
          <w:szCs w:val="22"/>
        </w:rPr>
        <w:t>S</w:t>
      </w:r>
      <w:r w:rsidR="007661AD" w:rsidRPr="009E6657">
        <w:rPr>
          <w:rStyle w:val="Strong"/>
          <w:rFonts w:ascii="Arial" w:hAnsi="Arial" w:cs="Arial"/>
          <w:sz w:val="22"/>
          <w:szCs w:val="22"/>
        </w:rPr>
        <w:t>tudent number:</w:t>
      </w:r>
      <w:r w:rsidR="00217745">
        <w:rPr>
          <w:rStyle w:val="Strong"/>
          <w:rFonts w:ascii="Arial" w:hAnsi="Arial" w:cs="Arial"/>
          <w:sz w:val="22"/>
          <w:szCs w:val="22"/>
        </w:rPr>
        <w:t xml:space="preserve">  </w:t>
      </w:r>
      <w:r w:rsidR="00217745" w:rsidRPr="00217745">
        <w:rPr>
          <w:rStyle w:val="Strong"/>
          <w:rFonts w:ascii="Arial" w:hAnsi="Arial" w:cs="Arial"/>
          <w:sz w:val="22"/>
          <w:szCs w:val="22"/>
        </w:rPr>
        <w:t>2437694</w:t>
      </w:r>
      <w:r w:rsidR="00217745">
        <w:rPr>
          <w:rStyle w:val="Strong"/>
          <w:rFonts w:ascii="Arial" w:hAnsi="Arial" w:cs="Arial"/>
          <w:sz w:val="22"/>
          <w:szCs w:val="22"/>
        </w:rPr>
        <w:t xml:space="preserve"> </w:t>
      </w:r>
    </w:p>
    <w:p w14:paraId="543EA0B4" w14:textId="0E6ADEF4" w:rsidR="007661AD" w:rsidRPr="009E6657" w:rsidRDefault="007661AD" w:rsidP="00217745">
      <w:pPr>
        <w:pStyle w:val="NormalWeb"/>
        <w:spacing w:line="360" w:lineRule="auto"/>
        <w:jc w:val="center"/>
        <w:rPr>
          <w:rStyle w:val="Strong"/>
          <w:rFonts w:ascii="Arial" w:hAnsi="Arial" w:cs="Arial"/>
          <w:sz w:val="22"/>
          <w:szCs w:val="22"/>
        </w:rPr>
      </w:pPr>
      <w:r w:rsidRPr="009E6657">
        <w:rPr>
          <w:rStyle w:val="Strong"/>
          <w:rFonts w:ascii="Arial" w:hAnsi="Arial" w:cs="Arial"/>
          <w:sz w:val="22"/>
          <w:szCs w:val="22"/>
        </w:rPr>
        <w:t xml:space="preserve">Health Care System, </w:t>
      </w:r>
      <w:proofErr w:type="spellStart"/>
      <w:r w:rsidRPr="009E6657">
        <w:rPr>
          <w:rStyle w:val="Strong"/>
          <w:rFonts w:ascii="Arial" w:hAnsi="Arial" w:cs="Arial"/>
          <w:sz w:val="22"/>
          <w:szCs w:val="22"/>
        </w:rPr>
        <w:t>Organisation</w:t>
      </w:r>
      <w:proofErr w:type="spellEnd"/>
      <w:r w:rsidRPr="009E6657">
        <w:rPr>
          <w:rStyle w:val="Strong"/>
          <w:rFonts w:ascii="Arial" w:hAnsi="Arial" w:cs="Arial"/>
          <w:sz w:val="22"/>
          <w:szCs w:val="22"/>
        </w:rPr>
        <w:t xml:space="preserve"> and Leadership</w:t>
      </w:r>
    </w:p>
    <w:p w14:paraId="01A7EA3E" w14:textId="77777777" w:rsidR="007661AD" w:rsidRPr="009E6657" w:rsidRDefault="007661AD" w:rsidP="00217745">
      <w:pPr>
        <w:pStyle w:val="NormalWeb"/>
        <w:spacing w:line="360" w:lineRule="auto"/>
        <w:jc w:val="center"/>
        <w:rPr>
          <w:rStyle w:val="Strong"/>
          <w:rFonts w:ascii="Arial" w:hAnsi="Arial" w:cs="Arial"/>
          <w:sz w:val="22"/>
          <w:szCs w:val="22"/>
        </w:rPr>
      </w:pPr>
      <w:r w:rsidRPr="009E6657">
        <w:rPr>
          <w:rStyle w:val="Strong"/>
          <w:rFonts w:ascii="Arial" w:hAnsi="Arial" w:cs="Arial"/>
          <w:sz w:val="22"/>
          <w:szCs w:val="22"/>
        </w:rPr>
        <w:t>LCHS7002</w:t>
      </w:r>
    </w:p>
    <w:p w14:paraId="465686EC" w14:textId="77777777" w:rsidR="007661AD" w:rsidRPr="009E6657" w:rsidRDefault="007661AD" w:rsidP="00217745">
      <w:pPr>
        <w:pStyle w:val="NormalWeb"/>
        <w:spacing w:line="360" w:lineRule="auto"/>
        <w:jc w:val="center"/>
        <w:rPr>
          <w:rStyle w:val="Strong"/>
          <w:rFonts w:ascii="Arial" w:hAnsi="Arial" w:cs="Arial"/>
          <w:sz w:val="22"/>
          <w:szCs w:val="22"/>
        </w:rPr>
      </w:pPr>
      <w:r w:rsidRPr="009E6657">
        <w:rPr>
          <w:rStyle w:val="Strong"/>
          <w:rFonts w:ascii="Arial" w:hAnsi="Arial" w:cs="Arial"/>
          <w:sz w:val="22"/>
          <w:szCs w:val="22"/>
        </w:rPr>
        <w:t>Dr Fahad Khan</w:t>
      </w:r>
    </w:p>
    <w:p w14:paraId="6746D24D" w14:textId="10487253" w:rsidR="00AD497C" w:rsidRPr="009E6657" w:rsidRDefault="00AD497C" w:rsidP="009E6657">
      <w:pPr>
        <w:pStyle w:val="NormalWeb"/>
        <w:spacing w:line="360" w:lineRule="auto"/>
        <w:jc w:val="both"/>
        <w:rPr>
          <w:rFonts w:ascii="Arial" w:hAnsi="Arial" w:cs="Arial"/>
          <w:sz w:val="22"/>
          <w:szCs w:val="22"/>
        </w:rPr>
      </w:pPr>
      <w:r w:rsidRPr="009E6657">
        <w:rPr>
          <w:rStyle w:val="Strong"/>
          <w:rFonts w:ascii="Arial" w:hAnsi="Arial" w:cs="Arial"/>
          <w:sz w:val="22"/>
          <w:szCs w:val="22"/>
        </w:rPr>
        <w:t>Case Study Analysis Report: Comparative Report on COVID-19 Leadership Responses</w:t>
      </w:r>
    </w:p>
    <w:p w14:paraId="42894C03" w14:textId="77777777" w:rsidR="00D84FA9" w:rsidRPr="009E6657" w:rsidRDefault="00D84FA9" w:rsidP="009E6657">
      <w:pPr>
        <w:spacing w:line="360" w:lineRule="auto"/>
        <w:jc w:val="both"/>
        <w:rPr>
          <w:rFonts w:ascii="Arial" w:hAnsi="Arial" w:cs="Arial"/>
          <w:sz w:val="22"/>
        </w:rPr>
      </w:pPr>
      <w:r w:rsidRPr="009E6657">
        <w:rPr>
          <w:rFonts w:ascii="Arial" w:hAnsi="Arial" w:cs="Arial"/>
          <w:sz w:val="22"/>
        </w:rPr>
        <w:br w:type="page"/>
      </w:r>
    </w:p>
    <w:sdt>
      <w:sdtPr>
        <w:rPr>
          <w:rFonts w:ascii="Arial" w:eastAsiaTheme="minorHAnsi" w:hAnsi="Arial" w:cs="Arial"/>
          <w:color w:val="auto"/>
          <w:kern w:val="2"/>
          <w:sz w:val="22"/>
          <w:szCs w:val="22"/>
          <w:lang w:val="en-GB"/>
          <w14:ligatures w14:val="standardContextual"/>
        </w:rPr>
        <w:id w:val="758260386"/>
        <w:docPartObj>
          <w:docPartGallery w:val="Table of Contents"/>
          <w:docPartUnique/>
        </w:docPartObj>
      </w:sdtPr>
      <w:sdtEndPr>
        <w:rPr>
          <w:b/>
          <w:bCs/>
          <w:noProof/>
        </w:rPr>
      </w:sdtEndPr>
      <w:sdtContent>
        <w:p w14:paraId="7B8B40E0" w14:textId="67006E6D" w:rsidR="00D84FA9" w:rsidRPr="009E6657" w:rsidRDefault="00D84FA9" w:rsidP="009E6657">
          <w:pPr>
            <w:pStyle w:val="TOCHeading"/>
            <w:spacing w:line="360" w:lineRule="auto"/>
            <w:jc w:val="both"/>
            <w:rPr>
              <w:rFonts w:ascii="Arial" w:hAnsi="Arial" w:cs="Arial"/>
              <w:color w:val="auto"/>
              <w:sz w:val="22"/>
              <w:szCs w:val="22"/>
            </w:rPr>
          </w:pPr>
          <w:r w:rsidRPr="009E6657">
            <w:rPr>
              <w:rFonts w:ascii="Arial" w:hAnsi="Arial" w:cs="Arial"/>
              <w:color w:val="auto"/>
              <w:sz w:val="22"/>
              <w:szCs w:val="22"/>
            </w:rPr>
            <w:t>Table of Contents</w:t>
          </w:r>
        </w:p>
        <w:p w14:paraId="44DDC134" w14:textId="2E7D3F46" w:rsidR="00D84FA9" w:rsidRPr="009E6657" w:rsidRDefault="00D84FA9" w:rsidP="009E6657">
          <w:pPr>
            <w:pStyle w:val="TOC1"/>
            <w:tabs>
              <w:tab w:val="left" w:pos="440"/>
              <w:tab w:val="right" w:leader="dot" w:pos="9350"/>
            </w:tabs>
            <w:spacing w:line="360" w:lineRule="auto"/>
            <w:jc w:val="both"/>
            <w:rPr>
              <w:rFonts w:ascii="Arial" w:hAnsi="Arial" w:cs="Arial"/>
              <w:noProof/>
              <w:sz w:val="22"/>
            </w:rPr>
          </w:pPr>
          <w:r w:rsidRPr="009E6657">
            <w:rPr>
              <w:rFonts w:ascii="Arial" w:hAnsi="Arial" w:cs="Arial"/>
              <w:sz w:val="22"/>
            </w:rPr>
            <w:fldChar w:fldCharType="begin"/>
          </w:r>
          <w:r w:rsidRPr="009E6657">
            <w:rPr>
              <w:rFonts w:ascii="Arial" w:hAnsi="Arial" w:cs="Arial"/>
              <w:sz w:val="22"/>
            </w:rPr>
            <w:instrText xml:space="preserve"> TOC \o "1-3" \h \z \u </w:instrText>
          </w:r>
          <w:r w:rsidRPr="009E6657">
            <w:rPr>
              <w:rFonts w:ascii="Arial" w:hAnsi="Arial" w:cs="Arial"/>
              <w:sz w:val="22"/>
            </w:rPr>
            <w:fldChar w:fldCharType="separate"/>
          </w:r>
          <w:hyperlink w:anchor="_Toc212743882" w:history="1">
            <w:r w:rsidRPr="009E6657">
              <w:rPr>
                <w:rStyle w:val="Hyperlink"/>
                <w:rFonts w:ascii="Arial" w:hAnsi="Arial" w:cs="Arial"/>
                <w:noProof/>
                <w:color w:val="auto"/>
                <w:sz w:val="22"/>
              </w:rPr>
              <w:t>1.</w:t>
            </w:r>
            <w:r w:rsidRPr="009E6657">
              <w:rPr>
                <w:rFonts w:ascii="Arial" w:hAnsi="Arial" w:cs="Arial"/>
                <w:noProof/>
                <w:sz w:val="22"/>
              </w:rPr>
              <w:tab/>
            </w:r>
            <w:r w:rsidRPr="009E6657">
              <w:rPr>
                <w:rStyle w:val="Hyperlink"/>
                <w:rFonts w:ascii="Arial" w:hAnsi="Arial" w:cs="Arial"/>
                <w:noProof/>
                <w:color w:val="auto"/>
                <w:sz w:val="22"/>
              </w:rPr>
              <w:t>Introduction</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_Toc212743882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3</w:t>
            </w:r>
            <w:r w:rsidRPr="009E6657">
              <w:rPr>
                <w:rFonts w:ascii="Arial" w:hAnsi="Arial" w:cs="Arial"/>
                <w:noProof/>
                <w:webHidden/>
                <w:sz w:val="22"/>
              </w:rPr>
              <w:fldChar w:fldCharType="end"/>
            </w:r>
          </w:hyperlink>
        </w:p>
        <w:p w14:paraId="0A49D105" w14:textId="511FFD06" w:rsidR="00D84FA9" w:rsidRPr="009E6657" w:rsidRDefault="00D84FA9" w:rsidP="009E6657">
          <w:pPr>
            <w:pStyle w:val="TOC1"/>
            <w:tabs>
              <w:tab w:val="left" w:pos="440"/>
              <w:tab w:val="right" w:leader="dot" w:pos="9350"/>
            </w:tabs>
            <w:spacing w:line="360" w:lineRule="auto"/>
            <w:jc w:val="both"/>
            <w:rPr>
              <w:rFonts w:ascii="Arial" w:hAnsi="Arial" w:cs="Arial"/>
              <w:noProof/>
              <w:sz w:val="22"/>
            </w:rPr>
          </w:pPr>
          <w:hyperlink w:anchor="_Toc212743883" w:history="1">
            <w:r w:rsidRPr="009E6657">
              <w:rPr>
                <w:rStyle w:val="Hyperlink"/>
                <w:rFonts w:ascii="Arial" w:hAnsi="Arial" w:cs="Arial"/>
                <w:noProof/>
                <w:color w:val="auto"/>
                <w:sz w:val="22"/>
              </w:rPr>
              <w:t>2.</w:t>
            </w:r>
            <w:r w:rsidRPr="009E6657">
              <w:rPr>
                <w:rFonts w:ascii="Arial" w:hAnsi="Arial" w:cs="Arial"/>
                <w:noProof/>
                <w:sz w:val="22"/>
              </w:rPr>
              <w:tab/>
            </w:r>
            <w:r w:rsidRPr="009E6657">
              <w:rPr>
                <w:rStyle w:val="Hyperlink"/>
                <w:rFonts w:ascii="Arial" w:hAnsi="Arial" w:cs="Arial"/>
                <w:noProof/>
                <w:color w:val="auto"/>
                <w:sz w:val="22"/>
              </w:rPr>
              <w:t>Rich Picture</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_Toc212743883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3</w:t>
            </w:r>
            <w:r w:rsidRPr="009E6657">
              <w:rPr>
                <w:rFonts w:ascii="Arial" w:hAnsi="Arial" w:cs="Arial"/>
                <w:noProof/>
                <w:webHidden/>
                <w:sz w:val="22"/>
              </w:rPr>
              <w:fldChar w:fldCharType="end"/>
            </w:r>
          </w:hyperlink>
        </w:p>
        <w:p w14:paraId="4CE45A39" w14:textId="43C87B66" w:rsidR="00D84FA9" w:rsidRPr="009E6657" w:rsidRDefault="00D84FA9" w:rsidP="009E6657">
          <w:pPr>
            <w:pStyle w:val="TOC1"/>
            <w:tabs>
              <w:tab w:val="right" w:leader="dot" w:pos="9350"/>
            </w:tabs>
            <w:spacing w:line="360" w:lineRule="auto"/>
            <w:jc w:val="both"/>
            <w:rPr>
              <w:rFonts w:ascii="Arial" w:hAnsi="Arial" w:cs="Arial"/>
              <w:noProof/>
              <w:sz w:val="22"/>
            </w:rPr>
          </w:pPr>
          <w:hyperlink w:anchor="_Toc212743884" w:history="1">
            <w:r w:rsidRPr="009E6657">
              <w:rPr>
                <w:rStyle w:val="Hyperlink"/>
                <w:rFonts w:ascii="Arial" w:hAnsi="Arial" w:cs="Arial"/>
                <w:noProof/>
                <w:color w:val="auto"/>
                <w:sz w:val="22"/>
              </w:rPr>
              <w:t>3. Country Case Analyses</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_Toc212743884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4</w:t>
            </w:r>
            <w:r w:rsidRPr="009E6657">
              <w:rPr>
                <w:rFonts w:ascii="Arial" w:hAnsi="Arial" w:cs="Arial"/>
                <w:noProof/>
                <w:webHidden/>
                <w:sz w:val="22"/>
              </w:rPr>
              <w:fldChar w:fldCharType="end"/>
            </w:r>
          </w:hyperlink>
        </w:p>
        <w:p w14:paraId="6F661964" w14:textId="6B2F447F" w:rsidR="00D84FA9" w:rsidRPr="009E6657" w:rsidRDefault="00D84FA9" w:rsidP="009E6657">
          <w:pPr>
            <w:pStyle w:val="TOC2"/>
            <w:tabs>
              <w:tab w:val="right" w:leader="dot" w:pos="9350"/>
            </w:tabs>
            <w:spacing w:line="360" w:lineRule="auto"/>
            <w:jc w:val="both"/>
            <w:rPr>
              <w:rFonts w:ascii="Arial" w:hAnsi="Arial" w:cs="Arial"/>
              <w:noProof/>
              <w:sz w:val="22"/>
            </w:rPr>
          </w:pPr>
          <w:hyperlink w:anchor="_Toc212743885" w:history="1">
            <w:r w:rsidRPr="009E6657">
              <w:rPr>
                <w:rStyle w:val="Hyperlink"/>
                <w:rFonts w:ascii="Arial" w:hAnsi="Arial" w:cs="Arial"/>
                <w:noProof/>
                <w:color w:val="auto"/>
                <w:sz w:val="22"/>
              </w:rPr>
              <w:t>3.1 Spain: Health-System Response and Leadership.</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_Toc212743885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4</w:t>
            </w:r>
            <w:r w:rsidRPr="009E6657">
              <w:rPr>
                <w:rFonts w:ascii="Arial" w:hAnsi="Arial" w:cs="Arial"/>
                <w:noProof/>
                <w:webHidden/>
                <w:sz w:val="22"/>
              </w:rPr>
              <w:fldChar w:fldCharType="end"/>
            </w:r>
          </w:hyperlink>
        </w:p>
        <w:p w14:paraId="3AE9059E" w14:textId="0C409745" w:rsidR="00D84FA9" w:rsidRPr="009E6657" w:rsidRDefault="00D84FA9" w:rsidP="009E6657">
          <w:pPr>
            <w:pStyle w:val="TOC2"/>
            <w:tabs>
              <w:tab w:val="right" w:leader="dot" w:pos="9350"/>
            </w:tabs>
            <w:spacing w:line="360" w:lineRule="auto"/>
            <w:jc w:val="both"/>
            <w:rPr>
              <w:rFonts w:ascii="Arial" w:hAnsi="Arial" w:cs="Arial"/>
              <w:noProof/>
              <w:sz w:val="22"/>
            </w:rPr>
          </w:pPr>
          <w:hyperlink w:anchor="_Toc212743886" w:history="1">
            <w:r w:rsidRPr="009E6657">
              <w:rPr>
                <w:rStyle w:val="Hyperlink"/>
                <w:rFonts w:ascii="Arial" w:hAnsi="Arial" w:cs="Arial"/>
                <w:noProof/>
                <w:color w:val="auto"/>
                <w:sz w:val="22"/>
              </w:rPr>
              <w:t>3.2 South Korea: Participative Leadership and Centralised Governance.</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_Toc212743886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6</w:t>
            </w:r>
            <w:r w:rsidRPr="009E6657">
              <w:rPr>
                <w:rFonts w:ascii="Arial" w:hAnsi="Arial" w:cs="Arial"/>
                <w:noProof/>
                <w:webHidden/>
                <w:sz w:val="22"/>
              </w:rPr>
              <w:fldChar w:fldCharType="end"/>
            </w:r>
          </w:hyperlink>
        </w:p>
        <w:p w14:paraId="188954A5" w14:textId="7AE24DAA" w:rsidR="00D84FA9" w:rsidRPr="009E6657" w:rsidRDefault="00D84FA9" w:rsidP="009E6657">
          <w:pPr>
            <w:pStyle w:val="TOC2"/>
            <w:tabs>
              <w:tab w:val="right" w:leader="dot" w:pos="9350"/>
            </w:tabs>
            <w:spacing w:line="360" w:lineRule="auto"/>
            <w:jc w:val="both"/>
            <w:rPr>
              <w:rFonts w:ascii="Arial" w:hAnsi="Arial" w:cs="Arial"/>
              <w:noProof/>
              <w:sz w:val="22"/>
            </w:rPr>
          </w:pPr>
          <w:hyperlink w:anchor="_Toc212743887" w:history="1">
            <w:r w:rsidRPr="009E6657">
              <w:rPr>
                <w:rStyle w:val="Hyperlink"/>
                <w:rFonts w:ascii="Arial" w:hAnsi="Arial" w:cs="Arial"/>
                <w:noProof/>
                <w:color w:val="auto"/>
                <w:sz w:val="22"/>
              </w:rPr>
              <w:t>3.3 Canada: Hybrid Governance, Transformational Leadership and Federalism.</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_Toc212743887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8</w:t>
            </w:r>
            <w:r w:rsidRPr="009E6657">
              <w:rPr>
                <w:rFonts w:ascii="Arial" w:hAnsi="Arial" w:cs="Arial"/>
                <w:noProof/>
                <w:webHidden/>
                <w:sz w:val="22"/>
              </w:rPr>
              <w:fldChar w:fldCharType="end"/>
            </w:r>
          </w:hyperlink>
        </w:p>
        <w:p w14:paraId="6780F40A" w14:textId="4DFAAD75" w:rsidR="00D84FA9" w:rsidRPr="009E6657" w:rsidRDefault="00D84FA9" w:rsidP="009E6657">
          <w:pPr>
            <w:pStyle w:val="TOC1"/>
            <w:tabs>
              <w:tab w:val="left" w:pos="440"/>
              <w:tab w:val="right" w:leader="dot" w:pos="9350"/>
            </w:tabs>
            <w:spacing w:line="360" w:lineRule="auto"/>
            <w:jc w:val="both"/>
            <w:rPr>
              <w:rFonts w:ascii="Arial" w:hAnsi="Arial" w:cs="Arial"/>
              <w:noProof/>
              <w:sz w:val="22"/>
            </w:rPr>
          </w:pPr>
          <w:hyperlink w:anchor="_Toc212743888" w:history="1">
            <w:r w:rsidRPr="009E6657">
              <w:rPr>
                <w:rStyle w:val="Hyperlink"/>
                <w:rFonts w:ascii="Arial" w:hAnsi="Arial" w:cs="Arial"/>
                <w:noProof/>
                <w:color w:val="auto"/>
                <w:sz w:val="22"/>
              </w:rPr>
              <w:t>4.</w:t>
            </w:r>
            <w:r w:rsidRPr="009E6657">
              <w:rPr>
                <w:rFonts w:ascii="Arial" w:hAnsi="Arial" w:cs="Arial"/>
                <w:noProof/>
                <w:sz w:val="22"/>
              </w:rPr>
              <w:tab/>
            </w:r>
            <w:r w:rsidRPr="009E6657">
              <w:rPr>
                <w:rStyle w:val="Hyperlink"/>
                <w:rFonts w:ascii="Arial" w:hAnsi="Arial" w:cs="Arial"/>
                <w:noProof/>
                <w:color w:val="auto"/>
                <w:sz w:val="22"/>
              </w:rPr>
              <w:t>Comparative Discussion: Leadership, Governance and Balance of Power.</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_Toc212743888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10</w:t>
            </w:r>
            <w:r w:rsidRPr="009E6657">
              <w:rPr>
                <w:rFonts w:ascii="Arial" w:hAnsi="Arial" w:cs="Arial"/>
                <w:noProof/>
                <w:webHidden/>
                <w:sz w:val="22"/>
              </w:rPr>
              <w:fldChar w:fldCharType="end"/>
            </w:r>
          </w:hyperlink>
        </w:p>
        <w:p w14:paraId="591F0304" w14:textId="707F8782" w:rsidR="00D84FA9" w:rsidRPr="009E6657" w:rsidRDefault="00D84FA9" w:rsidP="009E6657">
          <w:pPr>
            <w:pStyle w:val="TOC2"/>
            <w:tabs>
              <w:tab w:val="left" w:pos="880"/>
              <w:tab w:val="right" w:leader="dot" w:pos="9350"/>
            </w:tabs>
            <w:spacing w:line="360" w:lineRule="auto"/>
            <w:jc w:val="both"/>
            <w:rPr>
              <w:rFonts w:ascii="Arial" w:hAnsi="Arial" w:cs="Arial"/>
              <w:noProof/>
              <w:sz w:val="22"/>
            </w:rPr>
          </w:pPr>
          <w:hyperlink w:anchor="_Toc212743889" w:history="1">
            <w:r w:rsidRPr="009E6657">
              <w:rPr>
                <w:rStyle w:val="Hyperlink"/>
                <w:rFonts w:ascii="Arial" w:hAnsi="Arial" w:cs="Arial"/>
                <w:noProof/>
                <w:color w:val="auto"/>
                <w:sz w:val="22"/>
              </w:rPr>
              <w:t>4.1.</w:t>
            </w:r>
            <w:r w:rsidRPr="009E6657">
              <w:rPr>
                <w:rFonts w:ascii="Arial" w:hAnsi="Arial" w:cs="Arial"/>
                <w:noProof/>
                <w:sz w:val="22"/>
              </w:rPr>
              <w:tab/>
            </w:r>
            <w:r w:rsidRPr="009E6657">
              <w:rPr>
                <w:rStyle w:val="Hyperlink"/>
                <w:rFonts w:ascii="Arial" w:hAnsi="Arial" w:cs="Arial"/>
                <w:noProof/>
                <w:color w:val="auto"/>
                <w:sz w:val="22"/>
              </w:rPr>
              <w:t>Spain: Hybrid Government and Adaptive Democratic Leadership.</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_Toc212743889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10</w:t>
            </w:r>
            <w:r w:rsidRPr="009E6657">
              <w:rPr>
                <w:rFonts w:ascii="Arial" w:hAnsi="Arial" w:cs="Arial"/>
                <w:noProof/>
                <w:webHidden/>
                <w:sz w:val="22"/>
              </w:rPr>
              <w:fldChar w:fldCharType="end"/>
            </w:r>
          </w:hyperlink>
        </w:p>
        <w:p w14:paraId="15C39310" w14:textId="65CC2430" w:rsidR="00D84FA9" w:rsidRPr="009E6657" w:rsidRDefault="00D84FA9" w:rsidP="009E6657">
          <w:pPr>
            <w:pStyle w:val="TOC2"/>
            <w:tabs>
              <w:tab w:val="left" w:pos="880"/>
              <w:tab w:val="right" w:leader="dot" w:pos="9350"/>
            </w:tabs>
            <w:spacing w:line="360" w:lineRule="auto"/>
            <w:jc w:val="both"/>
            <w:rPr>
              <w:rFonts w:ascii="Arial" w:hAnsi="Arial" w:cs="Arial"/>
              <w:noProof/>
              <w:sz w:val="22"/>
            </w:rPr>
          </w:pPr>
          <w:hyperlink w:anchor="_Toc212743890" w:history="1">
            <w:r w:rsidRPr="009E6657">
              <w:rPr>
                <w:rStyle w:val="Hyperlink"/>
                <w:rFonts w:ascii="Arial" w:hAnsi="Arial" w:cs="Arial"/>
                <w:noProof/>
                <w:color w:val="auto"/>
                <w:sz w:val="22"/>
              </w:rPr>
              <w:t>4.2.</w:t>
            </w:r>
            <w:r w:rsidRPr="009E6657">
              <w:rPr>
                <w:rFonts w:ascii="Arial" w:hAnsi="Arial" w:cs="Arial"/>
                <w:noProof/>
                <w:sz w:val="22"/>
              </w:rPr>
              <w:tab/>
            </w:r>
            <w:r w:rsidRPr="009E6657">
              <w:rPr>
                <w:rStyle w:val="Hyperlink"/>
                <w:rFonts w:ascii="Arial" w:hAnsi="Arial" w:cs="Arial"/>
                <w:noProof/>
                <w:color w:val="auto"/>
                <w:sz w:val="22"/>
              </w:rPr>
              <w:t>South Korea: Authoritarian System, Consultative Implementation.</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_Toc212743890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11</w:t>
            </w:r>
            <w:r w:rsidRPr="009E6657">
              <w:rPr>
                <w:rFonts w:ascii="Arial" w:hAnsi="Arial" w:cs="Arial"/>
                <w:noProof/>
                <w:webHidden/>
                <w:sz w:val="22"/>
              </w:rPr>
              <w:fldChar w:fldCharType="end"/>
            </w:r>
          </w:hyperlink>
        </w:p>
        <w:p w14:paraId="0AED81CA" w14:textId="22CE7624" w:rsidR="00D84FA9" w:rsidRPr="009E6657" w:rsidRDefault="00D84FA9" w:rsidP="009E6657">
          <w:pPr>
            <w:pStyle w:val="TOC2"/>
            <w:tabs>
              <w:tab w:val="left" w:pos="880"/>
              <w:tab w:val="right" w:leader="dot" w:pos="9350"/>
            </w:tabs>
            <w:spacing w:line="360" w:lineRule="auto"/>
            <w:jc w:val="both"/>
            <w:rPr>
              <w:rFonts w:ascii="Arial" w:hAnsi="Arial" w:cs="Arial"/>
              <w:noProof/>
              <w:sz w:val="22"/>
            </w:rPr>
          </w:pPr>
          <w:hyperlink w:anchor="_Toc212743891" w:history="1">
            <w:r w:rsidRPr="009E6657">
              <w:rPr>
                <w:rStyle w:val="Hyperlink"/>
                <w:rFonts w:ascii="Arial" w:hAnsi="Arial" w:cs="Arial"/>
                <w:noProof/>
                <w:color w:val="auto"/>
                <w:sz w:val="22"/>
              </w:rPr>
              <w:t>4.3.</w:t>
            </w:r>
            <w:r w:rsidRPr="009E6657">
              <w:rPr>
                <w:rFonts w:ascii="Arial" w:hAnsi="Arial" w:cs="Arial"/>
                <w:noProof/>
                <w:sz w:val="22"/>
              </w:rPr>
              <w:tab/>
            </w:r>
            <w:r w:rsidRPr="009E6657">
              <w:rPr>
                <w:rStyle w:val="Hyperlink"/>
                <w:rFonts w:ascii="Arial" w:hAnsi="Arial" w:cs="Arial"/>
                <w:noProof/>
                <w:color w:val="auto"/>
                <w:sz w:val="22"/>
              </w:rPr>
              <w:t>Canada: Federalism and Cooperation Transformation through Decentralisation.</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_Toc212743891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11</w:t>
            </w:r>
            <w:r w:rsidRPr="009E6657">
              <w:rPr>
                <w:rFonts w:ascii="Arial" w:hAnsi="Arial" w:cs="Arial"/>
                <w:noProof/>
                <w:webHidden/>
                <w:sz w:val="22"/>
              </w:rPr>
              <w:fldChar w:fldCharType="end"/>
            </w:r>
          </w:hyperlink>
        </w:p>
        <w:p w14:paraId="5498E5F8" w14:textId="6F16B0A9" w:rsidR="00D84FA9" w:rsidRPr="009E6657" w:rsidRDefault="00D84FA9" w:rsidP="009E6657">
          <w:pPr>
            <w:pStyle w:val="TOC2"/>
            <w:tabs>
              <w:tab w:val="left" w:pos="880"/>
              <w:tab w:val="right" w:leader="dot" w:pos="9350"/>
            </w:tabs>
            <w:spacing w:line="360" w:lineRule="auto"/>
            <w:jc w:val="both"/>
            <w:rPr>
              <w:rFonts w:ascii="Arial" w:hAnsi="Arial" w:cs="Arial"/>
              <w:noProof/>
              <w:sz w:val="22"/>
            </w:rPr>
          </w:pPr>
          <w:hyperlink w:anchor="_Toc212743892" w:history="1">
            <w:r w:rsidRPr="009E6657">
              <w:rPr>
                <w:rStyle w:val="Hyperlink"/>
                <w:rFonts w:ascii="Arial" w:hAnsi="Arial" w:cs="Arial"/>
                <w:noProof/>
                <w:color w:val="auto"/>
                <w:sz w:val="22"/>
              </w:rPr>
              <w:t>4.4.</w:t>
            </w:r>
            <w:r w:rsidRPr="009E6657">
              <w:rPr>
                <w:rFonts w:ascii="Arial" w:hAnsi="Arial" w:cs="Arial"/>
                <w:noProof/>
                <w:sz w:val="22"/>
              </w:rPr>
              <w:tab/>
            </w:r>
            <w:r w:rsidRPr="009E6657">
              <w:rPr>
                <w:rStyle w:val="Hyperlink"/>
                <w:rFonts w:ascii="Arial" w:hAnsi="Arial" w:cs="Arial"/>
                <w:noProof/>
                <w:color w:val="auto"/>
                <w:sz w:val="22"/>
              </w:rPr>
              <w:t>Cross Case Synthesis: Dynamics of power and leadership.</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_Toc212743892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12</w:t>
            </w:r>
            <w:r w:rsidRPr="009E6657">
              <w:rPr>
                <w:rFonts w:ascii="Arial" w:hAnsi="Arial" w:cs="Arial"/>
                <w:noProof/>
                <w:webHidden/>
                <w:sz w:val="22"/>
              </w:rPr>
              <w:fldChar w:fldCharType="end"/>
            </w:r>
          </w:hyperlink>
        </w:p>
        <w:p w14:paraId="08BB2ECB" w14:textId="277AD882" w:rsidR="00D84FA9" w:rsidRPr="009E6657" w:rsidRDefault="00D84FA9" w:rsidP="009E6657">
          <w:pPr>
            <w:pStyle w:val="TOC2"/>
            <w:tabs>
              <w:tab w:val="left" w:pos="880"/>
              <w:tab w:val="right" w:leader="dot" w:pos="9350"/>
            </w:tabs>
            <w:spacing w:line="360" w:lineRule="auto"/>
            <w:jc w:val="both"/>
            <w:rPr>
              <w:rFonts w:ascii="Arial" w:hAnsi="Arial" w:cs="Arial"/>
              <w:noProof/>
              <w:sz w:val="22"/>
            </w:rPr>
          </w:pPr>
          <w:hyperlink w:anchor="_Toc212743893" w:history="1">
            <w:r w:rsidRPr="009E6657">
              <w:rPr>
                <w:rStyle w:val="Hyperlink"/>
                <w:rFonts w:ascii="Arial" w:hAnsi="Arial" w:cs="Arial"/>
                <w:noProof/>
                <w:color w:val="auto"/>
                <w:sz w:val="22"/>
              </w:rPr>
              <w:t>4.5.</w:t>
            </w:r>
            <w:r w:rsidRPr="009E6657">
              <w:rPr>
                <w:rFonts w:ascii="Arial" w:hAnsi="Arial" w:cs="Arial"/>
                <w:noProof/>
                <w:sz w:val="22"/>
              </w:rPr>
              <w:tab/>
            </w:r>
            <w:r w:rsidRPr="009E6657">
              <w:rPr>
                <w:rStyle w:val="Hyperlink"/>
                <w:rFonts w:ascii="Arial" w:hAnsi="Arial" w:cs="Arial"/>
                <w:noProof/>
                <w:color w:val="auto"/>
                <w:sz w:val="22"/>
              </w:rPr>
              <w:t>Critical Reflection: Hybrid Resilience and Systemic Learning.</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_Toc212743893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12</w:t>
            </w:r>
            <w:r w:rsidRPr="009E6657">
              <w:rPr>
                <w:rFonts w:ascii="Arial" w:hAnsi="Arial" w:cs="Arial"/>
                <w:noProof/>
                <w:webHidden/>
                <w:sz w:val="22"/>
              </w:rPr>
              <w:fldChar w:fldCharType="end"/>
            </w:r>
          </w:hyperlink>
        </w:p>
        <w:p w14:paraId="0FFED11B" w14:textId="538DF84B" w:rsidR="00D84FA9" w:rsidRPr="009E6657" w:rsidRDefault="00D84FA9" w:rsidP="009E6657">
          <w:pPr>
            <w:pStyle w:val="TOC1"/>
            <w:tabs>
              <w:tab w:val="right" w:leader="dot" w:pos="9350"/>
            </w:tabs>
            <w:spacing w:line="360" w:lineRule="auto"/>
            <w:jc w:val="both"/>
            <w:rPr>
              <w:rFonts w:ascii="Arial" w:hAnsi="Arial" w:cs="Arial"/>
              <w:noProof/>
              <w:sz w:val="22"/>
            </w:rPr>
          </w:pPr>
          <w:hyperlink w:anchor="_Toc212743894" w:history="1">
            <w:r w:rsidRPr="009E6657">
              <w:rPr>
                <w:rStyle w:val="Hyperlink"/>
                <w:rFonts w:ascii="Arial" w:hAnsi="Arial" w:cs="Arial"/>
                <w:noProof/>
                <w:color w:val="auto"/>
                <w:sz w:val="22"/>
              </w:rPr>
              <w:t>5. Leadership Coaching and Lessons Learned.</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_Toc212743894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13</w:t>
            </w:r>
            <w:r w:rsidRPr="009E6657">
              <w:rPr>
                <w:rFonts w:ascii="Arial" w:hAnsi="Arial" w:cs="Arial"/>
                <w:noProof/>
                <w:webHidden/>
                <w:sz w:val="22"/>
              </w:rPr>
              <w:fldChar w:fldCharType="end"/>
            </w:r>
          </w:hyperlink>
        </w:p>
        <w:p w14:paraId="3DA8A47E" w14:textId="3730BADE" w:rsidR="00D84FA9" w:rsidRPr="009E6657" w:rsidRDefault="00D84FA9" w:rsidP="009E6657">
          <w:pPr>
            <w:pStyle w:val="TOC1"/>
            <w:tabs>
              <w:tab w:val="left" w:pos="440"/>
              <w:tab w:val="right" w:leader="dot" w:pos="9350"/>
            </w:tabs>
            <w:spacing w:line="360" w:lineRule="auto"/>
            <w:jc w:val="both"/>
            <w:rPr>
              <w:rFonts w:ascii="Arial" w:hAnsi="Arial" w:cs="Arial"/>
              <w:noProof/>
              <w:sz w:val="22"/>
            </w:rPr>
          </w:pPr>
          <w:hyperlink w:anchor="_Toc212743895" w:history="1">
            <w:r w:rsidRPr="009E6657">
              <w:rPr>
                <w:rStyle w:val="Hyperlink"/>
                <w:rFonts w:ascii="Arial" w:hAnsi="Arial" w:cs="Arial"/>
                <w:noProof/>
                <w:color w:val="auto"/>
                <w:sz w:val="22"/>
              </w:rPr>
              <w:t>6.</w:t>
            </w:r>
            <w:r w:rsidRPr="009E6657">
              <w:rPr>
                <w:rFonts w:ascii="Arial" w:hAnsi="Arial" w:cs="Arial"/>
                <w:noProof/>
                <w:sz w:val="22"/>
              </w:rPr>
              <w:tab/>
            </w:r>
            <w:r w:rsidRPr="009E6657">
              <w:rPr>
                <w:rStyle w:val="Hyperlink"/>
                <w:rFonts w:ascii="Arial" w:hAnsi="Arial" w:cs="Arial"/>
                <w:noProof/>
                <w:color w:val="auto"/>
                <w:sz w:val="22"/>
              </w:rPr>
              <w:t>Recommendations</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_Toc212743895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14</w:t>
            </w:r>
            <w:r w:rsidRPr="009E6657">
              <w:rPr>
                <w:rFonts w:ascii="Arial" w:hAnsi="Arial" w:cs="Arial"/>
                <w:noProof/>
                <w:webHidden/>
                <w:sz w:val="22"/>
              </w:rPr>
              <w:fldChar w:fldCharType="end"/>
            </w:r>
          </w:hyperlink>
        </w:p>
        <w:p w14:paraId="09BB4BA5" w14:textId="0EF3E799" w:rsidR="00D84FA9" w:rsidRPr="009E6657" w:rsidRDefault="00D84FA9" w:rsidP="009E6657">
          <w:pPr>
            <w:pStyle w:val="TOC1"/>
            <w:tabs>
              <w:tab w:val="left" w:pos="440"/>
              <w:tab w:val="right" w:leader="dot" w:pos="9350"/>
            </w:tabs>
            <w:spacing w:line="360" w:lineRule="auto"/>
            <w:jc w:val="both"/>
            <w:rPr>
              <w:rFonts w:ascii="Arial" w:hAnsi="Arial" w:cs="Arial"/>
              <w:noProof/>
              <w:sz w:val="22"/>
            </w:rPr>
          </w:pPr>
          <w:hyperlink w:anchor="_Toc212743896" w:history="1">
            <w:r w:rsidRPr="009E6657">
              <w:rPr>
                <w:rStyle w:val="Hyperlink"/>
                <w:rFonts w:ascii="Arial" w:hAnsi="Arial" w:cs="Arial"/>
                <w:noProof/>
                <w:color w:val="auto"/>
                <w:sz w:val="22"/>
              </w:rPr>
              <w:t>7.</w:t>
            </w:r>
            <w:r w:rsidRPr="009E6657">
              <w:rPr>
                <w:rFonts w:ascii="Arial" w:hAnsi="Arial" w:cs="Arial"/>
                <w:noProof/>
                <w:sz w:val="22"/>
              </w:rPr>
              <w:tab/>
            </w:r>
            <w:r w:rsidRPr="009E6657">
              <w:rPr>
                <w:rStyle w:val="Hyperlink"/>
                <w:rFonts w:ascii="Arial" w:hAnsi="Arial" w:cs="Arial"/>
                <w:noProof/>
                <w:color w:val="auto"/>
                <w:sz w:val="22"/>
              </w:rPr>
              <w:t>Conclusion</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_Toc212743896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15</w:t>
            </w:r>
            <w:r w:rsidRPr="009E6657">
              <w:rPr>
                <w:rFonts w:ascii="Arial" w:hAnsi="Arial" w:cs="Arial"/>
                <w:noProof/>
                <w:webHidden/>
                <w:sz w:val="22"/>
              </w:rPr>
              <w:fldChar w:fldCharType="end"/>
            </w:r>
          </w:hyperlink>
        </w:p>
        <w:p w14:paraId="7151B28F" w14:textId="690A02FE" w:rsidR="00D84FA9" w:rsidRPr="009E6657" w:rsidRDefault="00D84FA9" w:rsidP="009E6657">
          <w:pPr>
            <w:pStyle w:val="TOC1"/>
            <w:tabs>
              <w:tab w:val="right" w:leader="dot" w:pos="9350"/>
            </w:tabs>
            <w:spacing w:line="360" w:lineRule="auto"/>
            <w:jc w:val="both"/>
            <w:rPr>
              <w:rFonts w:ascii="Arial" w:hAnsi="Arial" w:cs="Arial"/>
              <w:noProof/>
              <w:sz w:val="22"/>
            </w:rPr>
          </w:pPr>
          <w:hyperlink w:anchor="_Toc212743897" w:history="1">
            <w:r w:rsidRPr="009E6657">
              <w:rPr>
                <w:rStyle w:val="Hyperlink"/>
                <w:rFonts w:ascii="Arial" w:hAnsi="Arial" w:cs="Arial"/>
                <w:noProof/>
                <w:color w:val="auto"/>
                <w:sz w:val="22"/>
                <w:shd w:val="clear" w:color="auto" w:fill="FFFFFF"/>
              </w:rPr>
              <w:t>References</w:t>
            </w:r>
            <w:r w:rsidRPr="009E6657">
              <w:rPr>
                <w:rFonts w:ascii="Arial" w:hAnsi="Arial" w:cs="Arial"/>
                <w:noProof/>
                <w:webHidden/>
                <w:sz w:val="22"/>
              </w:rPr>
              <w:tab/>
            </w:r>
            <w:r w:rsidRPr="009E6657">
              <w:rPr>
                <w:rFonts w:ascii="Arial" w:hAnsi="Arial" w:cs="Arial"/>
                <w:noProof/>
                <w:webHidden/>
                <w:sz w:val="22"/>
              </w:rPr>
              <w:fldChar w:fldCharType="begin"/>
            </w:r>
            <w:r w:rsidRPr="009E6657">
              <w:rPr>
                <w:rFonts w:ascii="Arial" w:hAnsi="Arial" w:cs="Arial"/>
                <w:noProof/>
                <w:webHidden/>
                <w:sz w:val="22"/>
              </w:rPr>
              <w:instrText xml:space="preserve"> PAGEREF _Toc212743897 \h </w:instrText>
            </w:r>
            <w:r w:rsidRPr="009E6657">
              <w:rPr>
                <w:rFonts w:ascii="Arial" w:hAnsi="Arial" w:cs="Arial"/>
                <w:noProof/>
                <w:webHidden/>
                <w:sz w:val="22"/>
              </w:rPr>
            </w:r>
            <w:r w:rsidRPr="009E6657">
              <w:rPr>
                <w:rFonts w:ascii="Arial" w:hAnsi="Arial" w:cs="Arial"/>
                <w:noProof/>
                <w:webHidden/>
                <w:sz w:val="22"/>
              </w:rPr>
              <w:fldChar w:fldCharType="separate"/>
            </w:r>
            <w:r w:rsidRPr="009E6657">
              <w:rPr>
                <w:rFonts w:ascii="Arial" w:hAnsi="Arial" w:cs="Arial"/>
                <w:noProof/>
                <w:webHidden/>
                <w:sz w:val="22"/>
              </w:rPr>
              <w:t>16</w:t>
            </w:r>
            <w:r w:rsidRPr="009E6657">
              <w:rPr>
                <w:rFonts w:ascii="Arial" w:hAnsi="Arial" w:cs="Arial"/>
                <w:noProof/>
                <w:webHidden/>
                <w:sz w:val="22"/>
              </w:rPr>
              <w:fldChar w:fldCharType="end"/>
            </w:r>
          </w:hyperlink>
        </w:p>
        <w:p w14:paraId="2844C930" w14:textId="4021AD41" w:rsidR="00D84FA9" w:rsidRPr="009E6657" w:rsidRDefault="00D84FA9" w:rsidP="009E6657">
          <w:pPr>
            <w:spacing w:line="360" w:lineRule="auto"/>
            <w:jc w:val="both"/>
            <w:rPr>
              <w:rFonts w:ascii="Arial" w:hAnsi="Arial" w:cs="Arial"/>
              <w:sz w:val="22"/>
            </w:rPr>
          </w:pPr>
          <w:r w:rsidRPr="009E6657">
            <w:rPr>
              <w:rFonts w:ascii="Arial" w:hAnsi="Arial" w:cs="Arial"/>
              <w:b/>
              <w:bCs/>
              <w:noProof/>
              <w:sz w:val="22"/>
            </w:rPr>
            <w:fldChar w:fldCharType="end"/>
          </w:r>
        </w:p>
      </w:sdtContent>
    </w:sdt>
    <w:p w14:paraId="5847DD3A" w14:textId="160E6D71" w:rsidR="00AD497C" w:rsidRPr="009E6657" w:rsidRDefault="00AD497C" w:rsidP="009E6657">
      <w:pPr>
        <w:spacing w:line="360" w:lineRule="auto"/>
        <w:jc w:val="both"/>
        <w:rPr>
          <w:rFonts w:ascii="Arial" w:hAnsi="Arial" w:cs="Arial"/>
          <w:sz w:val="22"/>
        </w:rPr>
      </w:pPr>
      <w:r w:rsidRPr="009E6657">
        <w:rPr>
          <w:rFonts w:ascii="Arial" w:hAnsi="Arial" w:cs="Arial"/>
          <w:sz w:val="22"/>
        </w:rPr>
        <w:br w:type="page"/>
      </w:r>
    </w:p>
    <w:p w14:paraId="490B6073" w14:textId="1D04E925" w:rsidR="00AD497C" w:rsidRPr="009E6657" w:rsidRDefault="00AD497C" w:rsidP="009E6657">
      <w:pPr>
        <w:pStyle w:val="Heading1"/>
        <w:numPr>
          <w:ilvl w:val="0"/>
          <w:numId w:val="1"/>
        </w:numPr>
        <w:spacing w:line="360" w:lineRule="auto"/>
        <w:jc w:val="both"/>
        <w:rPr>
          <w:rFonts w:ascii="Arial" w:hAnsi="Arial" w:cs="Arial"/>
          <w:sz w:val="22"/>
          <w:szCs w:val="22"/>
        </w:rPr>
      </w:pPr>
      <w:bookmarkStart w:id="0" w:name="_Toc212743882"/>
      <w:r w:rsidRPr="009E6657">
        <w:rPr>
          <w:rFonts w:ascii="Arial" w:hAnsi="Arial" w:cs="Arial"/>
          <w:sz w:val="22"/>
          <w:szCs w:val="22"/>
        </w:rPr>
        <w:lastRenderedPageBreak/>
        <w:t>Introduction</w:t>
      </w:r>
      <w:bookmarkEnd w:id="0"/>
    </w:p>
    <w:p w14:paraId="547FF41E" w14:textId="507551A3" w:rsidR="00AD497C" w:rsidRPr="009E6657" w:rsidRDefault="00AD497C" w:rsidP="009E6657">
      <w:pPr>
        <w:spacing w:line="360" w:lineRule="auto"/>
        <w:jc w:val="both"/>
        <w:rPr>
          <w:rFonts w:ascii="Arial" w:hAnsi="Arial" w:cs="Arial"/>
          <w:sz w:val="22"/>
        </w:rPr>
      </w:pPr>
      <w:r w:rsidRPr="009E6657">
        <w:rPr>
          <w:rFonts w:ascii="Arial" w:hAnsi="Arial" w:cs="Arial"/>
          <w:sz w:val="22"/>
        </w:rPr>
        <w:t>The COVID-19 pandemic, which was announced by the World Health Organisation in March 2020, was an unprecedented threat to the world</w:t>
      </w:r>
      <w:r w:rsidR="00D84FA9" w:rsidRPr="009E6657">
        <w:rPr>
          <w:rFonts w:ascii="Arial" w:hAnsi="Arial" w:cs="Arial"/>
          <w:sz w:val="22"/>
        </w:rPr>
        <w:t>'s</w:t>
      </w:r>
      <w:r w:rsidRPr="009E6657">
        <w:rPr>
          <w:rFonts w:ascii="Arial" w:hAnsi="Arial" w:cs="Arial"/>
          <w:sz w:val="22"/>
        </w:rPr>
        <w:t xml:space="preserve"> health systems, governance and leadership capabilities (World Health Organisation, 2020). The protagonists in the national leadership had to solve a multidimensional problem of guarding lives, social and economic stability, which challenged their capacity to improvise and organise in the uncertain environment. The present report compares leadership responses in three democracies in Spain, South Korea, and Canada that embraced radically different governance models - decentralised, centralised, and hybrid models, respectively (OECD, 2021). The Contingency Theory and Path-Goal Theory of their COVID-19 management analysis give an understanding of how the leadership style, institutional design and dynamics of decision-making contributed to the national outcomes.</w:t>
      </w:r>
    </w:p>
    <w:p w14:paraId="6003C61D" w14:textId="20CD1DCA" w:rsidR="00AD497C" w:rsidRPr="009E6657" w:rsidRDefault="00AD497C" w:rsidP="009E6657">
      <w:pPr>
        <w:spacing w:line="360" w:lineRule="auto"/>
        <w:jc w:val="both"/>
        <w:rPr>
          <w:rFonts w:ascii="Arial" w:hAnsi="Arial" w:cs="Arial"/>
          <w:sz w:val="22"/>
        </w:rPr>
      </w:pPr>
      <w:r w:rsidRPr="009E6657">
        <w:rPr>
          <w:rFonts w:ascii="Arial" w:hAnsi="Arial" w:cs="Arial"/>
          <w:sz w:val="22"/>
        </w:rPr>
        <w:t xml:space="preserve">The paper examines the presence of autocratic, democratic, and laissez-faire leadership qualities in the response to the pandemic, their expression in the aspects of compliance of the population, communication policies, and the effectiveness of policies. This report demonstrates that leadership behaviour </w:t>
      </w:r>
      <w:r w:rsidR="00D84FA9" w:rsidRPr="009E6657">
        <w:rPr>
          <w:rFonts w:ascii="Arial" w:hAnsi="Arial" w:cs="Arial"/>
          <w:sz w:val="22"/>
        </w:rPr>
        <w:t xml:space="preserve">is </w:t>
      </w:r>
      <w:r w:rsidRPr="009E6657">
        <w:rPr>
          <w:rFonts w:ascii="Arial" w:hAnsi="Arial" w:cs="Arial"/>
          <w:sz w:val="22"/>
        </w:rPr>
        <w:t>interdependen</w:t>
      </w:r>
      <w:r w:rsidR="00D84FA9" w:rsidRPr="009E6657">
        <w:rPr>
          <w:rFonts w:ascii="Arial" w:hAnsi="Arial" w:cs="Arial"/>
          <w:sz w:val="22"/>
        </w:rPr>
        <w:t>t</w:t>
      </w:r>
      <w:r w:rsidRPr="009E6657">
        <w:rPr>
          <w:rFonts w:ascii="Arial" w:hAnsi="Arial" w:cs="Arial"/>
          <w:sz w:val="22"/>
        </w:rPr>
        <w:t xml:space="preserve"> with systemic performance occurs because of the integration of systems thinking and a rich picture of contextual factors such as healthcare infrastructure, economic resilience, and public awareness. Finally, it attempts to determine the role of adaptive and ethically based leadership in increasing health-system preparedness and resilience during such a global crisis in the future.</w:t>
      </w:r>
    </w:p>
    <w:p w14:paraId="0BD433A2" w14:textId="277F4547" w:rsidR="00AD497C" w:rsidRPr="009E6657" w:rsidRDefault="00AD497C" w:rsidP="009E6657">
      <w:pPr>
        <w:pStyle w:val="Heading1"/>
        <w:numPr>
          <w:ilvl w:val="0"/>
          <w:numId w:val="1"/>
        </w:numPr>
        <w:spacing w:line="360" w:lineRule="auto"/>
        <w:jc w:val="both"/>
        <w:rPr>
          <w:rFonts w:ascii="Arial" w:hAnsi="Arial" w:cs="Arial"/>
          <w:sz w:val="22"/>
          <w:szCs w:val="22"/>
        </w:rPr>
      </w:pPr>
      <w:bookmarkStart w:id="1" w:name="_Toc212743883"/>
      <w:r w:rsidRPr="009E6657">
        <w:rPr>
          <w:rFonts w:ascii="Arial" w:hAnsi="Arial" w:cs="Arial"/>
          <w:sz w:val="22"/>
          <w:szCs w:val="22"/>
        </w:rPr>
        <w:t>Rich Picture</w:t>
      </w:r>
      <w:bookmarkEnd w:id="1"/>
    </w:p>
    <w:p w14:paraId="57099CD9" w14:textId="5F27DE49" w:rsidR="00B86AA4" w:rsidRPr="009E6657" w:rsidRDefault="00AD497C" w:rsidP="009E6657">
      <w:pPr>
        <w:spacing w:line="360" w:lineRule="auto"/>
        <w:jc w:val="both"/>
        <w:rPr>
          <w:rFonts w:ascii="Arial" w:hAnsi="Arial" w:cs="Arial"/>
          <w:sz w:val="22"/>
        </w:rPr>
      </w:pPr>
      <w:r w:rsidRPr="009E6657">
        <w:rPr>
          <w:rFonts w:ascii="Arial" w:hAnsi="Arial" w:cs="Arial"/>
          <w:sz w:val="22"/>
        </w:rPr>
        <w:t xml:space="preserve">The COVID-19 pandemic established an intricate, mutually dependent world system in which health, economy, education, and public trust </w:t>
      </w:r>
      <w:r w:rsidR="00D84FA9" w:rsidRPr="009E6657">
        <w:rPr>
          <w:rFonts w:ascii="Arial" w:hAnsi="Arial" w:cs="Arial"/>
          <w:sz w:val="22"/>
        </w:rPr>
        <w:t xml:space="preserve">were </w:t>
      </w:r>
      <w:r w:rsidRPr="009E6657">
        <w:rPr>
          <w:rFonts w:ascii="Arial" w:hAnsi="Arial" w:cs="Arial"/>
          <w:sz w:val="22"/>
        </w:rPr>
        <w:t>related to the system. Each of the three countries</w:t>
      </w:r>
      <w:r w:rsidR="00D84FA9" w:rsidRPr="009E6657">
        <w:rPr>
          <w:rFonts w:ascii="Arial" w:hAnsi="Arial" w:cs="Arial"/>
          <w:sz w:val="22"/>
        </w:rPr>
        <w:t>,</w:t>
      </w:r>
      <w:r w:rsidRPr="009E6657">
        <w:rPr>
          <w:rFonts w:ascii="Arial" w:hAnsi="Arial" w:cs="Arial"/>
          <w:sz w:val="22"/>
        </w:rPr>
        <w:t xml:space="preserve"> Spain, South Korea, and Canada</w:t>
      </w:r>
      <w:r w:rsidR="00D84FA9" w:rsidRPr="009E6657">
        <w:rPr>
          <w:rFonts w:ascii="Arial" w:hAnsi="Arial" w:cs="Arial"/>
          <w:sz w:val="22"/>
        </w:rPr>
        <w:t>,</w:t>
      </w:r>
      <w:r w:rsidRPr="009E6657">
        <w:rPr>
          <w:rFonts w:ascii="Arial" w:hAnsi="Arial" w:cs="Arial"/>
          <w:sz w:val="22"/>
        </w:rPr>
        <w:t xml:space="preserve"> had different systemic pressures based on healthcare capacity, the design of governance, and a socio-cultural context. The publicly funded Sistema Nacional de Salud, which had 3.0 hospital beds per 1,000 residents, could not cope with regional differences and a lack of resources, and more than 13% of healthcare workers were infected during the first part of 2020 (OECD, 2021). South Korea had 12.4 hospital beds per 1,000 and more developed digital surveillance systems, which contributed to the containment of transmission with no national lockdowns</w:t>
      </w:r>
      <w:r w:rsidR="00D84FA9" w:rsidRPr="009E6657">
        <w:rPr>
          <w:rFonts w:ascii="Arial" w:hAnsi="Arial" w:cs="Arial"/>
          <w:sz w:val="22"/>
        </w:rPr>
        <w:t>,</w:t>
      </w:r>
      <w:r w:rsidRPr="009E6657">
        <w:rPr>
          <w:rFonts w:ascii="Arial" w:hAnsi="Arial" w:cs="Arial"/>
          <w:sz w:val="22"/>
        </w:rPr>
        <w:t xml:space="preserve"> with the help of fast testing and data integration (World Bank, 2022). The decentralised health system of Canada offered universal access but differed across provinces; initial failures in the regulation of long-term care helped almost 80% of the first-wave deaths (Stall et al., 2020).</w:t>
      </w:r>
    </w:p>
    <w:p w14:paraId="77992625" w14:textId="322F6B49" w:rsidR="00AD497C" w:rsidRPr="009E6657" w:rsidRDefault="00AD497C" w:rsidP="009E6657">
      <w:pPr>
        <w:spacing w:line="360" w:lineRule="auto"/>
        <w:jc w:val="both"/>
        <w:rPr>
          <w:rFonts w:ascii="Arial" w:hAnsi="Arial" w:cs="Arial"/>
          <w:sz w:val="22"/>
        </w:rPr>
      </w:pPr>
      <w:r w:rsidRPr="009E6657">
        <w:rPr>
          <w:rFonts w:ascii="Arial" w:hAnsi="Arial" w:cs="Arial"/>
          <w:sz w:val="22"/>
        </w:rPr>
        <w:lastRenderedPageBreak/>
        <w:t>In terms of the economy, the rate of GDP contraction was -10.8 in Spain, compared to -4.6 in Canada and -0.9 in South Korea (World Bank, 2022). Education and public awareness campaigns were the most important drivers in behavioural compliance</w:t>
      </w:r>
      <w:r w:rsidR="00D84FA9" w:rsidRPr="009E6657">
        <w:rPr>
          <w:rFonts w:ascii="Arial" w:hAnsi="Arial" w:cs="Arial"/>
          <w:sz w:val="22"/>
        </w:rPr>
        <w:t>,</w:t>
      </w:r>
      <w:r w:rsidRPr="009E6657">
        <w:rPr>
          <w:rFonts w:ascii="Arial" w:hAnsi="Arial" w:cs="Arial"/>
          <w:sz w:val="22"/>
        </w:rPr>
        <w:t xml:space="preserve"> whereas digital communication platforms influenced trust and participation. These interrelated areas, including healthcare, leadership, governance, and societal resilience, are the elements of the rich picture of the COVID-19 leadership systems, demonstrating that adaptive coordination of all the layers of society is crucial to the outcomes of crisis response as opposed to the medical response.</w:t>
      </w:r>
    </w:p>
    <w:p w14:paraId="49596196" w14:textId="67F7D05E" w:rsidR="00AD497C" w:rsidRPr="009E6657" w:rsidRDefault="00EE4BE7" w:rsidP="009E6657">
      <w:pPr>
        <w:pStyle w:val="Heading1"/>
        <w:spacing w:line="360" w:lineRule="auto"/>
        <w:jc w:val="both"/>
        <w:rPr>
          <w:rFonts w:ascii="Arial" w:hAnsi="Arial" w:cs="Arial"/>
          <w:sz w:val="22"/>
          <w:szCs w:val="22"/>
        </w:rPr>
      </w:pPr>
      <w:bookmarkStart w:id="2" w:name="_Toc212743884"/>
      <w:r w:rsidRPr="009E6657">
        <w:rPr>
          <w:rFonts w:ascii="Arial" w:hAnsi="Arial" w:cs="Arial"/>
          <w:sz w:val="22"/>
          <w:szCs w:val="22"/>
        </w:rPr>
        <w:t xml:space="preserve">3. </w:t>
      </w:r>
      <w:r w:rsidR="00AD497C" w:rsidRPr="009E6657">
        <w:rPr>
          <w:rFonts w:ascii="Arial" w:hAnsi="Arial" w:cs="Arial"/>
          <w:sz w:val="22"/>
          <w:szCs w:val="22"/>
        </w:rPr>
        <w:t>Country Case Analyses</w:t>
      </w:r>
      <w:bookmarkEnd w:id="2"/>
    </w:p>
    <w:p w14:paraId="050192FC" w14:textId="753FB58D" w:rsidR="00AD497C" w:rsidRPr="009E6657" w:rsidRDefault="00AD497C" w:rsidP="009E6657">
      <w:pPr>
        <w:pStyle w:val="Heading2"/>
        <w:spacing w:line="360" w:lineRule="auto"/>
        <w:jc w:val="both"/>
        <w:rPr>
          <w:rFonts w:ascii="Arial" w:hAnsi="Arial" w:cs="Arial"/>
          <w:sz w:val="22"/>
          <w:szCs w:val="22"/>
        </w:rPr>
      </w:pPr>
      <w:bookmarkStart w:id="3" w:name="_Toc212743885"/>
      <w:r w:rsidRPr="009E6657">
        <w:rPr>
          <w:rFonts w:ascii="Arial" w:hAnsi="Arial" w:cs="Arial"/>
          <w:sz w:val="22"/>
          <w:szCs w:val="22"/>
        </w:rPr>
        <w:t>3.1 Spain: Health-System Response and Leadership.</w:t>
      </w:r>
      <w:bookmarkEnd w:id="3"/>
    </w:p>
    <w:p w14:paraId="44CC7747" w14:textId="5740EA9D" w:rsidR="009E72C8" w:rsidRPr="009E6657" w:rsidRDefault="00B86AA4" w:rsidP="000D408C">
      <w:pPr>
        <w:spacing w:line="360" w:lineRule="auto"/>
        <w:jc w:val="center"/>
        <w:rPr>
          <w:rFonts w:ascii="Arial" w:hAnsi="Arial" w:cs="Arial"/>
          <w:sz w:val="22"/>
        </w:rPr>
      </w:pPr>
      <w:r w:rsidRPr="009E6657">
        <w:rPr>
          <w:rFonts w:ascii="Arial" w:hAnsi="Arial" w:cs="Arial"/>
          <w:noProof/>
          <w:sz w:val="22"/>
          <w14:ligatures w14:val="none"/>
        </w:rPr>
        <w:drawing>
          <wp:inline distT="0" distB="0" distL="0" distR="0" wp14:anchorId="1D0A6CD3" wp14:editId="632F9C80">
            <wp:extent cx="5417820" cy="301483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424150" cy="3018354"/>
                    </a:xfrm>
                    <a:prstGeom prst="rect">
                      <a:avLst/>
                    </a:prstGeom>
                    <a:ln>
                      <a:noFill/>
                    </a:ln>
                    <a:extLst>
                      <a:ext uri="{53640926-AAD7-44D8-BBD7-CCE9431645EC}">
                        <a14:shadowObscured xmlns:a14="http://schemas.microsoft.com/office/drawing/2010/main"/>
                      </a:ext>
                    </a:extLst>
                  </pic:spPr>
                </pic:pic>
              </a:graphicData>
            </a:graphic>
          </wp:inline>
        </w:drawing>
      </w:r>
    </w:p>
    <w:p w14:paraId="70757C0C" w14:textId="03FFED10" w:rsidR="00B86AA4" w:rsidRPr="009E6657" w:rsidRDefault="00B86AA4" w:rsidP="000D408C">
      <w:pPr>
        <w:spacing w:line="360" w:lineRule="auto"/>
        <w:jc w:val="center"/>
        <w:rPr>
          <w:rFonts w:ascii="Arial" w:hAnsi="Arial" w:cs="Arial"/>
          <w:sz w:val="22"/>
        </w:rPr>
      </w:pPr>
      <w:r w:rsidRPr="009E6657">
        <w:rPr>
          <w:rFonts w:ascii="Arial" w:hAnsi="Arial" w:cs="Arial"/>
          <w:sz w:val="22"/>
        </w:rPr>
        <w:t xml:space="preserve">Figure 1: total number of verified COVID-19 cases per million (Source: </w:t>
      </w:r>
      <w:r w:rsidR="009B01E3">
        <w:t>Mathieu et al., 2020</w:t>
      </w:r>
      <w:r w:rsidRPr="009E6657">
        <w:rPr>
          <w:rFonts w:ascii="Arial" w:hAnsi="Arial" w:cs="Arial"/>
          <w:sz w:val="22"/>
        </w:rPr>
        <w:t>)</w:t>
      </w:r>
    </w:p>
    <w:p w14:paraId="66097D5C" w14:textId="71AA98DF" w:rsidR="00B86AA4" w:rsidRPr="009E6657" w:rsidRDefault="00B86AA4" w:rsidP="009E6657">
      <w:pPr>
        <w:spacing w:line="360" w:lineRule="auto"/>
        <w:jc w:val="both"/>
        <w:rPr>
          <w:rFonts w:ascii="Arial" w:hAnsi="Arial" w:cs="Arial"/>
          <w:sz w:val="22"/>
        </w:rPr>
      </w:pPr>
      <w:r w:rsidRPr="009E6657">
        <w:rPr>
          <w:rFonts w:ascii="Arial" w:hAnsi="Arial" w:cs="Arial"/>
          <w:sz w:val="22"/>
        </w:rPr>
        <w:t xml:space="preserve">From January 2020 through September 2025, this line graph </w:t>
      </w:r>
      <w:r w:rsidR="009B01E3">
        <w:rPr>
          <w:rFonts w:ascii="Arial" w:hAnsi="Arial" w:cs="Arial"/>
          <w:sz w:val="22"/>
        </w:rPr>
        <w:t xml:space="preserve">by </w:t>
      </w:r>
      <w:r w:rsidR="009B01E3">
        <w:t xml:space="preserve">Mathieu et al. (2020) </w:t>
      </w:r>
      <w:r w:rsidRPr="009E6657">
        <w:rPr>
          <w:rFonts w:ascii="Arial" w:hAnsi="Arial" w:cs="Arial"/>
          <w:sz w:val="22"/>
        </w:rPr>
        <w:t>from Our World in Data displays the total number of verified COVID-19 cases per million individuals in Spain. In significant waves, the curve climbs steeply (especially in 2021), but it flattens out after 2023, suggesting that the rate of new confirmed cases is decreasing.</w:t>
      </w:r>
    </w:p>
    <w:p w14:paraId="287078B5" w14:textId="0EC69864" w:rsidR="00AD497C" w:rsidRPr="009E6657" w:rsidRDefault="00AD497C" w:rsidP="009E6657">
      <w:pPr>
        <w:spacing w:line="360" w:lineRule="auto"/>
        <w:jc w:val="both"/>
        <w:rPr>
          <w:rFonts w:ascii="Arial" w:hAnsi="Arial" w:cs="Arial"/>
          <w:sz w:val="22"/>
        </w:rPr>
      </w:pPr>
      <w:r w:rsidRPr="009E6657">
        <w:rPr>
          <w:rFonts w:ascii="Arial" w:hAnsi="Arial" w:cs="Arial"/>
          <w:sz w:val="22"/>
        </w:rPr>
        <w:t>The healthcare system in Spain is the Sistema Nacional de Salud (SNS)</w:t>
      </w:r>
      <w:r w:rsidR="00D84FA9" w:rsidRPr="009E6657">
        <w:rPr>
          <w:rFonts w:ascii="Arial" w:hAnsi="Arial" w:cs="Arial"/>
          <w:sz w:val="22"/>
        </w:rPr>
        <w:t>,</w:t>
      </w:r>
      <w:r w:rsidRPr="009E6657">
        <w:rPr>
          <w:rFonts w:ascii="Arial" w:hAnsi="Arial" w:cs="Arial"/>
          <w:sz w:val="22"/>
        </w:rPr>
        <w:t xml:space="preserve"> which is a publicly funded, regionally administered system providing universal health care on a decentralised administrative structure (OECD, 2021). </w:t>
      </w:r>
      <w:r w:rsidR="009E72C8" w:rsidRPr="009E6657">
        <w:rPr>
          <w:rFonts w:ascii="Arial" w:hAnsi="Arial" w:cs="Arial"/>
          <w:sz w:val="22"/>
        </w:rPr>
        <w:t>Table 1 shows that t</w:t>
      </w:r>
      <w:r w:rsidRPr="009E6657">
        <w:rPr>
          <w:rFonts w:ascii="Arial" w:hAnsi="Arial" w:cs="Arial"/>
          <w:sz w:val="22"/>
        </w:rPr>
        <w:t>he 17 independent communities shared health competenc</w:t>
      </w:r>
      <w:r w:rsidR="00D84FA9" w:rsidRPr="009E6657">
        <w:rPr>
          <w:rFonts w:ascii="Arial" w:hAnsi="Arial" w:cs="Arial"/>
          <w:sz w:val="22"/>
        </w:rPr>
        <w:t>i</w:t>
      </w:r>
      <w:r w:rsidRPr="009E6657">
        <w:rPr>
          <w:rFonts w:ascii="Arial" w:hAnsi="Arial" w:cs="Arial"/>
          <w:sz w:val="22"/>
        </w:rPr>
        <w:t xml:space="preserve">es, which formed a robust regional control and uneven capacity and coordination (Lopez-Casasnovas and Pifarre </w:t>
      </w:r>
      <w:proofErr w:type="spellStart"/>
      <w:r w:rsidRPr="009E6657">
        <w:rPr>
          <w:rFonts w:ascii="Arial" w:hAnsi="Arial" w:cs="Arial"/>
          <w:sz w:val="22"/>
        </w:rPr>
        <w:t>iArolas</w:t>
      </w:r>
      <w:proofErr w:type="spellEnd"/>
      <w:r w:rsidRPr="009E6657">
        <w:rPr>
          <w:rFonts w:ascii="Arial" w:hAnsi="Arial" w:cs="Arial"/>
          <w:sz w:val="22"/>
        </w:rPr>
        <w:t>, 2021). Before 2020, the country had a per-</w:t>
      </w:r>
      <w:r w:rsidRPr="009E6657">
        <w:rPr>
          <w:rFonts w:ascii="Arial" w:hAnsi="Arial" w:cs="Arial"/>
          <w:sz w:val="22"/>
        </w:rPr>
        <w:lastRenderedPageBreak/>
        <w:t>capita expenditure on health (9.1 per</w:t>
      </w:r>
      <w:r w:rsidR="00D84FA9" w:rsidRPr="009E6657">
        <w:rPr>
          <w:rFonts w:ascii="Arial" w:hAnsi="Arial" w:cs="Arial"/>
          <w:sz w:val="22"/>
        </w:rPr>
        <w:t xml:space="preserve"> </w:t>
      </w:r>
      <w:r w:rsidRPr="009E6657">
        <w:rPr>
          <w:rFonts w:ascii="Arial" w:hAnsi="Arial" w:cs="Arial"/>
          <w:sz w:val="22"/>
        </w:rPr>
        <w:t>cent of GDP) and a ratio of bed</w:t>
      </w:r>
      <w:r w:rsidR="00D84FA9" w:rsidRPr="009E6657">
        <w:rPr>
          <w:rFonts w:ascii="Arial" w:hAnsi="Arial" w:cs="Arial"/>
          <w:sz w:val="22"/>
        </w:rPr>
        <w:t>s</w:t>
      </w:r>
      <w:r w:rsidRPr="009E6657">
        <w:rPr>
          <w:rFonts w:ascii="Arial" w:hAnsi="Arial" w:cs="Arial"/>
          <w:sz w:val="22"/>
        </w:rPr>
        <w:t xml:space="preserve"> per 1,000 in the hospitals (3.0)</w:t>
      </w:r>
      <w:r w:rsidR="00D84FA9" w:rsidRPr="009E6657">
        <w:rPr>
          <w:rFonts w:ascii="Arial" w:hAnsi="Arial" w:cs="Arial"/>
          <w:sz w:val="22"/>
        </w:rPr>
        <w:t>,</w:t>
      </w:r>
      <w:r w:rsidRPr="009E6657">
        <w:rPr>
          <w:rFonts w:ascii="Arial" w:hAnsi="Arial" w:cs="Arial"/>
          <w:sz w:val="22"/>
        </w:rPr>
        <w:t xml:space="preserve"> which were in line with the EU average, although the country had a systemic lack of intensive-care facilities and epidemiological surveillance systems (</w:t>
      </w:r>
      <w:r w:rsidR="004B3A8F" w:rsidRPr="009E6657">
        <w:rPr>
          <w:rFonts w:ascii="Arial" w:hAnsi="Arial" w:cs="Arial"/>
          <w:sz w:val="22"/>
        </w:rPr>
        <w:t>Dubin</w:t>
      </w:r>
      <w:r w:rsidRPr="009E6657">
        <w:rPr>
          <w:rFonts w:ascii="Arial" w:hAnsi="Arial" w:cs="Arial"/>
          <w:sz w:val="22"/>
        </w:rPr>
        <w:t>, 202</w:t>
      </w:r>
      <w:r w:rsidR="004B3A8F" w:rsidRPr="009E6657">
        <w:rPr>
          <w:rFonts w:ascii="Arial" w:hAnsi="Arial" w:cs="Arial"/>
          <w:sz w:val="22"/>
        </w:rPr>
        <w:t>1</w:t>
      </w:r>
      <w:r w:rsidRPr="009E6657">
        <w:rPr>
          <w:rFonts w:ascii="Arial" w:hAnsi="Arial" w:cs="Arial"/>
          <w:sz w:val="22"/>
        </w:rPr>
        <w:t>). Such structural imbalances influenced the leadership issues at the onset of COVID-19, where the uncoordinated governance processes addressed the requirement of quick and undivided decision-making.</w:t>
      </w:r>
    </w:p>
    <w:p w14:paraId="73D0F729" w14:textId="79A36904" w:rsidR="00B86AA4" w:rsidRPr="009E6657" w:rsidRDefault="00B86AA4" w:rsidP="000D408C">
      <w:pPr>
        <w:spacing w:line="360" w:lineRule="auto"/>
        <w:jc w:val="center"/>
        <w:rPr>
          <w:rFonts w:ascii="Arial" w:hAnsi="Arial" w:cs="Arial"/>
          <w:sz w:val="22"/>
        </w:rPr>
      </w:pPr>
      <w:r w:rsidRPr="009E6657">
        <w:rPr>
          <w:rFonts w:ascii="Arial" w:hAnsi="Arial" w:cs="Arial"/>
          <w:sz w:val="22"/>
        </w:rPr>
        <w:t>Table 1: Health Expenditure Related to COVID</w:t>
      </w:r>
      <w:r w:rsidR="00556CBB">
        <w:rPr>
          <w:rFonts w:ascii="Arial" w:hAnsi="Arial" w:cs="Arial"/>
          <w:sz w:val="22"/>
        </w:rPr>
        <w:t xml:space="preserve"> (Source: </w:t>
      </w:r>
      <w:proofErr w:type="spellStart"/>
      <w:r w:rsidR="00556CBB">
        <w:t>sanidad</w:t>
      </w:r>
      <w:proofErr w:type="spellEnd"/>
      <w:r w:rsidR="00556CBB">
        <w:t>, 2024)</w:t>
      </w:r>
    </w:p>
    <w:p w14:paraId="455823C7" w14:textId="6191D4D0" w:rsidR="00B86AA4" w:rsidRPr="009E6657" w:rsidRDefault="00B86AA4" w:rsidP="000D408C">
      <w:pPr>
        <w:spacing w:line="360" w:lineRule="auto"/>
        <w:jc w:val="center"/>
        <w:rPr>
          <w:rFonts w:ascii="Arial" w:hAnsi="Arial" w:cs="Arial"/>
          <w:sz w:val="22"/>
        </w:rPr>
      </w:pPr>
      <w:r w:rsidRPr="009E6657">
        <w:rPr>
          <w:rFonts w:ascii="Arial" w:hAnsi="Arial" w:cs="Arial"/>
          <w:noProof/>
          <w:sz w:val="22"/>
        </w:rPr>
        <w:drawing>
          <wp:inline distT="0" distB="0" distL="0" distR="0" wp14:anchorId="3B62F4E3" wp14:editId="2782D77E">
            <wp:extent cx="4617720" cy="27793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8719" r="247"/>
                    <a:stretch/>
                  </pic:blipFill>
                  <pic:spPr bwMode="auto">
                    <a:xfrm>
                      <a:off x="0" y="0"/>
                      <a:ext cx="4618364" cy="2779783"/>
                    </a:xfrm>
                    <a:prstGeom prst="rect">
                      <a:avLst/>
                    </a:prstGeom>
                    <a:ln>
                      <a:noFill/>
                    </a:ln>
                    <a:extLst>
                      <a:ext uri="{53640926-AAD7-44D8-BBD7-CCE9431645EC}">
                        <a14:shadowObscured xmlns:a14="http://schemas.microsoft.com/office/drawing/2010/main"/>
                      </a:ext>
                    </a:extLst>
                  </pic:spPr>
                </pic:pic>
              </a:graphicData>
            </a:graphic>
          </wp:inline>
        </w:drawing>
      </w:r>
    </w:p>
    <w:p w14:paraId="329E19D0" w14:textId="4ECAAA91" w:rsidR="00B86AA4" w:rsidRPr="009E6657" w:rsidRDefault="00B86AA4" w:rsidP="009E6657">
      <w:pPr>
        <w:spacing w:after="0" w:line="360" w:lineRule="auto"/>
        <w:jc w:val="both"/>
        <w:rPr>
          <w:rFonts w:ascii="Arial" w:eastAsia="Times New Roman" w:hAnsi="Arial" w:cs="Arial"/>
          <w:kern w:val="0"/>
          <w:sz w:val="22"/>
          <w:lang w:val="en-US"/>
          <w14:ligatures w14:val="none"/>
        </w:rPr>
      </w:pPr>
      <w:r w:rsidRPr="00B86AA4">
        <w:rPr>
          <w:rFonts w:ascii="Arial" w:eastAsia="Times New Roman" w:hAnsi="Arial" w:cs="Arial"/>
          <w:kern w:val="0"/>
          <w:sz w:val="22"/>
          <w:lang w:val="en-US"/>
          <w14:ligatures w14:val="none"/>
        </w:rPr>
        <w:t xml:space="preserve">The 2020 COVID-19 public health expenditures in Spain are displayed in the table </w:t>
      </w:r>
      <w:r w:rsidRPr="009E6657">
        <w:rPr>
          <w:rFonts w:ascii="Arial" w:eastAsia="Times New Roman" w:hAnsi="Arial" w:cs="Arial"/>
          <w:kern w:val="0"/>
          <w:sz w:val="22"/>
          <w:lang w:val="en-US"/>
          <w14:ligatures w14:val="none"/>
        </w:rPr>
        <w:t>2</w:t>
      </w:r>
      <w:r w:rsidRPr="00B86AA4">
        <w:rPr>
          <w:rFonts w:ascii="Arial" w:eastAsia="Times New Roman" w:hAnsi="Arial" w:cs="Arial"/>
          <w:kern w:val="0"/>
          <w:sz w:val="22"/>
          <w:lang w:val="en-US"/>
          <w14:ligatures w14:val="none"/>
        </w:rPr>
        <w:t>. Spending on treatment, testing, and contact tracing accounts for the lion's share, amounting to €7.37 billion, out of a total of €8.9 billion. Vaccination, medical supplies, other healthcare expenditures, and investments in COVID-19 all add up to additional costs. When it came to public health spending on COVID-19, Spain was rated second in the European Union</w:t>
      </w:r>
      <w:r w:rsidR="00556CBB">
        <w:rPr>
          <w:rFonts w:ascii="Arial" w:eastAsia="Times New Roman" w:hAnsi="Arial" w:cs="Arial"/>
          <w:kern w:val="0"/>
          <w:sz w:val="22"/>
          <w:lang w:val="en-US"/>
          <w14:ligatures w14:val="none"/>
        </w:rPr>
        <w:t xml:space="preserve"> (</w:t>
      </w:r>
      <w:proofErr w:type="spellStart"/>
      <w:r w:rsidR="00556CBB">
        <w:t>sanidad</w:t>
      </w:r>
      <w:proofErr w:type="spellEnd"/>
      <w:r w:rsidR="00556CBB">
        <w:t>, 2024)</w:t>
      </w:r>
      <w:r w:rsidRPr="00B86AA4">
        <w:rPr>
          <w:rFonts w:ascii="Arial" w:eastAsia="Times New Roman" w:hAnsi="Arial" w:cs="Arial"/>
          <w:kern w:val="0"/>
          <w:sz w:val="22"/>
          <w:lang w:val="en-US"/>
          <w14:ligatures w14:val="none"/>
        </w:rPr>
        <w:t>.</w:t>
      </w:r>
    </w:p>
    <w:p w14:paraId="3BB9504E" w14:textId="420171C3" w:rsidR="00B86AA4" w:rsidRPr="009E6657" w:rsidRDefault="00B86AA4" w:rsidP="009E6657">
      <w:pPr>
        <w:spacing w:after="0" w:line="360" w:lineRule="auto"/>
        <w:jc w:val="both"/>
        <w:rPr>
          <w:rFonts w:ascii="Arial" w:eastAsia="Times New Roman" w:hAnsi="Arial" w:cs="Arial"/>
          <w:kern w:val="0"/>
          <w:sz w:val="22"/>
          <w:lang w:val="en-US"/>
          <w14:ligatures w14:val="none"/>
        </w:rPr>
      </w:pPr>
      <w:r w:rsidRPr="009E6657">
        <w:rPr>
          <w:rFonts w:ascii="Arial" w:eastAsia="Times New Roman" w:hAnsi="Arial" w:cs="Arial"/>
          <w:kern w:val="0"/>
          <w:sz w:val="22"/>
          <w:lang w:val="en-US"/>
          <w14:ligatures w14:val="none"/>
        </w:rPr>
        <w:t xml:space="preserve">This massive national spending shows that the government was able to quickly deploy and fund large-scale COVID-19 operations during the alert because of its </w:t>
      </w:r>
      <w:proofErr w:type="spellStart"/>
      <w:r w:rsidRPr="009E6657">
        <w:rPr>
          <w:rFonts w:ascii="Arial" w:eastAsia="Times New Roman" w:hAnsi="Arial" w:cs="Arial"/>
          <w:kern w:val="0"/>
          <w:sz w:val="22"/>
          <w:lang w:val="en-US"/>
          <w14:ligatures w14:val="none"/>
        </w:rPr>
        <w:t>centralisation</w:t>
      </w:r>
      <w:proofErr w:type="spellEnd"/>
      <w:r w:rsidRPr="009E6657">
        <w:rPr>
          <w:rFonts w:ascii="Arial" w:eastAsia="Times New Roman" w:hAnsi="Arial" w:cs="Arial"/>
          <w:kern w:val="0"/>
          <w:sz w:val="22"/>
          <w:lang w:val="en-US"/>
          <w14:ligatures w14:val="none"/>
        </w:rPr>
        <w:t xml:space="preserve"> of power.</w:t>
      </w:r>
    </w:p>
    <w:p w14:paraId="7DD38334" w14:textId="784E5D04" w:rsidR="00AD497C" w:rsidRPr="009E6657" w:rsidRDefault="00AD497C" w:rsidP="009E6657">
      <w:pPr>
        <w:spacing w:line="360" w:lineRule="auto"/>
        <w:jc w:val="both"/>
        <w:rPr>
          <w:rFonts w:ascii="Arial" w:hAnsi="Arial" w:cs="Arial"/>
          <w:sz w:val="22"/>
        </w:rPr>
      </w:pPr>
      <w:r w:rsidRPr="009E6657">
        <w:rPr>
          <w:rFonts w:ascii="Arial" w:hAnsi="Arial" w:cs="Arial"/>
          <w:sz w:val="22"/>
        </w:rPr>
        <w:t>When the pandemic became widespread, Prime Minister Pedro Sanchez and the Health Minister Salvador Illa issued a state of alarm on 14 March 2020</w:t>
      </w:r>
      <w:r w:rsidR="00D84FA9" w:rsidRPr="009E6657">
        <w:rPr>
          <w:rFonts w:ascii="Arial" w:hAnsi="Arial" w:cs="Arial"/>
          <w:sz w:val="22"/>
        </w:rPr>
        <w:t>,</w:t>
      </w:r>
      <w:r w:rsidRPr="009E6657">
        <w:rPr>
          <w:rFonts w:ascii="Arial" w:hAnsi="Arial" w:cs="Arial"/>
          <w:sz w:val="22"/>
        </w:rPr>
        <w:t xml:space="preserve"> temporarily centralising powers through the Ministry of Health (Royo, 2020). This action was to halt the autonomy of regions to impose a countrywide lockdown, which reflects the first autocratic-situational adjustment of the government to a generally democratic system. Illa also stressed seriousness and nationalism in communication</w:t>
      </w:r>
      <w:r w:rsidR="00D84FA9" w:rsidRPr="009E6657">
        <w:rPr>
          <w:rFonts w:ascii="Arial" w:hAnsi="Arial" w:cs="Arial"/>
          <w:sz w:val="22"/>
        </w:rPr>
        <w:t>,</w:t>
      </w:r>
      <w:r w:rsidRPr="009E6657">
        <w:rPr>
          <w:rFonts w:ascii="Arial" w:hAnsi="Arial" w:cs="Arial"/>
          <w:sz w:val="22"/>
        </w:rPr>
        <w:t xml:space="preserve"> which illustrated democratic principles, but internal control was to be achieved by acts of emergency, which was necessary according to Contingency Theory, according to which the effectiveness of leadership is based on the context of the environment (Fiedler, 1967). </w:t>
      </w:r>
      <w:r w:rsidRPr="009E6657">
        <w:rPr>
          <w:rFonts w:ascii="Arial" w:hAnsi="Arial" w:cs="Arial"/>
          <w:sz w:val="22"/>
        </w:rPr>
        <w:lastRenderedPageBreak/>
        <w:t xml:space="preserve">Centralisation in Spain led to both temporary </w:t>
      </w:r>
      <w:r w:rsidR="00410A55" w:rsidRPr="009E6657">
        <w:rPr>
          <w:rFonts w:ascii="Arial" w:hAnsi="Arial" w:cs="Arial"/>
          <w:sz w:val="22"/>
        </w:rPr>
        <w:t>unities</w:t>
      </w:r>
      <w:r w:rsidRPr="009E6657">
        <w:rPr>
          <w:rFonts w:ascii="Arial" w:hAnsi="Arial" w:cs="Arial"/>
          <w:sz w:val="22"/>
        </w:rPr>
        <w:t>, including a ban on moves across national borders and an increase in hospital capacity, but also in tension with leaders of the regions who felt lacked autonomy (Greer et al., 2023).</w:t>
      </w:r>
    </w:p>
    <w:p w14:paraId="365D5EB9" w14:textId="4BF066DC" w:rsidR="00AD497C" w:rsidRPr="009E6657" w:rsidRDefault="00AD497C" w:rsidP="009E6657">
      <w:pPr>
        <w:spacing w:line="360" w:lineRule="auto"/>
        <w:jc w:val="both"/>
        <w:rPr>
          <w:rFonts w:ascii="Arial" w:hAnsi="Arial" w:cs="Arial"/>
          <w:sz w:val="22"/>
        </w:rPr>
      </w:pPr>
      <w:r w:rsidRPr="009E6657">
        <w:rPr>
          <w:rFonts w:ascii="Arial" w:hAnsi="Arial" w:cs="Arial"/>
          <w:sz w:val="22"/>
        </w:rPr>
        <w:t>The decision-making of the government had an amalgamation of the Path-Goal leadership, in which the rulers had specific objectives to follow (lockdowns, testing guidelines) and were encouraging the local population to follow the rules by pursuing a common goal and providing access to information (House, 1971). Periodic televised conferences by Illa and Chief Epidemiologist Fernando Simon helped in forming the perception. Nevertheless, a lack of consistency with initial messages when it came to the extent of the virus aided the lack of trust, with Spain reporting one of the largest mortality rates in Europe by mid-2020 (</w:t>
      </w:r>
      <w:proofErr w:type="spellStart"/>
      <w:r w:rsidRPr="009E6657">
        <w:rPr>
          <w:rFonts w:ascii="Arial" w:hAnsi="Arial" w:cs="Arial"/>
          <w:sz w:val="22"/>
        </w:rPr>
        <w:t>Culqui</w:t>
      </w:r>
      <w:proofErr w:type="spellEnd"/>
      <w:r w:rsidRPr="009E6657">
        <w:rPr>
          <w:rFonts w:ascii="Arial" w:hAnsi="Arial" w:cs="Arial"/>
          <w:sz w:val="22"/>
        </w:rPr>
        <w:t xml:space="preserve"> Levano et al., 2022). This stage underscores the constraints of </w:t>
      </w:r>
      <w:r w:rsidR="00D84FA9" w:rsidRPr="009E6657">
        <w:rPr>
          <w:rFonts w:ascii="Arial" w:hAnsi="Arial" w:cs="Arial"/>
          <w:sz w:val="22"/>
        </w:rPr>
        <w:t xml:space="preserve">the </w:t>
      </w:r>
      <w:r w:rsidRPr="009E6657">
        <w:rPr>
          <w:rFonts w:ascii="Arial" w:hAnsi="Arial" w:cs="Arial"/>
          <w:sz w:val="22"/>
        </w:rPr>
        <w:t>transactional and bureaucratic nature of dynamic crises</w:t>
      </w:r>
      <w:r w:rsidR="00D84FA9" w:rsidRPr="009E6657">
        <w:rPr>
          <w:rFonts w:ascii="Arial" w:hAnsi="Arial" w:cs="Arial"/>
          <w:sz w:val="22"/>
        </w:rPr>
        <w:t>,</w:t>
      </w:r>
      <w:r w:rsidRPr="009E6657">
        <w:rPr>
          <w:rFonts w:ascii="Arial" w:hAnsi="Arial" w:cs="Arial"/>
          <w:sz w:val="22"/>
        </w:rPr>
        <w:t xml:space="preserve"> where sticking to the hierarchy slowed adaptive learning.</w:t>
      </w:r>
    </w:p>
    <w:p w14:paraId="3707AA5C" w14:textId="2337FEA2" w:rsidR="00AD497C" w:rsidRPr="009E6657" w:rsidRDefault="00AD497C" w:rsidP="009E6657">
      <w:pPr>
        <w:spacing w:line="360" w:lineRule="auto"/>
        <w:jc w:val="both"/>
        <w:rPr>
          <w:rFonts w:ascii="Arial" w:hAnsi="Arial" w:cs="Arial"/>
          <w:sz w:val="22"/>
        </w:rPr>
      </w:pPr>
      <w:r w:rsidRPr="009E6657">
        <w:rPr>
          <w:rFonts w:ascii="Arial" w:hAnsi="Arial" w:cs="Arial"/>
          <w:sz w:val="22"/>
        </w:rPr>
        <w:t xml:space="preserve">Since summer 2020, Spain </w:t>
      </w:r>
      <w:r w:rsidR="00D84FA9" w:rsidRPr="009E6657">
        <w:rPr>
          <w:rFonts w:ascii="Arial" w:hAnsi="Arial" w:cs="Arial"/>
          <w:sz w:val="22"/>
        </w:rPr>
        <w:t xml:space="preserve">has </w:t>
      </w:r>
      <w:r w:rsidRPr="009E6657">
        <w:rPr>
          <w:rFonts w:ascii="Arial" w:hAnsi="Arial" w:cs="Arial"/>
          <w:sz w:val="22"/>
        </w:rPr>
        <w:t xml:space="preserve">moved to a hybrid approach of cooperatives. The re-establishment of regional authorities of testing, tracing, and restrictions was both </w:t>
      </w:r>
      <w:r w:rsidR="00D84FA9" w:rsidRPr="009E6657">
        <w:rPr>
          <w:rFonts w:ascii="Arial" w:hAnsi="Arial" w:cs="Arial"/>
          <w:sz w:val="22"/>
        </w:rPr>
        <w:t xml:space="preserve">a </w:t>
      </w:r>
      <w:r w:rsidRPr="009E6657">
        <w:rPr>
          <w:rFonts w:ascii="Arial" w:hAnsi="Arial" w:cs="Arial"/>
          <w:sz w:val="22"/>
        </w:rPr>
        <w:t xml:space="preserve">political need and </w:t>
      </w:r>
      <w:r w:rsidR="00D84FA9" w:rsidRPr="009E6657">
        <w:rPr>
          <w:rFonts w:ascii="Arial" w:hAnsi="Arial" w:cs="Arial"/>
          <w:sz w:val="22"/>
        </w:rPr>
        <w:t xml:space="preserve">a </w:t>
      </w:r>
      <w:r w:rsidRPr="009E6657">
        <w:rPr>
          <w:rFonts w:ascii="Arial" w:hAnsi="Arial" w:cs="Arial"/>
          <w:sz w:val="22"/>
        </w:rPr>
        <w:t>democratic responsibility. The Inter-Territorial Council of the SNS, led by Illa, became a place of mutual decision-making - an incarnation of the democratic form of leadership, the one that concerns the participation and consultation (Northouse, 2025). This distributed system facilitated the customi</w:t>
      </w:r>
      <w:r w:rsidR="00D84FA9" w:rsidRPr="009E6657">
        <w:rPr>
          <w:rFonts w:ascii="Arial" w:hAnsi="Arial" w:cs="Arial"/>
          <w:sz w:val="22"/>
        </w:rPr>
        <w:t>s</w:t>
      </w:r>
      <w:r w:rsidRPr="009E6657">
        <w:rPr>
          <w:rFonts w:ascii="Arial" w:hAnsi="Arial" w:cs="Arial"/>
          <w:sz w:val="22"/>
        </w:rPr>
        <w:t>ation of responses locally and had the national control of data reporting and acquisition of vaccines. The way of leadership has become significantly more effective throughout the vaccination process: as of December 2021, the proportion of fully vaccinated adults has risen to more than 90 per</w:t>
      </w:r>
      <w:r w:rsidR="00D84FA9" w:rsidRPr="009E6657">
        <w:rPr>
          <w:rFonts w:ascii="Arial" w:hAnsi="Arial" w:cs="Arial"/>
          <w:sz w:val="22"/>
        </w:rPr>
        <w:t xml:space="preserve"> </w:t>
      </w:r>
      <w:r w:rsidRPr="009E6657">
        <w:rPr>
          <w:rFonts w:ascii="Arial" w:hAnsi="Arial" w:cs="Arial"/>
          <w:sz w:val="22"/>
        </w:rPr>
        <w:t>cent, one of the highest in the EU (ECDC, 2022).</w:t>
      </w:r>
    </w:p>
    <w:p w14:paraId="3C1F6C61" w14:textId="36305070" w:rsidR="00AD497C" w:rsidRPr="009E6657" w:rsidRDefault="00AD497C" w:rsidP="009E6657">
      <w:pPr>
        <w:spacing w:line="360" w:lineRule="auto"/>
        <w:jc w:val="both"/>
        <w:rPr>
          <w:rFonts w:ascii="Arial" w:hAnsi="Arial" w:cs="Arial"/>
          <w:sz w:val="22"/>
        </w:rPr>
      </w:pPr>
      <w:r w:rsidRPr="009E6657">
        <w:rPr>
          <w:rFonts w:ascii="Arial" w:hAnsi="Arial" w:cs="Arial"/>
          <w:sz w:val="22"/>
        </w:rPr>
        <w:t>The leadership of Spain a</w:t>
      </w:r>
      <w:r w:rsidR="00D84FA9" w:rsidRPr="009E6657">
        <w:rPr>
          <w:rFonts w:ascii="Arial" w:hAnsi="Arial" w:cs="Arial"/>
          <w:sz w:val="22"/>
        </w:rPr>
        <w:t>lso</w:t>
      </w:r>
      <w:r w:rsidRPr="009E6657">
        <w:rPr>
          <w:rFonts w:ascii="Arial" w:hAnsi="Arial" w:cs="Arial"/>
          <w:sz w:val="22"/>
        </w:rPr>
        <w:t xml:space="preserve"> showed transformational qualities in subsequent levels. Illa and Sanchez expressed optimism, understanding, and overall responsibility, which is consistent with the theory of transformational leadership put forward by Burns, who states that motivating and moral purpose can be raised (</w:t>
      </w:r>
      <w:proofErr w:type="spellStart"/>
      <w:r w:rsidRPr="009E6657">
        <w:rPr>
          <w:rFonts w:ascii="Arial" w:hAnsi="Arial" w:cs="Arial"/>
          <w:sz w:val="22"/>
        </w:rPr>
        <w:t>Alkailanee</w:t>
      </w:r>
      <w:proofErr w:type="spellEnd"/>
      <w:r w:rsidRPr="009E6657">
        <w:rPr>
          <w:rFonts w:ascii="Arial" w:hAnsi="Arial" w:cs="Arial"/>
          <w:sz w:val="22"/>
        </w:rPr>
        <w:t xml:space="preserve"> et al., 2024). The government</w:t>
      </w:r>
      <w:r w:rsidR="00D84FA9" w:rsidRPr="009E6657">
        <w:rPr>
          <w:rFonts w:ascii="Arial" w:hAnsi="Arial" w:cs="Arial"/>
          <w:sz w:val="22"/>
        </w:rPr>
        <w:t>'s</w:t>
      </w:r>
      <w:r w:rsidRPr="009E6657">
        <w:rPr>
          <w:rFonts w:ascii="Arial" w:hAnsi="Arial" w:cs="Arial"/>
          <w:sz w:val="22"/>
        </w:rPr>
        <w:t xml:space="preserve"> “Plan de </w:t>
      </w:r>
      <w:proofErr w:type="spellStart"/>
      <w:r w:rsidRPr="009E6657">
        <w:rPr>
          <w:rFonts w:ascii="Arial" w:hAnsi="Arial" w:cs="Arial"/>
          <w:sz w:val="22"/>
        </w:rPr>
        <w:t>Vacunacion</w:t>
      </w:r>
      <w:proofErr w:type="spellEnd"/>
      <w:r w:rsidRPr="009E6657">
        <w:rPr>
          <w:rFonts w:ascii="Arial" w:hAnsi="Arial" w:cs="Arial"/>
          <w:sz w:val="22"/>
        </w:rPr>
        <w:t xml:space="preserve">” included global feedback mechanisms and </w:t>
      </w:r>
      <w:r w:rsidR="00D84FA9" w:rsidRPr="009E6657">
        <w:rPr>
          <w:rFonts w:ascii="Arial" w:hAnsi="Arial" w:cs="Arial"/>
          <w:sz w:val="22"/>
        </w:rPr>
        <w:t xml:space="preserve">an </w:t>
      </w:r>
      <w:r w:rsidRPr="009E6657">
        <w:rPr>
          <w:rFonts w:ascii="Arial" w:hAnsi="Arial" w:cs="Arial"/>
          <w:sz w:val="22"/>
        </w:rPr>
        <w:t>open dashboard, and it restored confidence once the initiatives initially had gone awry (</w:t>
      </w:r>
      <w:proofErr w:type="spellStart"/>
      <w:r w:rsidRPr="009E6657">
        <w:rPr>
          <w:rFonts w:ascii="Arial" w:hAnsi="Arial" w:cs="Arial"/>
          <w:sz w:val="22"/>
        </w:rPr>
        <w:t>Ministerio</w:t>
      </w:r>
      <w:proofErr w:type="spellEnd"/>
      <w:r w:rsidRPr="009E6657">
        <w:rPr>
          <w:rFonts w:ascii="Arial" w:hAnsi="Arial" w:cs="Arial"/>
          <w:sz w:val="22"/>
        </w:rPr>
        <w:t xml:space="preserve"> de Sanidad, 2021). In the meantime, the participation of democracy was also applied to the scientific advisory group and professional associations that could affect the policy change in real time.</w:t>
      </w:r>
    </w:p>
    <w:p w14:paraId="5D0D6FB4" w14:textId="41040152" w:rsidR="004B2D93" w:rsidRPr="009E6657" w:rsidRDefault="00AD497C" w:rsidP="009E6657">
      <w:pPr>
        <w:spacing w:line="360" w:lineRule="auto"/>
        <w:jc w:val="both"/>
        <w:rPr>
          <w:rFonts w:ascii="Arial" w:hAnsi="Arial" w:cs="Arial"/>
          <w:sz w:val="22"/>
        </w:rPr>
      </w:pPr>
      <w:r w:rsidRPr="009E6657">
        <w:rPr>
          <w:rFonts w:ascii="Arial" w:hAnsi="Arial" w:cs="Arial"/>
          <w:sz w:val="22"/>
        </w:rPr>
        <w:t>More importantly, this hybrid nature of the Spanish progress of leadership demonstrates the principle of adaptive centralisation: effective governance switches to the central command to address emergenc</w:t>
      </w:r>
      <w:r w:rsidR="00D84FA9" w:rsidRPr="009E6657">
        <w:rPr>
          <w:rFonts w:ascii="Arial" w:hAnsi="Arial" w:cs="Arial"/>
          <w:sz w:val="22"/>
        </w:rPr>
        <w:t>ie</w:t>
      </w:r>
      <w:r w:rsidRPr="009E6657">
        <w:rPr>
          <w:rFonts w:ascii="Arial" w:hAnsi="Arial" w:cs="Arial"/>
          <w:sz w:val="22"/>
        </w:rPr>
        <w:t xml:space="preserve">s and decentralised cooperation to recover. The Contingency Theory </w:t>
      </w:r>
      <w:r w:rsidRPr="009E6657">
        <w:rPr>
          <w:rFonts w:ascii="Arial" w:hAnsi="Arial" w:cs="Arial"/>
          <w:sz w:val="22"/>
        </w:rPr>
        <w:lastRenderedPageBreak/>
        <w:t>framework can be used to understand why the leadership style of Illa changed, i.e. centralised command to cooperative coordination, as the situational demands changed. However, there were also some weaknesses, such as congestion in hospitals, shortage of PPE, and inconsistent communications showed structural vulnerability and lack of preparedness (Royo, 2020). In addition, the fact that the people were getting tired of it and the political polarisation of the population threatened the continuity of compliance and revealed the boundaries of democratic persuasion in extended crises (Fuentes Lara, Moreno Fernandez and Navarro, 2020).</w:t>
      </w:r>
    </w:p>
    <w:p w14:paraId="3F727AF1" w14:textId="64DEF1BB" w:rsidR="00AD497C" w:rsidRPr="009E6657" w:rsidRDefault="00AD497C" w:rsidP="009E6657">
      <w:pPr>
        <w:spacing w:line="360" w:lineRule="auto"/>
        <w:jc w:val="both"/>
        <w:rPr>
          <w:rFonts w:ascii="Arial" w:hAnsi="Arial" w:cs="Arial"/>
          <w:sz w:val="22"/>
        </w:rPr>
      </w:pPr>
      <w:r w:rsidRPr="009E6657">
        <w:rPr>
          <w:rFonts w:ascii="Arial" w:hAnsi="Arial" w:cs="Arial"/>
          <w:sz w:val="22"/>
        </w:rPr>
        <w:t xml:space="preserve">On the whole, the reaction of Spain is associated with a democratic-situational leadership style that works on a hybrid model of governance. In March 2020, the autocratic decisiveness was needed to buy time during escalation, and in its turn, democratic inclusion recovered the legitimacy and coherence. </w:t>
      </w:r>
      <w:r w:rsidR="00D84FA9" w:rsidRPr="009E6657">
        <w:rPr>
          <w:rFonts w:ascii="Arial" w:hAnsi="Arial" w:cs="Arial"/>
          <w:sz w:val="22"/>
        </w:rPr>
        <w:t>A c</w:t>
      </w:r>
      <w:r w:rsidRPr="009E6657">
        <w:rPr>
          <w:rFonts w:ascii="Arial" w:hAnsi="Arial" w:cs="Arial"/>
          <w:sz w:val="22"/>
        </w:rPr>
        <w:t>ombination of Contingency and Path-Goal perspectives demonstrates that the success of leadership in Spain depended on the ability to match behaviour with environmental requirements- command, empathy and collaboration. Although these were initially chaotic times, adaptive learning improved the challenges of Spain into one of the best vaccination and recovery performances in Europe, demonstrating that situational plasticity, open communication, and collaborative governance are mandatory set</w:t>
      </w:r>
      <w:r w:rsidR="00D84FA9" w:rsidRPr="009E6657">
        <w:rPr>
          <w:rFonts w:ascii="Arial" w:hAnsi="Arial" w:cs="Arial"/>
          <w:sz w:val="22"/>
        </w:rPr>
        <w:t>s</w:t>
      </w:r>
      <w:r w:rsidRPr="009E6657">
        <w:rPr>
          <w:rFonts w:ascii="Arial" w:hAnsi="Arial" w:cs="Arial"/>
          <w:sz w:val="22"/>
        </w:rPr>
        <w:t xml:space="preserve"> of factors to crisis leadership in decentralised health systems.</w:t>
      </w:r>
    </w:p>
    <w:p w14:paraId="25E35754" w14:textId="77777777" w:rsidR="00AD497C" w:rsidRPr="009E6657" w:rsidRDefault="00AD497C" w:rsidP="009E6657">
      <w:pPr>
        <w:pStyle w:val="Heading2"/>
        <w:spacing w:line="360" w:lineRule="auto"/>
        <w:jc w:val="both"/>
        <w:rPr>
          <w:rFonts w:ascii="Arial" w:hAnsi="Arial" w:cs="Arial"/>
          <w:sz w:val="22"/>
          <w:szCs w:val="22"/>
        </w:rPr>
      </w:pPr>
      <w:bookmarkStart w:id="4" w:name="_Toc212743886"/>
      <w:r w:rsidRPr="009E6657">
        <w:rPr>
          <w:rFonts w:ascii="Arial" w:hAnsi="Arial" w:cs="Arial"/>
          <w:sz w:val="22"/>
          <w:szCs w:val="22"/>
        </w:rPr>
        <w:t>3.2 South Korea: Participative Leadership and Centralised Governance.</w:t>
      </w:r>
      <w:bookmarkEnd w:id="4"/>
    </w:p>
    <w:p w14:paraId="1D99FAF3" w14:textId="73B459E4" w:rsidR="00AD497C" w:rsidRPr="009E6657" w:rsidRDefault="00AD497C" w:rsidP="009E6657">
      <w:pPr>
        <w:spacing w:line="360" w:lineRule="auto"/>
        <w:jc w:val="both"/>
        <w:rPr>
          <w:rFonts w:ascii="Arial" w:hAnsi="Arial" w:cs="Arial"/>
          <w:sz w:val="22"/>
        </w:rPr>
      </w:pPr>
      <w:r w:rsidRPr="009E6657">
        <w:rPr>
          <w:rFonts w:ascii="Arial" w:hAnsi="Arial" w:cs="Arial"/>
          <w:sz w:val="22"/>
        </w:rPr>
        <w:t xml:space="preserve">The national health system in South Korea has a combination of solid central control </w:t>
      </w:r>
      <w:r w:rsidR="00D84FA9" w:rsidRPr="009E6657">
        <w:rPr>
          <w:rFonts w:ascii="Arial" w:hAnsi="Arial" w:cs="Arial"/>
          <w:sz w:val="22"/>
        </w:rPr>
        <w:t>and</w:t>
      </w:r>
      <w:r w:rsidRPr="009E6657">
        <w:rPr>
          <w:rFonts w:ascii="Arial" w:hAnsi="Arial" w:cs="Arial"/>
          <w:sz w:val="22"/>
        </w:rPr>
        <w:t xml:space="preserve"> coordinated delivery by the public and the private sector. The management of infectious disease</w:t>
      </w:r>
      <w:r w:rsidR="00D84FA9" w:rsidRPr="009E6657">
        <w:rPr>
          <w:rFonts w:ascii="Arial" w:hAnsi="Arial" w:cs="Arial"/>
          <w:sz w:val="22"/>
        </w:rPr>
        <w:t>s</w:t>
      </w:r>
      <w:r w:rsidRPr="009E6657">
        <w:rPr>
          <w:rFonts w:ascii="Arial" w:hAnsi="Arial" w:cs="Arial"/>
          <w:sz w:val="22"/>
        </w:rPr>
        <w:t xml:space="preserve"> is controlled by the Korea Disease Control and Prevention Agency (KDCA) and under the Ministry of Health and Welfare (MOHW), universal coverage is provided by the National Health Insurance Service (NHIS) (Lee et al., 2022). The 2015 MERS outbreak was followed by reforms that helped to bolster the emergency-response capacity and share information promptly, conduct contact tracing and authorise diagnostic tests (Wang, Marquez and Hwang, 2024). When the government learned about COVID-19, </w:t>
      </w:r>
      <w:r w:rsidR="00D84FA9" w:rsidRPr="009E6657">
        <w:rPr>
          <w:rFonts w:ascii="Arial" w:hAnsi="Arial" w:cs="Arial"/>
          <w:sz w:val="22"/>
        </w:rPr>
        <w:t>it</w:t>
      </w:r>
      <w:r w:rsidRPr="009E6657">
        <w:rPr>
          <w:rFonts w:ascii="Arial" w:hAnsi="Arial" w:cs="Arial"/>
          <w:sz w:val="22"/>
        </w:rPr>
        <w:t xml:space="preserve"> used this centralised structure to create one of the most coordinated and rapid containment campaigns in the world (You, 2020).</w:t>
      </w:r>
    </w:p>
    <w:p w14:paraId="68E97B9C" w14:textId="6E114347" w:rsidR="009E6657" w:rsidRPr="009E6657" w:rsidRDefault="009E6657" w:rsidP="00556CBB">
      <w:pPr>
        <w:spacing w:line="360" w:lineRule="auto"/>
        <w:jc w:val="center"/>
        <w:rPr>
          <w:rFonts w:ascii="Arial" w:hAnsi="Arial" w:cs="Arial"/>
          <w:sz w:val="22"/>
        </w:rPr>
      </w:pPr>
      <w:r w:rsidRPr="009E6657">
        <w:rPr>
          <w:rFonts w:ascii="Arial" w:hAnsi="Arial" w:cs="Arial"/>
          <w:noProof/>
          <w:sz w:val="22"/>
        </w:rPr>
        <w:lastRenderedPageBreak/>
        <w:drawing>
          <wp:inline distT="0" distB="0" distL="0" distR="0" wp14:anchorId="64620D0D" wp14:editId="3911770F">
            <wp:extent cx="4251960" cy="2499360"/>
            <wp:effectExtent l="0" t="0" r="0" b="0"/>
            <wp:docPr id="7" name="Picture 7" descr="Chart: South Korea's Successful Battle To Flatten The Curv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hart: South Korea's Successful Battle To Flatten The Curve | Statista"/>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4251960" cy="2499360"/>
                    </a:xfrm>
                    <a:prstGeom prst="rect">
                      <a:avLst/>
                    </a:prstGeom>
                    <a:noFill/>
                    <a:ln>
                      <a:noFill/>
                    </a:ln>
                    <a:extLst>
                      <a:ext uri="{53640926-AAD7-44D8-BBD7-CCE9431645EC}">
                        <a14:shadowObscured xmlns:a14="http://schemas.microsoft.com/office/drawing/2010/main"/>
                      </a:ext>
                    </a:extLst>
                  </pic:spPr>
                </pic:pic>
              </a:graphicData>
            </a:graphic>
          </wp:inline>
        </w:drawing>
      </w:r>
    </w:p>
    <w:p w14:paraId="3811D837" w14:textId="6C43EC5F" w:rsidR="009E6657" w:rsidRPr="009E6657" w:rsidRDefault="009E6657" w:rsidP="009E6657">
      <w:pPr>
        <w:spacing w:line="360" w:lineRule="auto"/>
        <w:jc w:val="both"/>
        <w:rPr>
          <w:rFonts w:ascii="Arial" w:hAnsi="Arial" w:cs="Arial"/>
          <w:sz w:val="22"/>
        </w:rPr>
      </w:pPr>
      <w:r w:rsidRPr="009E6657">
        <w:rPr>
          <w:rFonts w:ascii="Arial" w:hAnsi="Arial" w:cs="Arial"/>
          <w:sz w:val="22"/>
        </w:rPr>
        <w:t xml:space="preserve">Figure </w:t>
      </w:r>
      <w:r w:rsidR="00556CBB">
        <w:rPr>
          <w:rFonts w:ascii="Arial" w:hAnsi="Arial" w:cs="Arial"/>
          <w:sz w:val="22"/>
        </w:rPr>
        <w:t>2</w:t>
      </w:r>
      <w:r w:rsidRPr="009E6657">
        <w:rPr>
          <w:rFonts w:ascii="Arial" w:hAnsi="Arial" w:cs="Arial"/>
          <w:sz w:val="22"/>
        </w:rPr>
        <w:t>: Number of COVID Cases in South Korea (Source: McCarthy and Richter, 2020)</w:t>
      </w:r>
    </w:p>
    <w:p w14:paraId="27FD1B83" w14:textId="1FD3BA12" w:rsidR="009E6657" w:rsidRPr="009E6657" w:rsidRDefault="009E6657" w:rsidP="009E6657">
      <w:pPr>
        <w:spacing w:line="360" w:lineRule="auto"/>
        <w:jc w:val="both"/>
        <w:rPr>
          <w:rFonts w:ascii="Arial" w:hAnsi="Arial" w:cs="Arial"/>
          <w:sz w:val="22"/>
        </w:rPr>
      </w:pPr>
      <w:r w:rsidRPr="009E6657">
        <w:rPr>
          <w:rFonts w:ascii="Arial" w:eastAsia="Times New Roman" w:hAnsi="Arial" w:cs="Arial"/>
          <w:kern w:val="0"/>
          <w:sz w:val="22"/>
          <w:lang w:val="en-US"/>
          <w14:ligatures w14:val="none"/>
        </w:rPr>
        <w:t xml:space="preserve">Figure </w:t>
      </w:r>
      <w:r w:rsidR="00556CBB">
        <w:rPr>
          <w:rFonts w:ascii="Arial" w:eastAsia="Times New Roman" w:hAnsi="Arial" w:cs="Arial"/>
          <w:kern w:val="0"/>
          <w:sz w:val="22"/>
          <w:lang w:val="en-US"/>
          <w14:ligatures w14:val="none"/>
        </w:rPr>
        <w:t>2</w:t>
      </w:r>
      <w:r w:rsidRPr="009E6657">
        <w:rPr>
          <w:rFonts w:ascii="Arial" w:eastAsia="Times New Roman" w:hAnsi="Arial" w:cs="Arial"/>
          <w:kern w:val="0"/>
          <w:sz w:val="22"/>
          <w:lang w:val="en-US"/>
          <w14:ligatures w14:val="none"/>
        </w:rPr>
        <w:t xml:space="preserve"> shows Quick testing, tracing, and tight central coordination allowed South Korea to quickly flatten their COVID-19 curve, which had been climbing since the beginning of February but had </w:t>
      </w:r>
      <w:proofErr w:type="spellStart"/>
      <w:r w:rsidRPr="009E6657">
        <w:rPr>
          <w:rFonts w:ascii="Arial" w:eastAsia="Times New Roman" w:hAnsi="Arial" w:cs="Arial"/>
          <w:kern w:val="0"/>
          <w:sz w:val="22"/>
          <w:lang w:val="en-US"/>
          <w14:ligatures w14:val="none"/>
        </w:rPr>
        <w:t>stabilised</w:t>
      </w:r>
      <w:proofErr w:type="spellEnd"/>
      <w:r w:rsidRPr="009E6657">
        <w:rPr>
          <w:rFonts w:ascii="Arial" w:eastAsia="Times New Roman" w:hAnsi="Arial" w:cs="Arial"/>
          <w:kern w:val="0"/>
          <w:sz w:val="22"/>
          <w:lang w:val="en-US"/>
          <w14:ligatures w14:val="none"/>
        </w:rPr>
        <w:t xml:space="preserve"> by the middle of March (</w:t>
      </w:r>
      <w:r w:rsidRPr="009E6657">
        <w:rPr>
          <w:rFonts w:ascii="Arial" w:hAnsi="Arial" w:cs="Arial"/>
          <w:sz w:val="22"/>
        </w:rPr>
        <w:t>McCarthy and Richter, 2020)</w:t>
      </w:r>
      <w:r w:rsidRPr="009E6657">
        <w:rPr>
          <w:rFonts w:ascii="Arial" w:eastAsia="Times New Roman" w:hAnsi="Arial" w:cs="Arial"/>
          <w:kern w:val="0"/>
          <w:sz w:val="22"/>
          <w:lang w:val="en-US"/>
          <w14:ligatures w14:val="none"/>
        </w:rPr>
        <w:t>.</w:t>
      </w:r>
    </w:p>
    <w:p w14:paraId="373CF00E" w14:textId="4B872C2F" w:rsidR="00AD497C" w:rsidRPr="009E6657" w:rsidRDefault="00AD497C" w:rsidP="009E6657">
      <w:pPr>
        <w:spacing w:line="360" w:lineRule="auto"/>
        <w:jc w:val="both"/>
        <w:rPr>
          <w:rFonts w:ascii="Arial" w:hAnsi="Arial" w:cs="Arial"/>
          <w:sz w:val="22"/>
        </w:rPr>
      </w:pPr>
      <w:r w:rsidRPr="009E6657">
        <w:rPr>
          <w:rFonts w:ascii="Arial" w:hAnsi="Arial" w:cs="Arial"/>
          <w:sz w:val="22"/>
        </w:rPr>
        <w:t>Prime Minister Chung Sye-</w:t>
      </w:r>
      <w:proofErr w:type="spellStart"/>
      <w:r w:rsidRPr="009E6657">
        <w:rPr>
          <w:rFonts w:ascii="Arial" w:hAnsi="Arial" w:cs="Arial"/>
          <w:sz w:val="22"/>
        </w:rPr>
        <w:t>kyun</w:t>
      </w:r>
      <w:proofErr w:type="spellEnd"/>
      <w:r w:rsidRPr="009E6657">
        <w:rPr>
          <w:rFonts w:ascii="Arial" w:hAnsi="Arial" w:cs="Arial"/>
          <w:sz w:val="22"/>
        </w:rPr>
        <w:t xml:space="preserve"> and KDCA Director Jeong Eun-</w:t>
      </w:r>
      <w:proofErr w:type="spellStart"/>
      <w:r w:rsidRPr="009E6657">
        <w:rPr>
          <w:rFonts w:ascii="Arial" w:hAnsi="Arial" w:cs="Arial"/>
          <w:sz w:val="22"/>
        </w:rPr>
        <w:t>kyeong</w:t>
      </w:r>
      <w:proofErr w:type="spellEnd"/>
      <w:r w:rsidRPr="009E6657">
        <w:rPr>
          <w:rFonts w:ascii="Arial" w:hAnsi="Arial" w:cs="Arial"/>
          <w:sz w:val="22"/>
        </w:rPr>
        <w:t xml:space="preserve"> were the poles of leadership in the pandemic</w:t>
      </w:r>
      <w:r w:rsidR="00D84FA9" w:rsidRPr="009E6657">
        <w:rPr>
          <w:rFonts w:ascii="Arial" w:hAnsi="Arial" w:cs="Arial"/>
          <w:sz w:val="22"/>
        </w:rPr>
        <w:t>,</w:t>
      </w:r>
      <w:r w:rsidRPr="009E6657">
        <w:rPr>
          <w:rFonts w:ascii="Arial" w:hAnsi="Arial" w:cs="Arial"/>
          <w:sz w:val="22"/>
        </w:rPr>
        <w:t xml:space="preserve"> and their daily briefings were a strict but open communication policy. The government mobilised a Central Disaster and Safety Countermeasures Headquarters</w:t>
      </w:r>
      <w:r w:rsidR="00D84FA9" w:rsidRPr="009E6657">
        <w:rPr>
          <w:rFonts w:ascii="Arial" w:hAnsi="Arial" w:cs="Arial"/>
          <w:sz w:val="22"/>
        </w:rPr>
        <w:t>,</w:t>
      </w:r>
      <w:r w:rsidRPr="009E6657">
        <w:rPr>
          <w:rFonts w:ascii="Arial" w:hAnsi="Arial" w:cs="Arial"/>
          <w:sz w:val="22"/>
        </w:rPr>
        <w:t xml:space="preserve"> which brought together ministries, local governments and privately owned laboratories (Lee et al., 2022). This focused centralised command showed autocratic coordination- decisions were made at a fast rate and in a consistent manner</w:t>
      </w:r>
      <w:r w:rsidR="00D84FA9" w:rsidRPr="009E6657">
        <w:rPr>
          <w:rFonts w:ascii="Arial" w:hAnsi="Arial" w:cs="Arial"/>
          <w:sz w:val="22"/>
        </w:rPr>
        <w:t>;</w:t>
      </w:r>
      <w:r w:rsidRPr="009E6657">
        <w:rPr>
          <w:rFonts w:ascii="Arial" w:hAnsi="Arial" w:cs="Arial"/>
          <w:sz w:val="22"/>
        </w:rPr>
        <w:t xml:space="preserve"> however, the introduction of </w:t>
      </w:r>
      <w:r w:rsidR="00D84FA9" w:rsidRPr="009E6657">
        <w:rPr>
          <w:rFonts w:ascii="Arial" w:hAnsi="Arial" w:cs="Arial"/>
          <w:sz w:val="22"/>
        </w:rPr>
        <w:t xml:space="preserve">an </w:t>
      </w:r>
      <w:r w:rsidRPr="009E6657">
        <w:rPr>
          <w:rFonts w:ascii="Arial" w:hAnsi="Arial" w:cs="Arial"/>
          <w:sz w:val="22"/>
        </w:rPr>
        <w:t>expert panel and civic consultation showed participative flexibility. The citizens were being treated as partners but not subjects</w:t>
      </w:r>
      <w:r w:rsidR="00D84FA9" w:rsidRPr="009E6657">
        <w:rPr>
          <w:rFonts w:ascii="Arial" w:hAnsi="Arial" w:cs="Arial"/>
          <w:sz w:val="22"/>
        </w:rPr>
        <w:t>,</w:t>
      </w:r>
      <w:r w:rsidRPr="009E6657">
        <w:rPr>
          <w:rFonts w:ascii="Arial" w:hAnsi="Arial" w:cs="Arial"/>
          <w:sz w:val="22"/>
        </w:rPr>
        <w:t xml:space="preserve"> which is an example of the path-goal Theory, the participative path: the leaders minimised barriers by giving information, resources and moral framing (House, 1971).</w:t>
      </w:r>
    </w:p>
    <w:p w14:paraId="37D21045" w14:textId="51FC0163" w:rsidR="00AD497C" w:rsidRPr="009E6657" w:rsidRDefault="00AD497C" w:rsidP="009E6657">
      <w:pPr>
        <w:spacing w:line="360" w:lineRule="auto"/>
        <w:jc w:val="both"/>
        <w:rPr>
          <w:rFonts w:ascii="Arial" w:hAnsi="Arial" w:cs="Arial"/>
          <w:sz w:val="22"/>
        </w:rPr>
      </w:pPr>
      <w:r w:rsidRPr="009E6657">
        <w:rPr>
          <w:rFonts w:ascii="Arial" w:hAnsi="Arial" w:cs="Arial"/>
          <w:sz w:val="22"/>
        </w:rPr>
        <w:t>Concerning the Contingency Theory, the fit between hierarchical governance and crisis urgency in Korea increased the effect of leaders. Centralisation also enabled testing to be scaled rapidly (so-called 3T strategy: test, trace, treat) and decisive border controls (World Health Organi</w:t>
      </w:r>
      <w:r w:rsidR="00D84FA9" w:rsidRPr="009E6657">
        <w:rPr>
          <w:rFonts w:ascii="Arial" w:hAnsi="Arial" w:cs="Arial"/>
          <w:sz w:val="22"/>
        </w:rPr>
        <w:t>s</w:t>
      </w:r>
      <w:r w:rsidRPr="009E6657">
        <w:rPr>
          <w:rFonts w:ascii="Arial" w:hAnsi="Arial" w:cs="Arial"/>
          <w:sz w:val="22"/>
        </w:rPr>
        <w:t>ation, 2021). However, empathy and inclusion were the moderators of this style of command. The speeches of Chung often recognised the suffering of the citizens and prioritised the shared responsibility- features of transformational leadership (</w:t>
      </w:r>
      <w:proofErr w:type="spellStart"/>
      <w:r w:rsidRPr="009E6657">
        <w:rPr>
          <w:rFonts w:ascii="Arial" w:hAnsi="Arial" w:cs="Arial"/>
          <w:sz w:val="22"/>
        </w:rPr>
        <w:t>Alkailanee</w:t>
      </w:r>
      <w:proofErr w:type="spellEnd"/>
      <w:r w:rsidRPr="009E6657">
        <w:rPr>
          <w:rFonts w:ascii="Arial" w:hAnsi="Arial" w:cs="Arial"/>
          <w:sz w:val="22"/>
        </w:rPr>
        <w:t xml:space="preserve"> et al., 2024). Transparency was being institutionalised through the KDCA data dashboards and open press briefings, and through compliance with the lack of coercion.</w:t>
      </w:r>
    </w:p>
    <w:p w14:paraId="10C6EFFA" w14:textId="17CEA0A5" w:rsidR="00AD497C" w:rsidRPr="009E6657" w:rsidRDefault="00AD497C" w:rsidP="009E6657">
      <w:pPr>
        <w:spacing w:line="360" w:lineRule="auto"/>
        <w:jc w:val="both"/>
        <w:rPr>
          <w:rFonts w:ascii="Arial" w:hAnsi="Arial" w:cs="Arial"/>
          <w:sz w:val="22"/>
        </w:rPr>
      </w:pPr>
      <w:r w:rsidRPr="009E6657">
        <w:rPr>
          <w:rFonts w:ascii="Arial" w:hAnsi="Arial" w:cs="Arial"/>
          <w:sz w:val="22"/>
        </w:rPr>
        <w:lastRenderedPageBreak/>
        <w:t xml:space="preserve">Importantly, the success of Korea was also an indicator of trust in the society and technological prowess. Advanced information technology infrastructure has facilitated real-time epidemiological mapping, and the population has accepted intrusions into privacy temporarily in favour of the general safety (Kim, 2022). Data use was ethically supervised by </w:t>
      </w:r>
      <w:r w:rsidR="00D84FA9" w:rsidRPr="009E6657">
        <w:rPr>
          <w:rFonts w:ascii="Arial" w:hAnsi="Arial" w:cs="Arial"/>
          <w:sz w:val="22"/>
        </w:rPr>
        <w:t xml:space="preserve">the </w:t>
      </w:r>
      <w:r w:rsidRPr="009E6657">
        <w:rPr>
          <w:rFonts w:ascii="Arial" w:hAnsi="Arial" w:cs="Arial"/>
          <w:sz w:val="22"/>
        </w:rPr>
        <w:t xml:space="preserve">use of ethical oversight committees in line with centralised control and democratic accountability. Deaths were still among the lowest in the OECD (0.5% case-fatality rate in 2020), and no complete national lockdown had to take place (OECD, 2021). However, researchers observe that the continued use of surveillance and moral appeals was a risk </w:t>
      </w:r>
      <w:r w:rsidR="00D84FA9" w:rsidRPr="009E6657">
        <w:rPr>
          <w:rFonts w:ascii="Arial" w:hAnsi="Arial" w:cs="Arial"/>
          <w:sz w:val="22"/>
        </w:rPr>
        <w:t>of</w:t>
      </w:r>
      <w:r w:rsidRPr="009E6657">
        <w:rPr>
          <w:rFonts w:ascii="Arial" w:hAnsi="Arial" w:cs="Arial"/>
          <w:sz w:val="22"/>
        </w:rPr>
        <w:t xml:space="preserve"> triggering pandemic fatigue by the middle of 2021 (Kim and Park, 2022). The adaptive centralisation of leadership relied on recalibration that persisted continually, as infection waves settled down, with the adoption of restrictions and devolution of authority, which exemplifies adaptive centralisation.</w:t>
      </w:r>
    </w:p>
    <w:p w14:paraId="3AF0F32E" w14:textId="3A4F9233" w:rsidR="00AD497C" w:rsidRPr="009E6657" w:rsidRDefault="00AD497C" w:rsidP="009E6657">
      <w:pPr>
        <w:spacing w:line="360" w:lineRule="auto"/>
        <w:jc w:val="both"/>
        <w:rPr>
          <w:rFonts w:ascii="Arial" w:hAnsi="Arial" w:cs="Arial"/>
          <w:sz w:val="22"/>
        </w:rPr>
      </w:pPr>
      <w:r w:rsidRPr="009E6657">
        <w:rPr>
          <w:rFonts w:ascii="Arial" w:hAnsi="Arial" w:cs="Arial"/>
          <w:sz w:val="22"/>
        </w:rPr>
        <w:t>The government in South Korea was therefore a mixture of authoritarian effectiveness and participative legitimacy. The central command, which was given by the prime minister, acted as a guide</w:t>
      </w:r>
      <w:r w:rsidR="00D84FA9" w:rsidRPr="009E6657">
        <w:rPr>
          <w:rFonts w:ascii="Arial" w:hAnsi="Arial" w:cs="Arial"/>
          <w:sz w:val="22"/>
        </w:rPr>
        <w:t>,</w:t>
      </w:r>
      <w:r w:rsidRPr="009E6657">
        <w:rPr>
          <w:rFonts w:ascii="Arial" w:hAnsi="Arial" w:cs="Arial"/>
          <w:sz w:val="22"/>
        </w:rPr>
        <w:t xml:space="preserve"> whereas the science-based communication issued by the KDCA established trust among the institutions and citizens. Such interaction is an example of contingent leadership: structural centralisation proved to be successful as leaders were able to be flexible, empathetic and oriented to learning at the same time (Heifetz et al., 2009). With the changing situation, the process of decision-making turned out to be more decentralised; local mayors organised the community testing with the national funding, which confirmed that even hierarchical structures can be flexible with the help of adaptive, ethical leadership.</w:t>
      </w:r>
    </w:p>
    <w:p w14:paraId="48AE0FBD" w14:textId="0697E34F" w:rsidR="00AD497C" w:rsidRPr="009E6657" w:rsidRDefault="00AD497C" w:rsidP="009E6657">
      <w:pPr>
        <w:spacing w:line="360" w:lineRule="auto"/>
        <w:jc w:val="both"/>
        <w:rPr>
          <w:rFonts w:ascii="Arial" w:hAnsi="Arial" w:cs="Arial"/>
          <w:sz w:val="22"/>
        </w:rPr>
      </w:pPr>
      <w:r w:rsidRPr="009E6657">
        <w:rPr>
          <w:rFonts w:ascii="Arial" w:hAnsi="Arial" w:cs="Arial"/>
          <w:sz w:val="22"/>
        </w:rPr>
        <w:t>Altogether, the COVID-19 course of South Korea demonstrates that centralisation does not require strictness. The effectiveness in leadership was the result of the integration of command and transparency through participation. Autocratic clarity in the initial stage of crisis was the guarantee of rapid mobilisation; in the later stages, there was democratic consultation that guaranteed obedience and endorsement. The case confirms that in complicated health emergencies</w:t>
      </w:r>
      <w:r w:rsidR="00D84FA9" w:rsidRPr="009E6657">
        <w:rPr>
          <w:rFonts w:ascii="Arial" w:hAnsi="Arial" w:cs="Arial"/>
          <w:sz w:val="22"/>
        </w:rPr>
        <w:t>,</w:t>
      </w:r>
      <w:r w:rsidRPr="009E6657">
        <w:rPr>
          <w:rFonts w:ascii="Arial" w:hAnsi="Arial" w:cs="Arial"/>
          <w:sz w:val="22"/>
        </w:rPr>
        <w:t xml:space="preserve"> the strongest leadership is not on either end of the control spectrum but in the ongoing balance -authoritative in the direction and inclusive in deliberation. The experience of Korea highlights the fact that preparedness infrastructure</w:t>
      </w:r>
      <w:r w:rsidR="00D84FA9" w:rsidRPr="009E6657">
        <w:rPr>
          <w:rFonts w:ascii="Arial" w:hAnsi="Arial" w:cs="Arial"/>
          <w:sz w:val="22"/>
        </w:rPr>
        <w:t>,</w:t>
      </w:r>
      <w:r w:rsidRPr="009E6657">
        <w:rPr>
          <w:rFonts w:ascii="Arial" w:hAnsi="Arial" w:cs="Arial"/>
          <w:sz w:val="22"/>
        </w:rPr>
        <w:t xml:space="preserve"> combined with reflective and ethical leadership</w:t>
      </w:r>
      <w:r w:rsidR="00D84FA9" w:rsidRPr="009E6657">
        <w:rPr>
          <w:rFonts w:ascii="Arial" w:hAnsi="Arial" w:cs="Arial"/>
          <w:sz w:val="22"/>
        </w:rPr>
        <w:t>,</w:t>
      </w:r>
      <w:r w:rsidRPr="009E6657">
        <w:rPr>
          <w:rFonts w:ascii="Arial" w:hAnsi="Arial" w:cs="Arial"/>
          <w:sz w:val="22"/>
        </w:rPr>
        <w:t xml:space="preserve"> turns bureaucratic power into </w:t>
      </w:r>
      <w:r w:rsidR="00D84FA9" w:rsidRPr="009E6657">
        <w:rPr>
          <w:rFonts w:ascii="Arial" w:hAnsi="Arial" w:cs="Arial"/>
          <w:sz w:val="22"/>
        </w:rPr>
        <w:t xml:space="preserve">the </w:t>
      </w:r>
      <w:r w:rsidRPr="009E6657">
        <w:rPr>
          <w:rFonts w:ascii="Arial" w:hAnsi="Arial" w:cs="Arial"/>
          <w:sz w:val="22"/>
        </w:rPr>
        <w:t>agility of the system.</w:t>
      </w:r>
    </w:p>
    <w:p w14:paraId="589EB24E" w14:textId="77777777" w:rsidR="00AD497C" w:rsidRPr="009E6657" w:rsidRDefault="00AD497C" w:rsidP="009E6657">
      <w:pPr>
        <w:pStyle w:val="Heading2"/>
        <w:spacing w:line="360" w:lineRule="auto"/>
        <w:jc w:val="both"/>
        <w:rPr>
          <w:rFonts w:ascii="Arial" w:hAnsi="Arial" w:cs="Arial"/>
          <w:sz w:val="22"/>
          <w:szCs w:val="22"/>
        </w:rPr>
      </w:pPr>
      <w:bookmarkStart w:id="5" w:name="_Toc212743887"/>
      <w:r w:rsidRPr="009E6657">
        <w:rPr>
          <w:rFonts w:ascii="Arial" w:hAnsi="Arial" w:cs="Arial"/>
          <w:sz w:val="22"/>
          <w:szCs w:val="22"/>
        </w:rPr>
        <w:lastRenderedPageBreak/>
        <w:t>3.3 Canada: Hybrid Governance, Transformational Leadership and Federalism.</w:t>
      </w:r>
      <w:bookmarkEnd w:id="5"/>
    </w:p>
    <w:p w14:paraId="6BF56116" w14:textId="3F9A8200" w:rsidR="00B86AA4" w:rsidRPr="009E6657" w:rsidRDefault="00B86AA4" w:rsidP="00556CBB">
      <w:pPr>
        <w:spacing w:line="360" w:lineRule="auto"/>
        <w:jc w:val="center"/>
        <w:rPr>
          <w:rFonts w:ascii="Arial" w:hAnsi="Arial" w:cs="Arial"/>
          <w:sz w:val="22"/>
        </w:rPr>
      </w:pPr>
      <w:r w:rsidRPr="009E6657">
        <w:rPr>
          <w:rFonts w:ascii="Arial" w:hAnsi="Arial" w:cs="Arial"/>
          <w:noProof/>
          <w:sz w:val="22"/>
        </w:rPr>
        <w:drawing>
          <wp:inline distT="0" distB="0" distL="0" distR="0" wp14:anchorId="3C0C7A7C" wp14:editId="604A8A75">
            <wp:extent cx="3779520" cy="3009900"/>
            <wp:effectExtent l="0" t="0" r="0" b="0"/>
            <wp:docPr id="4" name="Picture 4" descr="CJPL Has regionalization of the Canadian health system contributed to  better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JPL Has regionalization of the Canadian health system contributed to  better healt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79520" cy="3009900"/>
                    </a:xfrm>
                    <a:prstGeom prst="rect">
                      <a:avLst/>
                    </a:prstGeom>
                    <a:noFill/>
                    <a:ln>
                      <a:noFill/>
                    </a:ln>
                  </pic:spPr>
                </pic:pic>
              </a:graphicData>
            </a:graphic>
          </wp:inline>
        </w:drawing>
      </w:r>
    </w:p>
    <w:p w14:paraId="257A2154" w14:textId="7257C0B1" w:rsidR="00B86AA4" w:rsidRPr="009E6657" w:rsidRDefault="00B86AA4" w:rsidP="00556CBB">
      <w:pPr>
        <w:spacing w:line="360" w:lineRule="auto"/>
        <w:jc w:val="center"/>
        <w:rPr>
          <w:rFonts w:ascii="Arial" w:hAnsi="Arial" w:cs="Arial"/>
          <w:sz w:val="22"/>
        </w:rPr>
      </w:pPr>
      <w:r w:rsidRPr="009E6657">
        <w:rPr>
          <w:rFonts w:ascii="Arial" w:hAnsi="Arial" w:cs="Arial"/>
          <w:sz w:val="22"/>
        </w:rPr>
        <w:t xml:space="preserve">Figure </w:t>
      </w:r>
      <w:r w:rsidR="00556CBB">
        <w:rPr>
          <w:rFonts w:ascii="Arial" w:hAnsi="Arial" w:cs="Arial"/>
          <w:sz w:val="22"/>
        </w:rPr>
        <w:t>3</w:t>
      </w:r>
      <w:r w:rsidRPr="009E6657">
        <w:rPr>
          <w:rFonts w:ascii="Arial" w:hAnsi="Arial" w:cs="Arial"/>
          <w:sz w:val="22"/>
        </w:rPr>
        <w:t xml:space="preserve">: Canada’s decentralised health-system governance structure (Source: Van </w:t>
      </w:r>
      <w:proofErr w:type="spellStart"/>
      <w:r w:rsidRPr="009E6657">
        <w:rPr>
          <w:rFonts w:ascii="Arial" w:hAnsi="Arial" w:cs="Arial"/>
          <w:sz w:val="22"/>
        </w:rPr>
        <w:t>Aerde</w:t>
      </w:r>
      <w:proofErr w:type="spellEnd"/>
      <w:r w:rsidRPr="009E6657">
        <w:rPr>
          <w:rFonts w:ascii="Arial" w:hAnsi="Arial" w:cs="Arial"/>
          <w:sz w:val="22"/>
        </w:rPr>
        <w:t>., 2024)</w:t>
      </w:r>
    </w:p>
    <w:p w14:paraId="7D309B0F" w14:textId="21BB8604" w:rsidR="00B86AA4" w:rsidRPr="009E6657" w:rsidRDefault="00B86AA4" w:rsidP="009E6657">
      <w:pPr>
        <w:spacing w:line="360" w:lineRule="auto"/>
        <w:jc w:val="both"/>
        <w:rPr>
          <w:rFonts w:ascii="Arial" w:hAnsi="Arial" w:cs="Arial"/>
          <w:b/>
          <w:bCs/>
          <w:sz w:val="22"/>
        </w:rPr>
      </w:pPr>
      <w:r w:rsidRPr="009E6657">
        <w:rPr>
          <w:rFonts w:ascii="Arial" w:eastAsia="Times New Roman" w:hAnsi="Arial" w:cs="Arial"/>
          <w:kern w:val="0"/>
          <w:sz w:val="22"/>
          <w:lang w:val="en-US"/>
          <w14:ligatures w14:val="none"/>
        </w:rPr>
        <w:t xml:space="preserve">In figure </w:t>
      </w:r>
      <w:r w:rsidR="00556CBB">
        <w:rPr>
          <w:rFonts w:ascii="Arial" w:eastAsia="Times New Roman" w:hAnsi="Arial" w:cs="Arial"/>
          <w:kern w:val="0"/>
          <w:sz w:val="22"/>
          <w:lang w:val="en-US"/>
          <w14:ligatures w14:val="none"/>
        </w:rPr>
        <w:t>3</w:t>
      </w:r>
      <w:r w:rsidRPr="009E6657">
        <w:rPr>
          <w:rFonts w:ascii="Arial" w:eastAsia="Times New Roman" w:hAnsi="Arial" w:cs="Arial"/>
          <w:kern w:val="0"/>
          <w:sz w:val="22"/>
          <w:lang w:val="en-US"/>
          <w14:ligatures w14:val="none"/>
        </w:rPr>
        <w:t>, t</w:t>
      </w:r>
      <w:r w:rsidRPr="00B86AA4">
        <w:rPr>
          <w:rFonts w:ascii="Arial" w:eastAsia="Times New Roman" w:hAnsi="Arial" w:cs="Arial"/>
          <w:kern w:val="0"/>
          <w:sz w:val="22"/>
          <w:lang w:val="en-US"/>
          <w14:ligatures w14:val="none"/>
        </w:rPr>
        <w:t xml:space="preserve">his infographic by Health Canada explains how healthcare duties are allocated throughout the federal government and the provincial/territorial governments, graphically stressing Canada’s </w:t>
      </w:r>
      <w:proofErr w:type="spellStart"/>
      <w:r w:rsidRPr="00B86AA4">
        <w:rPr>
          <w:rFonts w:ascii="Arial" w:eastAsia="Times New Roman" w:hAnsi="Arial" w:cs="Arial"/>
          <w:kern w:val="0"/>
          <w:sz w:val="22"/>
          <w:lang w:val="en-US"/>
          <w14:ligatures w14:val="none"/>
        </w:rPr>
        <w:t>decentralised</w:t>
      </w:r>
      <w:proofErr w:type="spellEnd"/>
      <w:r w:rsidRPr="00B86AA4">
        <w:rPr>
          <w:rFonts w:ascii="Arial" w:eastAsia="Times New Roman" w:hAnsi="Arial" w:cs="Arial"/>
          <w:kern w:val="0"/>
          <w:sz w:val="22"/>
          <w:lang w:val="en-US"/>
          <w14:ligatures w14:val="none"/>
        </w:rPr>
        <w:t xml:space="preserve"> health-system governance under the Canada Health Act</w:t>
      </w:r>
      <w:r w:rsidRPr="009E6657">
        <w:rPr>
          <w:rFonts w:ascii="Arial" w:eastAsia="Times New Roman" w:hAnsi="Arial" w:cs="Arial"/>
          <w:kern w:val="0"/>
          <w:sz w:val="22"/>
          <w:lang w:val="en-US"/>
          <w14:ligatures w14:val="none"/>
        </w:rPr>
        <w:t xml:space="preserve"> (</w:t>
      </w:r>
      <w:r w:rsidRPr="009E6657">
        <w:rPr>
          <w:rFonts w:ascii="Arial" w:hAnsi="Arial" w:cs="Arial"/>
          <w:sz w:val="22"/>
        </w:rPr>
        <w:t>Van Aerde., 2024)</w:t>
      </w:r>
      <w:r w:rsidRPr="00B86AA4">
        <w:rPr>
          <w:rFonts w:ascii="Arial" w:eastAsia="Times New Roman" w:hAnsi="Arial" w:cs="Arial"/>
          <w:kern w:val="0"/>
          <w:sz w:val="22"/>
          <w:lang w:val="en-US"/>
          <w14:ligatures w14:val="none"/>
        </w:rPr>
        <w:t>.</w:t>
      </w:r>
    </w:p>
    <w:p w14:paraId="5B2B42B6" w14:textId="4CFC96AE" w:rsidR="00AD497C" w:rsidRPr="009E6657" w:rsidRDefault="00B86AA4" w:rsidP="009E6657">
      <w:pPr>
        <w:spacing w:line="360" w:lineRule="auto"/>
        <w:jc w:val="both"/>
        <w:rPr>
          <w:rFonts w:ascii="Arial" w:hAnsi="Arial" w:cs="Arial"/>
          <w:sz w:val="22"/>
        </w:rPr>
      </w:pPr>
      <w:r w:rsidRPr="009E6657">
        <w:rPr>
          <w:rFonts w:ascii="Arial" w:hAnsi="Arial" w:cs="Arial"/>
          <w:sz w:val="22"/>
        </w:rPr>
        <w:t xml:space="preserve">The healthcare system in Canada is in a federal model, which has distributed its duties between the federal and provincial governments. </w:t>
      </w:r>
      <w:r w:rsidR="00AD497C" w:rsidRPr="009E6657">
        <w:rPr>
          <w:rFonts w:ascii="Arial" w:hAnsi="Arial" w:cs="Arial"/>
          <w:sz w:val="22"/>
        </w:rPr>
        <w:t xml:space="preserve">The Canada Health Act (1984) ensures universal coverage, but the provision and implementation of the policy </w:t>
      </w:r>
      <w:r w:rsidR="00D84FA9" w:rsidRPr="009E6657">
        <w:rPr>
          <w:rFonts w:ascii="Arial" w:hAnsi="Arial" w:cs="Arial"/>
          <w:sz w:val="22"/>
        </w:rPr>
        <w:t>are</w:t>
      </w:r>
      <w:r w:rsidR="00AD497C" w:rsidRPr="009E6657">
        <w:rPr>
          <w:rFonts w:ascii="Arial" w:hAnsi="Arial" w:cs="Arial"/>
          <w:sz w:val="22"/>
        </w:rPr>
        <w:t xml:space="preserve"> predominantly provincial (Marchildon, 2020). This hybrid model, where the federal government funds and the provincial ones, though not strictly, ha</w:t>
      </w:r>
      <w:r w:rsidR="00D84FA9" w:rsidRPr="009E6657">
        <w:rPr>
          <w:rFonts w:ascii="Arial" w:hAnsi="Arial" w:cs="Arial"/>
          <w:sz w:val="22"/>
        </w:rPr>
        <w:t>ve</w:t>
      </w:r>
      <w:r w:rsidR="00AD497C" w:rsidRPr="009E6657">
        <w:rPr>
          <w:rFonts w:ascii="Arial" w:hAnsi="Arial" w:cs="Arial"/>
          <w:sz w:val="22"/>
        </w:rPr>
        <w:t xml:space="preserve"> autonomy, facilitates flexibility, but tends to lead to inconsistencies in service capacity and data integration (Mac-</w:t>
      </w:r>
      <w:proofErr w:type="spellStart"/>
      <w:r w:rsidR="00AD497C" w:rsidRPr="009E6657">
        <w:rPr>
          <w:rFonts w:ascii="Arial" w:hAnsi="Arial" w:cs="Arial"/>
          <w:sz w:val="22"/>
        </w:rPr>
        <w:t>Seing</w:t>
      </w:r>
      <w:proofErr w:type="spellEnd"/>
      <w:r w:rsidR="00AD497C" w:rsidRPr="009E6657">
        <w:rPr>
          <w:rFonts w:ascii="Arial" w:hAnsi="Arial" w:cs="Arial"/>
          <w:sz w:val="22"/>
        </w:rPr>
        <w:t xml:space="preserve"> and Di Ruggiero, 2024). The PHAC and Health Canada provide national surveillance and coordination</w:t>
      </w:r>
      <w:r w:rsidR="00D84FA9" w:rsidRPr="009E6657">
        <w:rPr>
          <w:rFonts w:ascii="Arial" w:hAnsi="Arial" w:cs="Arial"/>
          <w:sz w:val="22"/>
        </w:rPr>
        <w:t>,</w:t>
      </w:r>
      <w:r w:rsidR="00AD497C" w:rsidRPr="009E6657">
        <w:rPr>
          <w:rFonts w:ascii="Arial" w:hAnsi="Arial" w:cs="Arial"/>
          <w:sz w:val="22"/>
        </w:rPr>
        <w:t xml:space="preserve"> and provinces take care of hospitals, testing and vaccination. This decentralisation of structure</w:t>
      </w:r>
      <w:r w:rsidR="00D84FA9" w:rsidRPr="009E6657">
        <w:rPr>
          <w:rFonts w:ascii="Arial" w:hAnsi="Arial" w:cs="Arial"/>
          <w:sz w:val="22"/>
        </w:rPr>
        <w:t>,</w:t>
      </w:r>
      <w:r w:rsidR="00AD497C" w:rsidRPr="009E6657">
        <w:rPr>
          <w:rFonts w:ascii="Arial" w:hAnsi="Arial" w:cs="Arial"/>
          <w:sz w:val="22"/>
        </w:rPr>
        <w:t xml:space="preserve"> combined with robust federal custodianship</w:t>
      </w:r>
      <w:r w:rsidR="00D84FA9" w:rsidRPr="009E6657">
        <w:rPr>
          <w:rFonts w:ascii="Arial" w:hAnsi="Arial" w:cs="Arial"/>
          <w:sz w:val="22"/>
        </w:rPr>
        <w:t>,</w:t>
      </w:r>
      <w:r w:rsidR="00AD497C" w:rsidRPr="009E6657">
        <w:rPr>
          <w:rFonts w:ascii="Arial" w:hAnsi="Arial" w:cs="Arial"/>
          <w:sz w:val="22"/>
        </w:rPr>
        <w:t xml:space="preserve"> made Canada a hybrid government system, which swung between centralised coordination and provincial autonomy (</w:t>
      </w:r>
      <w:proofErr w:type="spellStart"/>
      <w:r w:rsidR="00AD497C" w:rsidRPr="009E6657">
        <w:rPr>
          <w:rFonts w:ascii="Arial" w:hAnsi="Arial" w:cs="Arial"/>
          <w:sz w:val="22"/>
        </w:rPr>
        <w:t>Broschek</w:t>
      </w:r>
      <w:proofErr w:type="spellEnd"/>
      <w:r w:rsidR="00AD497C" w:rsidRPr="009E6657">
        <w:rPr>
          <w:rFonts w:ascii="Arial" w:hAnsi="Arial" w:cs="Arial"/>
          <w:sz w:val="22"/>
        </w:rPr>
        <w:t>, 2022).</w:t>
      </w:r>
    </w:p>
    <w:p w14:paraId="5A0EF910" w14:textId="15F03D83" w:rsidR="00AD497C" w:rsidRPr="009E6657" w:rsidRDefault="00AD497C" w:rsidP="009E6657">
      <w:pPr>
        <w:spacing w:line="360" w:lineRule="auto"/>
        <w:jc w:val="both"/>
        <w:rPr>
          <w:rFonts w:ascii="Arial" w:hAnsi="Arial" w:cs="Arial"/>
          <w:sz w:val="22"/>
        </w:rPr>
      </w:pPr>
      <w:r w:rsidRPr="009E6657">
        <w:rPr>
          <w:rFonts w:ascii="Arial" w:hAnsi="Arial" w:cs="Arial"/>
          <w:sz w:val="22"/>
        </w:rPr>
        <w:t xml:space="preserve">The COVID-19 crisis has brought the leadership of Prime Minister Justin Trudeau with his empathetic, communicative, and collaborative style, and the scientific authority of the Chief Public </w:t>
      </w:r>
      <w:r w:rsidRPr="009E6657">
        <w:rPr>
          <w:rFonts w:ascii="Arial" w:hAnsi="Arial" w:cs="Arial"/>
          <w:sz w:val="22"/>
        </w:rPr>
        <w:lastRenderedPageBreak/>
        <w:t>Health Officer</w:t>
      </w:r>
      <w:r w:rsidR="00D84FA9" w:rsidRPr="009E6657">
        <w:rPr>
          <w:rFonts w:ascii="Arial" w:hAnsi="Arial" w:cs="Arial"/>
          <w:sz w:val="22"/>
        </w:rPr>
        <w:t>,</w:t>
      </w:r>
      <w:r w:rsidRPr="009E6657">
        <w:rPr>
          <w:rFonts w:ascii="Arial" w:hAnsi="Arial" w:cs="Arial"/>
          <w:sz w:val="22"/>
        </w:rPr>
        <w:t xml:space="preserve"> Dr Theresa Tam. The first press conferences each day by Trudeau presented the crisis as an ethical problem of the nation as a whole - Team Canada - and exemplified openness and humility, which are two values of transformational leadership (Lowe et al., 2022). In line with the Path-Goal Theory, the federal government offered a sense of direction by offering the country or national guidance and fiscal incentives in addition to delegating the provinces to set context-bound strategies (House, 1971). This congruence of inspiration and independence enabled collaborative decision making, although </w:t>
      </w:r>
      <w:r w:rsidR="00D84FA9" w:rsidRPr="009E6657">
        <w:rPr>
          <w:rFonts w:ascii="Arial" w:hAnsi="Arial" w:cs="Arial"/>
          <w:sz w:val="22"/>
        </w:rPr>
        <w:t xml:space="preserve">an </w:t>
      </w:r>
      <w:r w:rsidRPr="009E6657">
        <w:rPr>
          <w:rFonts w:ascii="Arial" w:hAnsi="Arial" w:cs="Arial"/>
          <w:sz w:val="22"/>
        </w:rPr>
        <w:t>early coordination defect demonstrated structural strain.</w:t>
      </w:r>
    </w:p>
    <w:p w14:paraId="3DC775E4" w14:textId="40DB373F" w:rsidR="00AD497C" w:rsidRPr="009E6657" w:rsidRDefault="00AD497C" w:rsidP="009E6657">
      <w:pPr>
        <w:spacing w:line="360" w:lineRule="auto"/>
        <w:jc w:val="both"/>
        <w:rPr>
          <w:rFonts w:ascii="Arial" w:hAnsi="Arial" w:cs="Arial"/>
          <w:sz w:val="22"/>
        </w:rPr>
      </w:pPr>
      <w:r w:rsidRPr="009E6657">
        <w:rPr>
          <w:rFonts w:ascii="Arial" w:hAnsi="Arial" w:cs="Arial"/>
          <w:sz w:val="22"/>
        </w:rPr>
        <w:t>The leadership style of the federal government changed depending on the situation within the framework of the Contingency Theory (Fiedler, 1967). In early 2020</w:t>
      </w:r>
      <w:r w:rsidR="00D84FA9" w:rsidRPr="009E6657">
        <w:rPr>
          <w:rFonts w:ascii="Arial" w:hAnsi="Arial" w:cs="Arial"/>
          <w:sz w:val="22"/>
        </w:rPr>
        <w:t>,</w:t>
      </w:r>
      <w:r w:rsidRPr="009E6657">
        <w:rPr>
          <w:rFonts w:ascii="Arial" w:hAnsi="Arial" w:cs="Arial"/>
          <w:sz w:val="22"/>
        </w:rPr>
        <w:t xml:space="preserve"> when there was a high level of uncertainty, Ottawa became more directive by centralising communications and introducing border restrictions. With the enhancement of information clarity, leadership shifted to participative coordination, with the case of the Safe Restart Agreement (July 2020), </w:t>
      </w:r>
      <w:r w:rsidR="00D84FA9" w:rsidRPr="009E6657">
        <w:rPr>
          <w:rFonts w:ascii="Arial" w:hAnsi="Arial" w:cs="Arial"/>
          <w:sz w:val="22"/>
        </w:rPr>
        <w:t>which</w:t>
      </w:r>
      <w:r w:rsidRPr="009E6657">
        <w:rPr>
          <w:rFonts w:ascii="Arial" w:hAnsi="Arial" w:cs="Arial"/>
          <w:sz w:val="22"/>
        </w:rPr>
        <w:t xml:space="preserve"> directed </w:t>
      </w:r>
      <w:r w:rsidR="00D84FA9" w:rsidRPr="009E6657">
        <w:rPr>
          <w:rFonts w:ascii="Arial" w:eastAsia="Times New Roman" w:hAnsi="Arial" w:cs="Arial"/>
          <w:kern w:val="0"/>
          <w:sz w:val="22"/>
          <w:lang w:val="en-US"/>
          <w14:ligatures w14:val="none"/>
        </w:rPr>
        <w:t xml:space="preserve">C$19 </w:t>
      </w:r>
      <w:r w:rsidRPr="009E6657">
        <w:rPr>
          <w:rFonts w:ascii="Arial" w:hAnsi="Arial" w:cs="Arial"/>
          <w:sz w:val="22"/>
        </w:rPr>
        <w:t>billion to provinces to test, recover healthcare and the economy (Allin et al., 2022). Such a situational shift is a good response to situational leadership: it fits the decision style to complex situations.</w:t>
      </w:r>
    </w:p>
    <w:p w14:paraId="5F248891" w14:textId="34E33E3C" w:rsidR="00AD497C" w:rsidRPr="009E6657" w:rsidRDefault="00AD497C" w:rsidP="009E6657">
      <w:pPr>
        <w:spacing w:line="360" w:lineRule="auto"/>
        <w:jc w:val="both"/>
        <w:rPr>
          <w:rFonts w:ascii="Arial" w:hAnsi="Arial" w:cs="Arial"/>
          <w:sz w:val="22"/>
        </w:rPr>
      </w:pPr>
      <w:r w:rsidRPr="009E6657">
        <w:rPr>
          <w:rFonts w:ascii="Arial" w:hAnsi="Arial" w:cs="Arial"/>
          <w:sz w:val="22"/>
        </w:rPr>
        <w:t>Although these were realised, the decentralised system created grave points of weakness in Canada. Disjointed surveillance slowed down contact tracing, and long-term-care (LTC) facilities, falling under provincial jurisdiction, had disastrous results, leading to almost 80% of the first-wave deaths (Stall et al., 2020). Responsibility in leadership was spread</w:t>
      </w:r>
      <w:r w:rsidR="00D84FA9" w:rsidRPr="009E6657">
        <w:rPr>
          <w:rFonts w:ascii="Arial" w:hAnsi="Arial" w:cs="Arial"/>
          <w:sz w:val="22"/>
        </w:rPr>
        <w:t>,</w:t>
      </w:r>
      <w:r w:rsidRPr="009E6657">
        <w:rPr>
          <w:rFonts w:ascii="Arial" w:hAnsi="Arial" w:cs="Arial"/>
          <w:sz w:val="22"/>
        </w:rPr>
        <w:t xml:space="preserve"> and intermittent communication between the federal and provincial governments sometimes undermined citizens (Mac-</w:t>
      </w:r>
      <w:proofErr w:type="spellStart"/>
      <w:r w:rsidRPr="009E6657">
        <w:rPr>
          <w:rFonts w:ascii="Arial" w:hAnsi="Arial" w:cs="Arial"/>
          <w:sz w:val="22"/>
        </w:rPr>
        <w:t>Seing</w:t>
      </w:r>
      <w:proofErr w:type="spellEnd"/>
      <w:r w:rsidRPr="009E6657">
        <w:rPr>
          <w:rFonts w:ascii="Arial" w:hAnsi="Arial" w:cs="Arial"/>
          <w:sz w:val="22"/>
        </w:rPr>
        <w:t xml:space="preserve"> and Di Ruggiero, 2024). Nevertheless, joint federal-provincial vaccine logistics planning and open public dashboards (called collaborative corrective action) proved to be learning-centred leadership at the later stages (Greer et al., 2023). More than 80 per cent of Canadians were vaccinated (helping to coordinate the whole process and ensuring a high level of trust among citizens) by mid-2021 (OECD, 2022).</w:t>
      </w:r>
    </w:p>
    <w:p w14:paraId="17981D56" w14:textId="332ECA9E" w:rsidR="00AD497C" w:rsidRPr="009E6657" w:rsidRDefault="00AD497C" w:rsidP="009E6657">
      <w:pPr>
        <w:spacing w:line="360" w:lineRule="auto"/>
        <w:jc w:val="both"/>
        <w:rPr>
          <w:rFonts w:ascii="Arial" w:hAnsi="Arial" w:cs="Arial"/>
          <w:sz w:val="22"/>
        </w:rPr>
      </w:pPr>
      <w:r w:rsidRPr="009E6657">
        <w:rPr>
          <w:rFonts w:ascii="Arial" w:hAnsi="Arial" w:cs="Arial"/>
          <w:sz w:val="22"/>
        </w:rPr>
        <w:t>The leadership of Trudeau was emotional</w:t>
      </w:r>
      <w:r w:rsidR="00D84FA9" w:rsidRPr="009E6657">
        <w:rPr>
          <w:rFonts w:ascii="Arial" w:hAnsi="Arial" w:cs="Arial"/>
          <w:sz w:val="22"/>
        </w:rPr>
        <w:t>ly intelligent</w:t>
      </w:r>
      <w:r w:rsidRPr="009E6657">
        <w:rPr>
          <w:rFonts w:ascii="Arial" w:hAnsi="Arial" w:cs="Arial"/>
          <w:sz w:val="22"/>
        </w:rPr>
        <w:t xml:space="preserve"> and servant-leadership</w:t>
      </w:r>
      <w:r w:rsidR="00D84FA9" w:rsidRPr="009E6657">
        <w:rPr>
          <w:rFonts w:ascii="Arial" w:hAnsi="Arial" w:cs="Arial"/>
          <w:sz w:val="22"/>
        </w:rPr>
        <w:t>-</w:t>
      </w:r>
      <w:r w:rsidRPr="009E6657">
        <w:rPr>
          <w:rFonts w:ascii="Arial" w:hAnsi="Arial" w:cs="Arial"/>
          <w:sz w:val="22"/>
        </w:rPr>
        <w:t>based, which places empathy and psychological safety first. His appeal of compassion in his communication to the people was similar to th</w:t>
      </w:r>
      <w:r w:rsidR="00D84FA9" w:rsidRPr="009E6657">
        <w:rPr>
          <w:rFonts w:ascii="Arial" w:hAnsi="Arial" w:cs="Arial"/>
          <w:sz w:val="22"/>
        </w:rPr>
        <w:t>at</w:t>
      </w:r>
      <w:r w:rsidRPr="009E6657">
        <w:rPr>
          <w:rFonts w:ascii="Arial" w:hAnsi="Arial" w:cs="Arial"/>
          <w:sz w:val="22"/>
        </w:rPr>
        <w:t xml:space="preserve"> of South Korea</w:t>
      </w:r>
      <w:r w:rsidR="00D84FA9" w:rsidRPr="009E6657">
        <w:rPr>
          <w:rFonts w:ascii="Arial" w:hAnsi="Arial" w:cs="Arial"/>
          <w:sz w:val="22"/>
        </w:rPr>
        <w:t>'s</w:t>
      </w:r>
      <w:r w:rsidRPr="009E6657">
        <w:rPr>
          <w:rFonts w:ascii="Arial" w:hAnsi="Arial" w:cs="Arial"/>
          <w:sz w:val="22"/>
        </w:rPr>
        <w:t xml:space="preserve"> participative leadership, but tailored to </w:t>
      </w:r>
      <w:r w:rsidR="00D84FA9" w:rsidRPr="009E6657">
        <w:rPr>
          <w:rFonts w:ascii="Arial" w:hAnsi="Arial" w:cs="Arial"/>
          <w:sz w:val="22"/>
        </w:rPr>
        <w:t xml:space="preserve">the </w:t>
      </w:r>
      <w:r w:rsidRPr="009E6657">
        <w:rPr>
          <w:rFonts w:ascii="Arial" w:hAnsi="Arial" w:cs="Arial"/>
          <w:sz w:val="22"/>
        </w:rPr>
        <w:t>federal limitations of Canada. Involvement of scientific specialists and indigenous leaders in open discussions on national briefings was a manifestation of inclusiveness and social equity. Such characteristics fit the category of transformational and democratic leadership, in which power is based on credibility, cooperation and moral behaviour instead of power (</w:t>
      </w:r>
      <w:proofErr w:type="spellStart"/>
      <w:r w:rsidRPr="009E6657">
        <w:rPr>
          <w:rFonts w:ascii="Arial" w:hAnsi="Arial" w:cs="Arial"/>
          <w:sz w:val="22"/>
        </w:rPr>
        <w:t>Alkailanee</w:t>
      </w:r>
      <w:proofErr w:type="spellEnd"/>
      <w:r w:rsidRPr="009E6657">
        <w:rPr>
          <w:rFonts w:ascii="Arial" w:hAnsi="Arial" w:cs="Arial"/>
          <w:sz w:val="22"/>
        </w:rPr>
        <w:t xml:space="preserve"> et al., 2024).</w:t>
      </w:r>
    </w:p>
    <w:p w14:paraId="41AA2CFB" w14:textId="251FF0F5" w:rsidR="00AD497C" w:rsidRPr="009E6657" w:rsidRDefault="00AD497C" w:rsidP="009E6657">
      <w:pPr>
        <w:spacing w:line="360" w:lineRule="auto"/>
        <w:jc w:val="both"/>
        <w:rPr>
          <w:rFonts w:ascii="Arial" w:hAnsi="Arial" w:cs="Arial"/>
          <w:sz w:val="22"/>
        </w:rPr>
      </w:pPr>
      <w:r w:rsidRPr="009E6657">
        <w:rPr>
          <w:rFonts w:ascii="Arial" w:hAnsi="Arial" w:cs="Arial"/>
          <w:sz w:val="22"/>
        </w:rPr>
        <w:lastRenderedPageBreak/>
        <w:t xml:space="preserve">Most importantly, the use of consensus within the federal government delayed the response to </w:t>
      </w:r>
      <w:r w:rsidR="00D84FA9" w:rsidRPr="009E6657">
        <w:rPr>
          <w:rFonts w:ascii="Arial" w:hAnsi="Arial" w:cs="Arial"/>
          <w:sz w:val="22"/>
        </w:rPr>
        <w:t xml:space="preserve">the </w:t>
      </w:r>
      <w:r w:rsidRPr="009E6657">
        <w:rPr>
          <w:rFonts w:ascii="Arial" w:hAnsi="Arial" w:cs="Arial"/>
          <w:sz w:val="22"/>
        </w:rPr>
        <w:t>crisis at times. Although the creation of legitimacy was achieved in collaborative governance, it also resulted in lopsided provincial limitations and slow lockdown timings, particularly in Ontario and Quebec (Schnabel and Hegele, 2021). This conflict is an example of the trade-off of hybrid systems: decentralisation works to encourage adaptability, but at the expense of coherence. However, the culture of leadership in Canada allowed it to correct the course by consulting and learning between authorities, which proved the premise of the Contingency Theory that effectiveness is based on the ability to adjust to the situational factors, which are control variables (Fiedler, 1967).</w:t>
      </w:r>
    </w:p>
    <w:p w14:paraId="388C70A0" w14:textId="6AFFB6AD" w:rsidR="00AD497C" w:rsidRPr="009E6657" w:rsidRDefault="00AD497C" w:rsidP="009E6657">
      <w:pPr>
        <w:spacing w:line="360" w:lineRule="auto"/>
        <w:jc w:val="both"/>
        <w:rPr>
          <w:rFonts w:ascii="Arial" w:hAnsi="Arial" w:cs="Arial"/>
          <w:sz w:val="22"/>
        </w:rPr>
      </w:pPr>
      <w:r w:rsidRPr="009E6657">
        <w:rPr>
          <w:rFonts w:ascii="Arial" w:hAnsi="Arial" w:cs="Arial"/>
          <w:sz w:val="22"/>
        </w:rPr>
        <w:t>Altogether, the response to COVID-19 in Canada shows that hybrid governance and transformational leadership can provide resilience based on collaboration, even in the condition of fragmentation. The compassionate but well-organised communication by Trudeau resulted in unity among the provinces, and technical credibility provided by Dr Tam. The dynamic interaction of Contingency and Path-Goal theories describes the ways in which the Canadian leadership manage to combine directive leadership and empowerment in response to changing uncertainty. Though fragmented in the early years, the capacity of Canada to transfer common purpose into concerted action emphasises that trust-based, inclusive leadership, which is based on sympathy, cooperation, and evidence</w:t>
      </w:r>
      <w:r w:rsidR="00D84FA9" w:rsidRPr="009E6657">
        <w:rPr>
          <w:rFonts w:ascii="Arial" w:hAnsi="Arial" w:cs="Arial"/>
          <w:sz w:val="22"/>
        </w:rPr>
        <w:t>,</w:t>
      </w:r>
      <w:r w:rsidRPr="009E6657">
        <w:rPr>
          <w:rFonts w:ascii="Arial" w:hAnsi="Arial" w:cs="Arial"/>
          <w:sz w:val="22"/>
        </w:rPr>
        <w:t xml:space="preserve"> is the foundation of proper crisis governance in multi-level federal governments.</w:t>
      </w:r>
    </w:p>
    <w:p w14:paraId="7EC982FD" w14:textId="059F7373" w:rsidR="00AD497C" w:rsidRPr="009E6657" w:rsidRDefault="00AD497C" w:rsidP="009E6657">
      <w:pPr>
        <w:pStyle w:val="Heading1"/>
        <w:numPr>
          <w:ilvl w:val="0"/>
          <w:numId w:val="2"/>
        </w:numPr>
        <w:spacing w:line="360" w:lineRule="auto"/>
        <w:jc w:val="both"/>
        <w:rPr>
          <w:rFonts w:ascii="Arial" w:hAnsi="Arial" w:cs="Arial"/>
          <w:sz w:val="22"/>
          <w:szCs w:val="22"/>
        </w:rPr>
      </w:pPr>
      <w:bookmarkStart w:id="6" w:name="_Toc212743888"/>
      <w:r w:rsidRPr="009E6657">
        <w:rPr>
          <w:rFonts w:ascii="Arial" w:hAnsi="Arial" w:cs="Arial"/>
          <w:sz w:val="22"/>
          <w:szCs w:val="22"/>
        </w:rPr>
        <w:t>Comparative Discussion: Leadership, Governance and Balance of Power.</w:t>
      </w:r>
      <w:bookmarkEnd w:id="6"/>
    </w:p>
    <w:p w14:paraId="13B30E16" w14:textId="6F0FEB81" w:rsidR="00AD497C" w:rsidRPr="009E6657" w:rsidRDefault="00AD497C" w:rsidP="009E6657">
      <w:pPr>
        <w:spacing w:line="360" w:lineRule="auto"/>
        <w:jc w:val="both"/>
        <w:rPr>
          <w:rFonts w:ascii="Arial" w:hAnsi="Arial" w:cs="Arial"/>
          <w:sz w:val="22"/>
        </w:rPr>
      </w:pPr>
      <w:r w:rsidRPr="009E6657">
        <w:rPr>
          <w:rFonts w:ascii="Arial" w:hAnsi="Arial" w:cs="Arial"/>
          <w:sz w:val="22"/>
        </w:rPr>
        <w:t>The COVID-19 pandemic served as a stress test of the institutions, governance, and leadership. On the example of Spain, South Korea, and Canada, it can be noted that structural centralisation or decentralisation was not a</w:t>
      </w:r>
      <w:r w:rsidR="00D84FA9" w:rsidRPr="009E6657">
        <w:rPr>
          <w:rFonts w:ascii="Arial" w:hAnsi="Arial" w:cs="Arial"/>
          <w:sz w:val="22"/>
        </w:rPr>
        <w:t>n</w:t>
      </w:r>
      <w:r w:rsidRPr="009E6657">
        <w:rPr>
          <w:rFonts w:ascii="Arial" w:hAnsi="Arial" w:cs="Arial"/>
          <w:sz w:val="22"/>
        </w:rPr>
        <w:t xml:space="preserve"> adequate factor of success, and instead effectiveness relied on how leaders used their power in those systems, which matched behaviour with contextual demands (Greer et al., 2021; Boin and 't Hart, 2022). The interactions between the leadership style, the design of governance and the communication legitimacy outlined outcomes of the three countries.</w:t>
      </w:r>
    </w:p>
    <w:p w14:paraId="5730244D" w14:textId="1EE3B9DC" w:rsidR="00AD497C" w:rsidRPr="009E6657" w:rsidRDefault="00AD497C" w:rsidP="009E6657">
      <w:pPr>
        <w:pStyle w:val="Heading2"/>
        <w:numPr>
          <w:ilvl w:val="1"/>
          <w:numId w:val="2"/>
        </w:numPr>
        <w:spacing w:line="360" w:lineRule="auto"/>
        <w:jc w:val="both"/>
        <w:rPr>
          <w:rFonts w:ascii="Arial" w:hAnsi="Arial" w:cs="Arial"/>
          <w:sz w:val="22"/>
          <w:szCs w:val="22"/>
        </w:rPr>
      </w:pPr>
      <w:bookmarkStart w:id="7" w:name="_Toc212743889"/>
      <w:r w:rsidRPr="009E6657">
        <w:rPr>
          <w:rFonts w:ascii="Arial" w:hAnsi="Arial" w:cs="Arial"/>
          <w:sz w:val="22"/>
          <w:szCs w:val="22"/>
        </w:rPr>
        <w:t>Spain: Hybrid Government and Adaptive Democratic Leadership.</w:t>
      </w:r>
      <w:bookmarkEnd w:id="7"/>
    </w:p>
    <w:p w14:paraId="6CED94A8" w14:textId="77777777" w:rsidR="00AD497C" w:rsidRPr="009E6657" w:rsidRDefault="00AD497C" w:rsidP="009E6657">
      <w:pPr>
        <w:spacing w:line="360" w:lineRule="auto"/>
        <w:jc w:val="both"/>
        <w:rPr>
          <w:rFonts w:ascii="Arial" w:hAnsi="Arial" w:cs="Arial"/>
          <w:sz w:val="22"/>
        </w:rPr>
      </w:pPr>
      <w:r w:rsidRPr="009E6657">
        <w:rPr>
          <w:rFonts w:ascii="Arial" w:hAnsi="Arial" w:cs="Arial"/>
          <w:sz w:val="22"/>
        </w:rPr>
        <w:t xml:space="preserve">The Sistema Nacional de Salud is a model of a hybrid system of governance in Spain, which combines the centralised financing with autonomy at the regional level. Leadership also fluctuated between the extremes of the Tannenbaum and Schmidt continuum over the period of the crisis: At times of crisis, centralised command was used, where the emergency powers were in effect, but as the situation became stabilised, the focus shifted to collaborative coordination. The initial </w:t>
      </w:r>
      <w:r w:rsidRPr="009E6657">
        <w:rPr>
          <w:rFonts w:ascii="Arial" w:hAnsi="Arial" w:cs="Arial"/>
          <w:sz w:val="22"/>
        </w:rPr>
        <w:lastRenderedPageBreak/>
        <w:t>use of autocratic decrees in the state of alarm enhanced the national uniformity yet created tension with local administrations (Royo, 2020). As the number of deaths increased and compliance decreased, the leadership of Salvador Illa shifted to participative adaptation, which coordinated his leadership through the Inter-Territorial Health Council.</w:t>
      </w:r>
    </w:p>
    <w:p w14:paraId="716CE671" w14:textId="52F27B0F" w:rsidR="00AD497C" w:rsidRPr="009E6657" w:rsidRDefault="00AD497C" w:rsidP="009E6657">
      <w:pPr>
        <w:spacing w:line="360" w:lineRule="auto"/>
        <w:jc w:val="both"/>
        <w:rPr>
          <w:rFonts w:ascii="Arial" w:hAnsi="Arial" w:cs="Arial"/>
          <w:sz w:val="22"/>
        </w:rPr>
      </w:pPr>
      <w:r w:rsidRPr="009E6657">
        <w:rPr>
          <w:rFonts w:ascii="Arial" w:hAnsi="Arial" w:cs="Arial"/>
          <w:sz w:val="22"/>
        </w:rPr>
        <w:t>This trend proves the application of Contingency Theory: the effectiveness of the leadership style relie</w:t>
      </w:r>
      <w:r w:rsidR="00D84FA9" w:rsidRPr="009E6657">
        <w:rPr>
          <w:rFonts w:ascii="Arial" w:hAnsi="Arial" w:cs="Arial"/>
          <w:sz w:val="22"/>
        </w:rPr>
        <w:t>s</w:t>
      </w:r>
      <w:r w:rsidRPr="009E6657">
        <w:rPr>
          <w:rFonts w:ascii="Arial" w:hAnsi="Arial" w:cs="Arial"/>
          <w:sz w:val="22"/>
        </w:rPr>
        <w:t xml:space="preserve"> on the control in the environment and uncertainty (Fiedler, 1967). Directive control fitted the highly stressful environment in the acute stage of the pandemic; it became better when the situation stabilised and a more democratic and supportive strategy was employed. Due to the Path-Goal perspective, the leadership of Illa has changed between a directive path - establishment of clear goals and limitations - and a supportive path - inspiring obedience by means of empathy and inclusion of others (House, 1971). Nonetheless, credibility was lost due to early mixed messaging and under-testing (Fuentes Lara, Moreno Fernandez and Navarro, 2020). The Spanish experience, therefore, point</w:t>
      </w:r>
      <w:r w:rsidR="00D84FA9" w:rsidRPr="009E6657">
        <w:rPr>
          <w:rFonts w:ascii="Arial" w:hAnsi="Arial" w:cs="Arial"/>
          <w:sz w:val="22"/>
        </w:rPr>
        <w:t>s</w:t>
      </w:r>
      <w:r w:rsidRPr="009E6657">
        <w:rPr>
          <w:rFonts w:ascii="Arial" w:hAnsi="Arial" w:cs="Arial"/>
          <w:sz w:val="22"/>
        </w:rPr>
        <w:t xml:space="preserve"> to the opportunities but also to the dangers of hybrid systems: they make adapt</w:t>
      </w:r>
      <w:r w:rsidR="00D84FA9" w:rsidRPr="009E6657">
        <w:rPr>
          <w:rFonts w:ascii="Arial" w:hAnsi="Arial" w:cs="Arial"/>
          <w:sz w:val="22"/>
        </w:rPr>
        <w:t>ation</w:t>
      </w:r>
      <w:r w:rsidRPr="009E6657">
        <w:rPr>
          <w:rFonts w:ascii="Arial" w:hAnsi="Arial" w:cs="Arial"/>
          <w:sz w:val="22"/>
        </w:rPr>
        <w:t xml:space="preserve"> simpler, but accountability may be blurred in </w:t>
      </w:r>
      <w:r w:rsidR="00D84FA9" w:rsidRPr="009E6657">
        <w:rPr>
          <w:rFonts w:ascii="Arial" w:hAnsi="Arial" w:cs="Arial"/>
          <w:sz w:val="22"/>
        </w:rPr>
        <w:t xml:space="preserve">the </w:t>
      </w:r>
      <w:r w:rsidRPr="009E6657">
        <w:rPr>
          <w:rFonts w:ascii="Arial" w:hAnsi="Arial" w:cs="Arial"/>
          <w:sz w:val="22"/>
        </w:rPr>
        <w:t>case of a lack of good communication and intergovernmental trust.</w:t>
      </w:r>
    </w:p>
    <w:p w14:paraId="79D16F2A" w14:textId="3ED63861" w:rsidR="00AD497C" w:rsidRPr="009E6657" w:rsidRDefault="00AD497C" w:rsidP="009E6657">
      <w:pPr>
        <w:pStyle w:val="Heading2"/>
        <w:numPr>
          <w:ilvl w:val="1"/>
          <w:numId w:val="2"/>
        </w:numPr>
        <w:spacing w:line="360" w:lineRule="auto"/>
        <w:jc w:val="both"/>
        <w:rPr>
          <w:rFonts w:ascii="Arial" w:hAnsi="Arial" w:cs="Arial"/>
          <w:sz w:val="22"/>
          <w:szCs w:val="22"/>
        </w:rPr>
      </w:pPr>
      <w:bookmarkStart w:id="8" w:name="_Toc212743890"/>
      <w:r w:rsidRPr="009E6657">
        <w:rPr>
          <w:rFonts w:ascii="Arial" w:hAnsi="Arial" w:cs="Arial"/>
          <w:sz w:val="22"/>
          <w:szCs w:val="22"/>
        </w:rPr>
        <w:t>South Korea: Authoritarian System, Consultative Implementation.</w:t>
      </w:r>
      <w:bookmarkEnd w:id="8"/>
    </w:p>
    <w:p w14:paraId="72A290AC" w14:textId="3B67E0B7" w:rsidR="00AD497C" w:rsidRPr="009E6657" w:rsidRDefault="00AD497C" w:rsidP="009E6657">
      <w:pPr>
        <w:spacing w:line="360" w:lineRule="auto"/>
        <w:jc w:val="both"/>
        <w:rPr>
          <w:rFonts w:ascii="Arial" w:hAnsi="Arial" w:cs="Arial"/>
          <w:sz w:val="22"/>
        </w:rPr>
      </w:pPr>
      <w:r w:rsidRPr="009E6657">
        <w:rPr>
          <w:rFonts w:ascii="Arial" w:hAnsi="Arial" w:cs="Arial"/>
          <w:sz w:val="22"/>
        </w:rPr>
        <w:t>South Korea was a state with a very centralised and participative system of governance. The Korea Disease Control and Prevention Agency (KDCA) also had unified command, which helped to make decisions quickly and provide uniform national messaging (You, 2020). An example of an autocratic-participative leadership paradigm is Prime Minister Chung Sye-</w:t>
      </w:r>
      <w:proofErr w:type="spellStart"/>
      <w:r w:rsidRPr="009E6657">
        <w:rPr>
          <w:rFonts w:ascii="Arial" w:hAnsi="Arial" w:cs="Arial"/>
          <w:sz w:val="22"/>
        </w:rPr>
        <w:t>kyun</w:t>
      </w:r>
      <w:proofErr w:type="spellEnd"/>
      <w:r w:rsidR="00D84FA9" w:rsidRPr="009E6657">
        <w:rPr>
          <w:rFonts w:ascii="Arial" w:hAnsi="Arial" w:cs="Arial"/>
          <w:sz w:val="22"/>
        </w:rPr>
        <w:t>,</w:t>
      </w:r>
      <w:r w:rsidRPr="009E6657">
        <w:rPr>
          <w:rFonts w:ascii="Arial" w:hAnsi="Arial" w:cs="Arial"/>
          <w:sz w:val="22"/>
        </w:rPr>
        <w:t xml:space="preserve"> who was strict in his directive coordination but open and willing to listen to expert and citizen advice (Lee et al., 2022).</w:t>
      </w:r>
    </w:p>
    <w:p w14:paraId="6194FE68" w14:textId="68104954" w:rsidR="00AD497C" w:rsidRPr="009E6657" w:rsidRDefault="00AD497C" w:rsidP="009E6657">
      <w:pPr>
        <w:spacing w:line="360" w:lineRule="auto"/>
        <w:jc w:val="both"/>
        <w:rPr>
          <w:rFonts w:ascii="Arial" w:hAnsi="Arial" w:cs="Arial"/>
          <w:sz w:val="22"/>
        </w:rPr>
      </w:pPr>
      <w:r w:rsidRPr="009E6657">
        <w:rPr>
          <w:rFonts w:ascii="Arial" w:hAnsi="Arial" w:cs="Arial"/>
          <w:sz w:val="22"/>
        </w:rPr>
        <w:t>This was an expression of the achievement-oriented and participative paths through the prism of Path-Goal Theory</w:t>
      </w:r>
      <w:r w:rsidR="00D84FA9" w:rsidRPr="009E6657">
        <w:rPr>
          <w:rFonts w:ascii="Arial" w:hAnsi="Arial" w:cs="Arial"/>
          <w:sz w:val="22"/>
        </w:rPr>
        <w:t>;</w:t>
      </w:r>
      <w:r w:rsidRPr="009E6657">
        <w:rPr>
          <w:rFonts w:ascii="Arial" w:hAnsi="Arial" w:cs="Arial"/>
          <w:sz w:val="22"/>
        </w:rPr>
        <w:t xml:space="preserve"> leadership removed the barriers in the process, and local institutions were empowered due to the exchange of information. Citizens were not forced but rather they were obedient by trust and common responsibility. Another explanation of this success is provided by the Contingency Theory, where the already existing emergency legislation and digital infrastructure in Korea constituted a "high control" setting in which directive leadership would be effective under a situation (Wang, Marquez and Hwang, 2024). However, the risks of authoritarianism were reduced through ethical governance and open communication (Kim, 2022).</w:t>
      </w:r>
    </w:p>
    <w:p w14:paraId="2BF0D996" w14:textId="5538A668" w:rsidR="00AD497C" w:rsidRPr="009E6657" w:rsidRDefault="00AD497C" w:rsidP="009E6657">
      <w:pPr>
        <w:spacing w:line="360" w:lineRule="auto"/>
        <w:jc w:val="both"/>
        <w:rPr>
          <w:rFonts w:ascii="Arial" w:hAnsi="Arial" w:cs="Arial"/>
          <w:sz w:val="22"/>
        </w:rPr>
      </w:pPr>
      <w:r w:rsidRPr="009E6657">
        <w:rPr>
          <w:rFonts w:ascii="Arial" w:hAnsi="Arial" w:cs="Arial"/>
          <w:sz w:val="22"/>
        </w:rPr>
        <w:t>More importantly, the high centralisation in Korea helped the country achieve speed and coherence</w:t>
      </w:r>
      <w:r w:rsidR="00D84FA9" w:rsidRPr="009E6657">
        <w:rPr>
          <w:rFonts w:ascii="Arial" w:hAnsi="Arial" w:cs="Arial"/>
          <w:sz w:val="22"/>
        </w:rPr>
        <w:t>,</w:t>
      </w:r>
      <w:r w:rsidRPr="009E6657">
        <w:rPr>
          <w:rFonts w:ascii="Arial" w:hAnsi="Arial" w:cs="Arial"/>
          <w:sz w:val="22"/>
        </w:rPr>
        <w:t xml:space="preserve"> but this meant that constant recalibration was needed to remain legitimate. The </w:t>
      </w:r>
      <w:r w:rsidRPr="009E6657">
        <w:rPr>
          <w:rFonts w:ascii="Arial" w:hAnsi="Arial" w:cs="Arial"/>
          <w:sz w:val="22"/>
        </w:rPr>
        <w:lastRenderedPageBreak/>
        <w:t>tensions between efficiency and civil liberty were t</w:t>
      </w:r>
      <w:r w:rsidR="00D84FA9" w:rsidRPr="009E6657">
        <w:rPr>
          <w:rFonts w:ascii="Arial" w:hAnsi="Arial" w:cs="Arial"/>
          <w:sz w:val="22"/>
        </w:rPr>
        <w:t>est</w:t>
      </w:r>
      <w:r w:rsidRPr="009E6657">
        <w:rPr>
          <w:rFonts w:ascii="Arial" w:hAnsi="Arial" w:cs="Arial"/>
          <w:sz w:val="22"/>
        </w:rPr>
        <w:t>ed in 2021 due to privacy issues and fatigue. However, the fact that the mortality rate and the trust of the population remain low does prove that centralisation combined with participative transparency may allow legitimacy to be obtained without the loss of speed.</w:t>
      </w:r>
    </w:p>
    <w:p w14:paraId="51D8285B" w14:textId="70B6DB67" w:rsidR="00AD497C" w:rsidRPr="009E6657" w:rsidRDefault="00AD497C" w:rsidP="009E6657">
      <w:pPr>
        <w:pStyle w:val="Heading2"/>
        <w:numPr>
          <w:ilvl w:val="1"/>
          <w:numId w:val="2"/>
        </w:numPr>
        <w:spacing w:line="360" w:lineRule="auto"/>
        <w:jc w:val="both"/>
        <w:rPr>
          <w:rFonts w:ascii="Arial" w:hAnsi="Arial" w:cs="Arial"/>
          <w:sz w:val="22"/>
          <w:szCs w:val="22"/>
        </w:rPr>
      </w:pPr>
      <w:bookmarkStart w:id="9" w:name="_Toc212743891"/>
      <w:r w:rsidRPr="009E6657">
        <w:rPr>
          <w:rFonts w:ascii="Arial" w:hAnsi="Arial" w:cs="Arial"/>
          <w:sz w:val="22"/>
          <w:szCs w:val="22"/>
        </w:rPr>
        <w:t xml:space="preserve">Canada: Federalism and Cooperation Transformation through </w:t>
      </w:r>
      <w:r w:rsidR="00D84FA9" w:rsidRPr="009E6657">
        <w:rPr>
          <w:rFonts w:ascii="Arial" w:hAnsi="Arial" w:cs="Arial"/>
          <w:sz w:val="22"/>
          <w:szCs w:val="22"/>
        </w:rPr>
        <w:t>D</w:t>
      </w:r>
      <w:r w:rsidRPr="009E6657">
        <w:rPr>
          <w:rFonts w:ascii="Arial" w:hAnsi="Arial" w:cs="Arial"/>
          <w:sz w:val="22"/>
          <w:szCs w:val="22"/>
        </w:rPr>
        <w:t>ecentralisation.</w:t>
      </w:r>
      <w:bookmarkEnd w:id="9"/>
    </w:p>
    <w:p w14:paraId="6C91153B" w14:textId="454B73CB" w:rsidR="00AD497C" w:rsidRPr="009E6657" w:rsidRDefault="00AD497C" w:rsidP="009E6657">
      <w:pPr>
        <w:spacing w:line="360" w:lineRule="auto"/>
        <w:jc w:val="both"/>
        <w:rPr>
          <w:rFonts w:ascii="Arial" w:hAnsi="Arial" w:cs="Arial"/>
          <w:sz w:val="22"/>
        </w:rPr>
      </w:pPr>
      <w:r w:rsidRPr="009E6657">
        <w:rPr>
          <w:rFonts w:ascii="Arial" w:hAnsi="Arial" w:cs="Arial"/>
          <w:sz w:val="22"/>
        </w:rPr>
        <w:t>The Canadian system of decentralised service delivery led by the federal system of control is a hybrid form of federalism that exemplifies leadership within the context of weak control. The democratic- transformational leadership of Justin Trudeau was based on compassion, persuasion, and intergovernmental negotiation (Lowe et al., 2022). This participative style in the context of Contingency Theory was appropriate in the low control situation within Canadian federalism</w:t>
      </w:r>
      <w:r w:rsidR="00D84FA9" w:rsidRPr="009E6657">
        <w:rPr>
          <w:rFonts w:ascii="Arial" w:hAnsi="Arial" w:cs="Arial"/>
          <w:sz w:val="22"/>
        </w:rPr>
        <w:t>,</w:t>
      </w:r>
      <w:r w:rsidRPr="009E6657">
        <w:rPr>
          <w:rFonts w:ascii="Arial" w:hAnsi="Arial" w:cs="Arial"/>
          <w:sz w:val="22"/>
        </w:rPr>
        <w:t xml:space="preserve"> where it was impossible to be directly commanding. His message supported cohesiveness by using collective terminology (Team Canada) and decentralising control over operations to the provincial level.</w:t>
      </w:r>
    </w:p>
    <w:p w14:paraId="3FDC429B" w14:textId="4E6EB17A" w:rsidR="00AD497C" w:rsidRPr="009E6657" w:rsidRDefault="00AD497C" w:rsidP="009E6657">
      <w:pPr>
        <w:spacing w:line="360" w:lineRule="auto"/>
        <w:jc w:val="both"/>
        <w:rPr>
          <w:rFonts w:ascii="Arial" w:hAnsi="Arial" w:cs="Arial"/>
          <w:sz w:val="22"/>
        </w:rPr>
      </w:pPr>
      <w:r w:rsidRPr="009E6657">
        <w:rPr>
          <w:rFonts w:ascii="Arial" w:hAnsi="Arial" w:cs="Arial"/>
          <w:sz w:val="22"/>
        </w:rPr>
        <w:t>According to the Path-Goal perspective, Trudeau followed a supportive-participative approach, i.e. explaining the national course of action, giving financial benefits, and allowing provincial freedom in executing the strategy (House, 1971). This emotional and ethical leadership cultivated trust</w:t>
      </w:r>
      <w:r w:rsidR="00D84FA9" w:rsidRPr="009E6657">
        <w:rPr>
          <w:rFonts w:ascii="Arial" w:hAnsi="Arial" w:cs="Arial"/>
          <w:sz w:val="22"/>
        </w:rPr>
        <w:t>,</w:t>
      </w:r>
      <w:r w:rsidRPr="009E6657">
        <w:rPr>
          <w:rFonts w:ascii="Arial" w:hAnsi="Arial" w:cs="Arial"/>
          <w:sz w:val="22"/>
        </w:rPr>
        <w:t xml:space="preserve"> but at times lagged in action; the asymmetry of lockdowns in the provinces revealed the coordination problem of the decentralised systems (</w:t>
      </w:r>
      <w:proofErr w:type="spellStart"/>
      <w:r w:rsidRPr="009E6657">
        <w:rPr>
          <w:rFonts w:ascii="Arial" w:hAnsi="Arial" w:cs="Arial"/>
          <w:sz w:val="22"/>
        </w:rPr>
        <w:t>Broschek</w:t>
      </w:r>
      <w:proofErr w:type="spellEnd"/>
      <w:r w:rsidRPr="009E6657">
        <w:rPr>
          <w:rFonts w:ascii="Arial" w:hAnsi="Arial" w:cs="Arial"/>
          <w:sz w:val="22"/>
        </w:rPr>
        <w:t>, 2022). However, the subsequent concordance of the vaccine policy by the Safe Restart Framework showed adaptive learning and relational leadership (Allin et al., 2022). The case of Canada, therefore, indicates that structural fragmentation may be overcome by transformational communication</w:t>
      </w:r>
      <w:r w:rsidR="00D84FA9" w:rsidRPr="009E6657">
        <w:rPr>
          <w:rFonts w:ascii="Arial" w:hAnsi="Arial" w:cs="Arial"/>
          <w:sz w:val="22"/>
        </w:rPr>
        <w:t>,</w:t>
      </w:r>
      <w:r w:rsidRPr="009E6657">
        <w:rPr>
          <w:rFonts w:ascii="Arial" w:hAnsi="Arial" w:cs="Arial"/>
          <w:sz w:val="22"/>
        </w:rPr>
        <w:t xml:space="preserve"> which may make the federal diversity into a common strength.</w:t>
      </w:r>
    </w:p>
    <w:p w14:paraId="58520D0F" w14:textId="04DBCC98" w:rsidR="00AD497C" w:rsidRPr="009E6657" w:rsidRDefault="00AD497C" w:rsidP="009E6657">
      <w:pPr>
        <w:pStyle w:val="Heading2"/>
        <w:numPr>
          <w:ilvl w:val="1"/>
          <w:numId w:val="2"/>
        </w:numPr>
        <w:spacing w:line="360" w:lineRule="auto"/>
        <w:jc w:val="both"/>
        <w:rPr>
          <w:rFonts w:ascii="Arial" w:hAnsi="Arial" w:cs="Arial"/>
          <w:sz w:val="22"/>
          <w:szCs w:val="22"/>
        </w:rPr>
      </w:pPr>
      <w:bookmarkStart w:id="10" w:name="_Toc212743892"/>
      <w:r w:rsidRPr="009E6657">
        <w:rPr>
          <w:rFonts w:ascii="Arial" w:hAnsi="Arial" w:cs="Arial"/>
          <w:sz w:val="22"/>
          <w:szCs w:val="22"/>
        </w:rPr>
        <w:t>Cross Case Synthesis: Dynamics of power and leadership.</w:t>
      </w:r>
      <w:bookmarkEnd w:id="10"/>
    </w:p>
    <w:p w14:paraId="5ECBD74F" w14:textId="11A0A676" w:rsidR="00AD497C" w:rsidRPr="009E6657" w:rsidRDefault="00AD497C" w:rsidP="009E6657">
      <w:pPr>
        <w:spacing w:line="360" w:lineRule="auto"/>
        <w:jc w:val="both"/>
        <w:rPr>
          <w:rFonts w:ascii="Arial" w:hAnsi="Arial" w:cs="Arial"/>
          <w:sz w:val="22"/>
        </w:rPr>
      </w:pPr>
      <w:r w:rsidRPr="009E6657">
        <w:rPr>
          <w:rFonts w:ascii="Arial" w:hAnsi="Arial" w:cs="Arial"/>
          <w:sz w:val="22"/>
        </w:rPr>
        <w:t>In all three situations, agility in leadership, i.e. the capacity to switch between control and collaboration, became decisive. The hybrid system in Spain required a balancing between command and negotiation, South Korea institutionalised central control but decentralised participation</w:t>
      </w:r>
      <w:r w:rsidR="00D84FA9" w:rsidRPr="009E6657">
        <w:rPr>
          <w:rFonts w:ascii="Arial" w:hAnsi="Arial" w:cs="Arial"/>
          <w:sz w:val="22"/>
        </w:rPr>
        <w:t>,</w:t>
      </w:r>
      <w:r w:rsidRPr="009E6657">
        <w:rPr>
          <w:rFonts w:ascii="Arial" w:hAnsi="Arial" w:cs="Arial"/>
          <w:sz w:val="22"/>
        </w:rPr>
        <w:t xml:space="preserve"> and Canada relied on persuasion to integrate autonomous provincialism. Greer et al. (</w:t>
      </w:r>
      <w:proofErr w:type="gramStart"/>
      <w:r w:rsidRPr="009E6657">
        <w:rPr>
          <w:rFonts w:ascii="Arial" w:hAnsi="Arial" w:cs="Arial"/>
          <w:sz w:val="22"/>
        </w:rPr>
        <w:t>2023</w:t>
      </w:r>
      <w:r w:rsidR="00D84FA9" w:rsidRPr="009E6657">
        <w:rPr>
          <w:rFonts w:ascii="Arial" w:hAnsi="Arial" w:cs="Arial"/>
          <w:sz w:val="22"/>
        </w:rPr>
        <w:t xml:space="preserve"> )</w:t>
      </w:r>
      <w:proofErr w:type="gramEnd"/>
      <w:r w:rsidR="00D84FA9" w:rsidRPr="009E6657">
        <w:rPr>
          <w:rFonts w:ascii="Arial" w:hAnsi="Arial" w:cs="Arial"/>
          <w:sz w:val="22"/>
        </w:rPr>
        <w:t>'s</w:t>
      </w:r>
      <w:r w:rsidRPr="009E6657">
        <w:rPr>
          <w:rFonts w:ascii="Arial" w:hAnsi="Arial" w:cs="Arial"/>
          <w:sz w:val="22"/>
        </w:rPr>
        <w:t xml:space="preserve"> idea of adaptive centralisation, which is a transient concentration of power to achieve coherence and, consequently, devolution to sustainability, is backed by the comparative insight.</w:t>
      </w:r>
    </w:p>
    <w:p w14:paraId="4D0FC9E4" w14:textId="5B1EACD2" w:rsidR="00AD497C" w:rsidRPr="009E6657" w:rsidRDefault="00AD497C" w:rsidP="009E6657">
      <w:pPr>
        <w:spacing w:line="360" w:lineRule="auto"/>
        <w:jc w:val="both"/>
        <w:rPr>
          <w:rFonts w:ascii="Arial" w:hAnsi="Arial" w:cs="Arial"/>
          <w:sz w:val="22"/>
        </w:rPr>
      </w:pPr>
      <w:r w:rsidRPr="009E6657">
        <w:rPr>
          <w:rFonts w:ascii="Arial" w:hAnsi="Arial" w:cs="Arial"/>
          <w:sz w:val="22"/>
        </w:rPr>
        <w:t xml:space="preserve">Public trust was also identified by the balance of governance-leadership. </w:t>
      </w:r>
      <w:r w:rsidR="00D84FA9" w:rsidRPr="009E6657">
        <w:rPr>
          <w:rFonts w:ascii="Arial" w:hAnsi="Arial" w:cs="Arial"/>
          <w:sz w:val="22"/>
        </w:rPr>
        <w:t xml:space="preserve">In </w:t>
      </w:r>
      <w:r w:rsidRPr="009E6657">
        <w:rPr>
          <w:rFonts w:ascii="Arial" w:hAnsi="Arial" w:cs="Arial"/>
          <w:sz w:val="22"/>
        </w:rPr>
        <w:t xml:space="preserve">Spain, the wavering of communication had weakened confidence, which was subsequently regained by transparency. Constant communication established credibility in Korea. In Canada, bureaucratic complexity was </w:t>
      </w:r>
      <w:r w:rsidRPr="009E6657">
        <w:rPr>
          <w:rFonts w:ascii="Arial" w:hAnsi="Arial" w:cs="Arial"/>
          <w:sz w:val="22"/>
        </w:rPr>
        <w:lastRenderedPageBreak/>
        <w:t>also filled in by emotional intelligence, which strengthened legitimacy based on authenticity and not on authority (Boin and t Hart, 2022). Therefore, trust was actually the real currency of control: the leaders who presented the decisions as based on shared values obtained voluntary compliance even when the structure was different.</w:t>
      </w:r>
    </w:p>
    <w:p w14:paraId="71C101A6" w14:textId="1CCE2434" w:rsidR="00AD497C" w:rsidRPr="009E6657" w:rsidRDefault="00AD497C" w:rsidP="009E6657">
      <w:pPr>
        <w:spacing w:line="360" w:lineRule="auto"/>
        <w:jc w:val="both"/>
        <w:rPr>
          <w:rFonts w:ascii="Arial" w:hAnsi="Arial" w:cs="Arial"/>
          <w:sz w:val="22"/>
        </w:rPr>
      </w:pPr>
      <w:r w:rsidRPr="009E6657">
        <w:rPr>
          <w:rFonts w:ascii="Arial" w:hAnsi="Arial" w:cs="Arial"/>
          <w:sz w:val="22"/>
        </w:rPr>
        <w:t>Theoretically, Contingency Theory can be used to explain why countries vary: every leader ha</w:t>
      </w:r>
      <w:r w:rsidR="00D84FA9" w:rsidRPr="009E6657">
        <w:rPr>
          <w:rFonts w:ascii="Arial" w:hAnsi="Arial" w:cs="Arial"/>
          <w:sz w:val="22"/>
        </w:rPr>
        <w:t>s</w:t>
      </w:r>
      <w:r w:rsidRPr="009E6657">
        <w:rPr>
          <w:rFonts w:ascii="Arial" w:hAnsi="Arial" w:cs="Arial"/>
          <w:sz w:val="22"/>
        </w:rPr>
        <w:t xml:space="preserve"> a style that </w:t>
      </w:r>
      <w:r w:rsidR="00D84FA9" w:rsidRPr="009E6657">
        <w:rPr>
          <w:rFonts w:ascii="Arial" w:hAnsi="Arial" w:cs="Arial"/>
          <w:sz w:val="22"/>
        </w:rPr>
        <w:t>i</w:t>
      </w:r>
      <w:r w:rsidRPr="009E6657">
        <w:rPr>
          <w:rFonts w:ascii="Arial" w:hAnsi="Arial" w:cs="Arial"/>
          <w:sz w:val="22"/>
        </w:rPr>
        <w:t>s suitable to the level of situational control. Directive coordination favoured high-control environments (Korea); adaptive negotiation, moderate-control systems (Spain); and transformational consensus building, low-control federalism (Canada). On the same note, Path-Goal Theory elucidates the methods used by the leaders to elicit compliance, that is, directive clarity in Korea, participative inclusion in Spain and supportive empathy in Canada.</w:t>
      </w:r>
    </w:p>
    <w:p w14:paraId="146924A2" w14:textId="507FC121" w:rsidR="00AD497C" w:rsidRPr="009E6657" w:rsidRDefault="00AD497C" w:rsidP="009E6657">
      <w:pPr>
        <w:pStyle w:val="Heading2"/>
        <w:numPr>
          <w:ilvl w:val="1"/>
          <w:numId w:val="2"/>
        </w:numPr>
        <w:spacing w:line="360" w:lineRule="auto"/>
        <w:jc w:val="both"/>
        <w:rPr>
          <w:rFonts w:ascii="Arial" w:hAnsi="Arial" w:cs="Arial"/>
          <w:sz w:val="22"/>
          <w:szCs w:val="22"/>
        </w:rPr>
      </w:pPr>
      <w:bookmarkStart w:id="11" w:name="_Toc212743893"/>
      <w:r w:rsidRPr="009E6657">
        <w:rPr>
          <w:rFonts w:ascii="Arial" w:hAnsi="Arial" w:cs="Arial"/>
          <w:sz w:val="22"/>
          <w:szCs w:val="22"/>
        </w:rPr>
        <w:t>Critical Reflection: Hybrid Resilience and Systemic Learning.</w:t>
      </w:r>
      <w:bookmarkEnd w:id="11"/>
    </w:p>
    <w:p w14:paraId="20AF20E9" w14:textId="26027995" w:rsidR="00AD497C" w:rsidRPr="009E6657" w:rsidRDefault="00AD497C" w:rsidP="009E6657">
      <w:pPr>
        <w:spacing w:line="360" w:lineRule="auto"/>
        <w:jc w:val="both"/>
        <w:rPr>
          <w:rFonts w:ascii="Arial" w:hAnsi="Arial" w:cs="Arial"/>
          <w:sz w:val="22"/>
        </w:rPr>
      </w:pPr>
      <w:r w:rsidRPr="009E6657">
        <w:rPr>
          <w:rFonts w:ascii="Arial" w:hAnsi="Arial" w:cs="Arial"/>
          <w:sz w:val="22"/>
        </w:rPr>
        <w:t>The comparative evidence indicates that hybrid governance, which is a form of centralised authority and devolved cooperation, is the most resilient in cris</w:t>
      </w:r>
      <w:r w:rsidR="00D84FA9" w:rsidRPr="009E6657">
        <w:rPr>
          <w:rFonts w:ascii="Arial" w:hAnsi="Arial" w:cs="Arial"/>
          <w:sz w:val="22"/>
        </w:rPr>
        <w:t>e</w:t>
      </w:r>
      <w:r w:rsidRPr="009E6657">
        <w:rPr>
          <w:rFonts w:ascii="Arial" w:hAnsi="Arial" w:cs="Arial"/>
          <w:sz w:val="22"/>
        </w:rPr>
        <w:t>s characterised by complexity. The successful experience of Spain in vaccination, the continued success of Korea in containment, and the experience of recovering based on trust in Canada are all examples of hybridisation at work. Nonetheless, these models require the maturity in leadership: the skills to be both fast and accountable, knowledgeable and sensitive, authoritative and consultative.</w:t>
      </w:r>
    </w:p>
    <w:p w14:paraId="798E5E1D" w14:textId="1EABBB46" w:rsidR="00AD497C" w:rsidRPr="009E6657" w:rsidRDefault="00AD497C" w:rsidP="009E6657">
      <w:pPr>
        <w:spacing w:line="360" w:lineRule="auto"/>
        <w:jc w:val="both"/>
        <w:rPr>
          <w:rFonts w:ascii="Arial" w:hAnsi="Arial" w:cs="Arial"/>
          <w:sz w:val="22"/>
        </w:rPr>
      </w:pPr>
      <w:r w:rsidRPr="009E6657">
        <w:rPr>
          <w:rFonts w:ascii="Arial" w:hAnsi="Arial" w:cs="Arial"/>
          <w:sz w:val="22"/>
        </w:rPr>
        <w:t>The pandemic brought to the fore the failure of strict hierarchies, as well as disorganised decentralisation, in the face of uncertainty. In its place, resilient systems are characterised by organisational learning, in which leaders utilise feedback, reflection and decision-loops to adjust strategy via feedback (OECD, 2022; WHO, 2021). The aspect of structural implementation of these practi</w:t>
      </w:r>
      <w:r w:rsidR="00D84FA9" w:rsidRPr="009E6657">
        <w:rPr>
          <w:rFonts w:ascii="Arial" w:hAnsi="Arial" w:cs="Arial"/>
          <w:sz w:val="22"/>
        </w:rPr>
        <w:t>c</w:t>
      </w:r>
      <w:r w:rsidRPr="009E6657">
        <w:rPr>
          <w:rFonts w:ascii="Arial" w:hAnsi="Arial" w:cs="Arial"/>
          <w:sz w:val="22"/>
        </w:rPr>
        <w:t>es through intergovernmental councils, open data systems and leadership-coaching structures should therefore be incorporated in post-crisis governance to maintain preparedness.</w:t>
      </w:r>
    </w:p>
    <w:p w14:paraId="65BD65B6" w14:textId="29E6B00D" w:rsidR="00AD497C" w:rsidRPr="009E6657" w:rsidRDefault="00AD497C" w:rsidP="009E6657">
      <w:pPr>
        <w:spacing w:line="360" w:lineRule="auto"/>
        <w:jc w:val="both"/>
        <w:rPr>
          <w:rFonts w:ascii="Arial" w:hAnsi="Arial" w:cs="Arial"/>
          <w:sz w:val="22"/>
        </w:rPr>
      </w:pPr>
      <w:r w:rsidRPr="009E6657">
        <w:rPr>
          <w:rFonts w:ascii="Arial" w:hAnsi="Arial" w:cs="Arial"/>
          <w:sz w:val="22"/>
        </w:rPr>
        <w:t>In the end, a comparison of Spain, South Korea and Canada depicts that good leadership is not positional, but relational. Crisis performance did not come out of formal power but out of the ability of the leaders to convert power into trust. Regardless of the mode of operation</w:t>
      </w:r>
      <w:r w:rsidR="00D84FA9" w:rsidRPr="009E6657">
        <w:rPr>
          <w:rFonts w:ascii="Arial" w:hAnsi="Arial" w:cs="Arial"/>
          <w:sz w:val="22"/>
        </w:rPr>
        <w:t>,</w:t>
      </w:r>
      <w:r w:rsidRPr="009E6657">
        <w:rPr>
          <w:rFonts w:ascii="Arial" w:hAnsi="Arial" w:cs="Arial"/>
          <w:sz w:val="22"/>
        </w:rPr>
        <w:t xml:space="preserve"> be it in a hybrid, a centralised or a decentralised environment, empathetic, transparent and adaptive reasoned individuals proved to be most effective. The balance of power</w:t>
      </w:r>
      <w:r w:rsidR="00D84FA9" w:rsidRPr="009E6657">
        <w:rPr>
          <w:rFonts w:ascii="Arial" w:hAnsi="Arial" w:cs="Arial"/>
          <w:sz w:val="22"/>
        </w:rPr>
        <w:t>,</w:t>
      </w:r>
      <w:r w:rsidRPr="009E6657">
        <w:rPr>
          <w:rFonts w:ascii="Arial" w:hAnsi="Arial" w:cs="Arial"/>
          <w:sz w:val="22"/>
        </w:rPr>
        <w:t xml:space="preserve"> hence</w:t>
      </w:r>
      <w:r w:rsidR="00D84FA9" w:rsidRPr="009E6657">
        <w:rPr>
          <w:rFonts w:ascii="Arial" w:hAnsi="Arial" w:cs="Arial"/>
          <w:sz w:val="22"/>
        </w:rPr>
        <w:t>,</w:t>
      </w:r>
      <w:r w:rsidRPr="009E6657">
        <w:rPr>
          <w:rFonts w:ascii="Arial" w:hAnsi="Arial" w:cs="Arial"/>
          <w:sz w:val="22"/>
        </w:rPr>
        <w:t xml:space="preserve"> does not question the issue of where authority is, but how the authority is exercised.</w:t>
      </w:r>
    </w:p>
    <w:p w14:paraId="2DF3D59A" w14:textId="0F292331" w:rsidR="00AD497C" w:rsidRPr="009E6657" w:rsidRDefault="00AD497C" w:rsidP="009E6657">
      <w:pPr>
        <w:pStyle w:val="Heading1"/>
        <w:spacing w:line="360" w:lineRule="auto"/>
        <w:jc w:val="both"/>
        <w:rPr>
          <w:rFonts w:ascii="Arial" w:hAnsi="Arial" w:cs="Arial"/>
          <w:sz w:val="22"/>
          <w:szCs w:val="22"/>
        </w:rPr>
      </w:pPr>
      <w:bookmarkStart w:id="12" w:name="_Toc212743894"/>
      <w:r w:rsidRPr="009E6657">
        <w:rPr>
          <w:rFonts w:ascii="Arial" w:hAnsi="Arial" w:cs="Arial"/>
          <w:sz w:val="22"/>
          <w:szCs w:val="22"/>
        </w:rPr>
        <w:t>5</w:t>
      </w:r>
      <w:r w:rsidR="00EE4BE7" w:rsidRPr="009E6657">
        <w:rPr>
          <w:rFonts w:ascii="Arial" w:hAnsi="Arial" w:cs="Arial"/>
          <w:sz w:val="22"/>
          <w:szCs w:val="22"/>
        </w:rPr>
        <w:t>.</w:t>
      </w:r>
      <w:r w:rsidRPr="009E6657">
        <w:rPr>
          <w:rFonts w:ascii="Arial" w:hAnsi="Arial" w:cs="Arial"/>
          <w:sz w:val="22"/>
          <w:szCs w:val="22"/>
        </w:rPr>
        <w:t xml:space="preserve"> Leadership Coaching and Lessons Learned.</w:t>
      </w:r>
      <w:bookmarkEnd w:id="12"/>
    </w:p>
    <w:p w14:paraId="7E5650A7" w14:textId="358F36C6" w:rsidR="00AD497C" w:rsidRPr="009E6657" w:rsidRDefault="00AD497C" w:rsidP="009E6657">
      <w:pPr>
        <w:spacing w:line="360" w:lineRule="auto"/>
        <w:jc w:val="both"/>
        <w:rPr>
          <w:rFonts w:ascii="Arial" w:hAnsi="Arial" w:cs="Arial"/>
          <w:sz w:val="22"/>
        </w:rPr>
      </w:pPr>
      <w:r w:rsidRPr="009E6657">
        <w:rPr>
          <w:rFonts w:ascii="Arial" w:hAnsi="Arial" w:cs="Arial"/>
          <w:sz w:val="22"/>
        </w:rPr>
        <w:t xml:space="preserve">The comparative examples of Spain, South Korea and Canada demonstrate that the effectiveness of crisis leadership does not always rely on structural competence, but also on the personal and </w:t>
      </w:r>
      <w:r w:rsidRPr="009E6657">
        <w:rPr>
          <w:rFonts w:ascii="Arial" w:hAnsi="Arial" w:cs="Arial"/>
          <w:sz w:val="22"/>
        </w:rPr>
        <w:lastRenderedPageBreak/>
        <w:t>relationship competencies of the leaders. Good leaders were emphatic, flexible, transparent, and reflective learners</w:t>
      </w:r>
      <w:r w:rsidR="00D84FA9" w:rsidRPr="009E6657">
        <w:rPr>
          <w:rFonts w:ascii="Arial" w:hAnsi="Arial" w:cs="Arial"/>
          <w:sz w:val="22"/>
        </w:rPr>
        <w:t>,</w:t>
      </w:r>
      <w:r w:rsidRPr="009E6657">
        <w:rPr>
          <w:rFonts w:ascii="Arial" w:hAnsi="Arial" w:cs="Arial"/>
          <w:sz w:val="22"/>
        </w:rPr>
        <w:t xml:space="preserve"> all of which were nurtured by leadership coaching and designed professional growth. Health system-based coaching is a reflective health system practi</w:t>
      </w:r>
      <w:r w:rsidR="00D84FA9" w:rsidRPr="009E6657">
        <w:rPr>
          <w:rFonts w:ascii="Arial" w:hAnsi="Arial" w:cs="Arial"/>
          <w:sz w:val="22"/>
        </w:rPr>
        <w:t>c</w:t>
      </w:r>
      <w:r w:rsidRPr="009E6657">
        <w:rPr>
          <w:rFonts w:ascii="Arial" w:hAnsi="Arial" w:cs="Arial"/>
          <w:sz w:val="22"/>
        </w:rPr>
        <w:t xml:space="preserve">e that helps leaders to challenge assumptions, reduce stress, and ensure values align with </w:t>
      </w:r>
      <w:r w:rsidR="00D84FA9" w:rsidRPr="009E6657">
        <w:rPr>
          <w:rFonts w:ascii="Arial" w:hAnsi="Arial" w:cs="Arial"/>
          <w:sz w:val="22"/>
        </w:rPr>
        <w:t xml:space="preserve">the </w:t>
      </w:r>
      <w:r w:rsidRPr="009E6657">
        <w:rPr>
          <w:rFonts w:ascii="Arial" w:hAnsi="Arial" w:cs="Arial"/>
          <w:sz w:val="22"/>
        </w:rPr>
        <w:t>group</w:t>
      </w:r>
      <w:r w:rsidR="00D84FA9" w:rsidRPr="009E6657">
        <w:rPr>
          <w:rFonts w:ascii="Arial" w:hAnsi="Arial" w:cs="Arial"/>
          <w:sz w:val="22"/>
        </w:rPr>
        <w:t>'s</w:t>
      </w:r>
      <w:r w:rsidRPr="009E6657">
        <w:rPr>
          <w:rFonts w:ascii="Arial" w:hAnsi="Arial" w:cs="Arial"/>
          <w:sz w:val="22"/>
        </w:rPr>
        <w:t xml:space="preserve"> mission (Hu et al., 2024).</w:t>
      </w:r>
    </w:p>
    <w:p w14:paraId="50612375" w14:textId="262005E7" w:rsidR="00AD497C" w:rsidRPr="009E6657" w:rsidRDefault="00AD497C" w:rsidP="009E6657">
      <w:pPr>
        <w:spacing w:line="360" w:lineRule="auto"/>
        <w:jc w:val="both"/>
        <w:rPr>
          <w:rFonts w:ascii="Arial" w:hAnsi="Arial" w:cs="Arial"/>
          <w:sz w:val="22"/>
        </w:rPr>
      </w:pPr>
      <w:r w:rsidRPr="009E6657">
        <w:rPr>
          <w:rFonts w:ascii="Arial" w:hAnsi="Arial" w:cs="Arial"/>
          <w:sz w:val="22"/>
        </w:rPr>
        <w:t>The situational awareness of the leaders of Spain changed in the period of the pandemic, switching to participative collaboration instead of directive control, which is a behavioural shift that aligns with the aspects of coaching-based leadership development. KDCA has embedded team reflection into the South Korean system, which promotes evidence-based decision making and problem solving (Lee et al., 2022). Emotionally intelligent communication and readiness to give in to the scientific knowledge of Justin Trudeau in Canada were indicative of servant-leadership and coaching mindsets, which focused on the empowerment and inclusivity (</w:t>
      </w:r>
      <w:proofErr w:type="spellStart"/>
      <w:r w:rsidRPr="009E6657">
        <w:rPr>
          <w:rFonts w:ascii="Arial" w:hAnsi="Arial" w:cs="Arial"/>
          <w:sz w:val="22"/>
        </w:rPr>
        <w:t>Piorun</w:t>
      </w:r>
      <w:proofErr w:type="spellEnd"/>
      <w:r w:rsidRPr="009E6657">
        <w:rPr>
          <w:rFonts w:ascii="Arial" w:hAnsi="Arial" w:cs="Arial"/>
          <w:sz w:val="22"/>
        </w:rPr>
        <w:t xml:space="preserve"> et al., 2021). These strategies are part of the adaptive leadership model by Heifetz</w:t>
      </w:r>
      <w:r w:rsidR="00D84FA9" w:rsidRPr="009E6657">
        <w:rPr>
          <w:rFonts w:ascii="Arial" w:hAnsi="Arial" w:cs="Arial"/>
          <w:sz w:val="22"/>
        </w:rPr>
        <w:t>,</w:t>
      </w:r>
      <w:r w:rsidRPr="009E6657">
        <w:rPr>
          <w:rFonts w:ascii="Arial" w:hAnsi="Arial" w:cs="Arial"/>
          <w:sz w:val="22"/>
        </w:rPr>
        <w:t xml:space="preserve"> who sees crisis as a learning experience and not a control strategy (Heifetz et al., 2009).</w:t>
      </w:r>
    </w:p>
    <w:p w14:paraId="399A2508" w14:textId="4B2C06BA" w:rsidR="00AD497C" w:rsidRPr="009E6657" w:rsidRDefault="00AD497C" w:rsidP="009E6657">
      <w:pPr>
        <w:spacing w:line="360" w:lineRule="auto"/>
        <w:jc w:val="both"/>
        <w:rPr>
          <w:rFonts w:ascii="Arial" w:hAnsi="Arial" w:cs="Arial"/>
          <w:sz w:val="22"/>
        </w:rPr>
      </w:pPr>
      <w:r w:rsidRPr="009E6657">
        <w:rPr>
          <w:rFonts w:ascii="Arial" w:hAnsi="Arial" w:cs="Arial"/>
          <w:sz w:val="22"/>
        </w:rPr>
        <w:t>The positions of the King Fund and WHO indicate that leadership coaching in healthcare contributes to the sense of resilience in individuals and systems-wide learning, which enhances morale, coordination and innovation during emergencies (West et al., 2021; World Health Organisation, 2021). The practi</w:t>
      </w:r>
      <w:r w:rsidR="00D84FA9" w:rsidRPr="009E6657">
        <w:rPr>
          <w:rFonts w:ascii="Arial" w:hAnsi="Arial" w:cs="Arial"/>
          <w:sz w:val="22"/>
        </w:rPr>
        <w:t>c</w:t>
      </w:r>
      <w:r w:rsidRPr="009E6657">
        <w:rPr>
          <w:rFonts w:ascii="Arial" w:hAnsi="Arial" w:cs="Arial"/>
          <w:sz w:val="22"/>
        </w:rPr>
        <w:t>es of coaching - peer reflection, structured feedback, and learning through scenarios convert the experience of crisis to organisational knowledge, minimising burnouts in leadership and increasing the readiness to handle future emergencies (Avolio et al., 2009).</w:t>
      </w:r>
    </w:p>
    <w:p w14:paraId="698B8277" w14:textId="0A78A586" w:rsidR="00AD497C" w:rsidRPr="009E6657" w:rsidRDefault="00AD497C" w:rsidP="009E6657">
      <w:pPr>
        <w:spacing w:line="360" w:lineRule="auto"/>
        <w:jc w:val="both"/>
        <w:rPr>
          <w:rFonts w:ascii="Arial" w:hAnsi="Arial" w:cs="Arial"/>
          <w:sz w:val="22"/>
        </w:rPr>
      </w:pPr>
      <w:r w:rsidRPr="009E6657">
        <w:rPr>
          <w:rFonts w:ascii="Arial" w:hAnsi="Arial" w:cs="Arial"/>
          <w:sz w:val="22"/>
        </w:rPr>
        <w:t xml:space="preserve">An important lesson that can be learned </w:t>
      </w:r>
      <w:r w:rsidR="00D84FA9" w:rsidRPr="009E6657">
        <w:rPr>
          <w:rFonts w:ascii="Arial" w:hAnsi="Arial" w:cs="Arial"/>
          <w:sz w:val="22"/>
        </w:rPr>
        <w:t>from</w:t>
      </w:r>
      <w:r w:rsidRPr="009E6657">
        <w:rPr>
          <w:rFonts w:ascii="Arial" w:hAnsi="Arial" w:cs="Arial"/>
          <w:sz w:val="22"/>
        </w:rPr>
        <w:t xml:space="preserve"> all three settings is that coaching should be a system norm, rather than a remedial measure. Coaching fosters trust and collective responsibility in a hybrid or decentralised system of governance</w:t>
      </w:r>
      <w:r w:rsidR="00D84FA9" w:rsidRPr="009E6657">
        <w:rPr>
          <w:rFonts w:ascii="Arial" w:hAnsi="Arial" w:cs="Arial"/>
          <w:sz w:val="22"/>
        </w:rPr>
        <w:t>,</w:t>
      </w:r>
      <w:r w:rsidRPr="009E6657">
        <w:rPr>
          <w:rFonts w:ascii="Arial" w:hAnsi="Arial" w:cs="Arial"/>
          <w:sz w:val="22"/>
        </w:rPr>
        <w:t xml:space="preserve"> such as Spain and Canada</w:t>
      </w:r>
      <w:r w:rsidR="00D84FA9" w:rsidRPr="009E6657">
        <w:rPr>
          <w:rFonts w:ascii="Arial" w:hAnsi="Arial" w:cs="Arial"/>
          <w:sz w:val="22"/>
        </w:rPr>
        <w:t>,</w:t>
      </w:r>
      <w:r w:rsidRPr="009E6657">
        <w:rPr>
          <w:rFonts w:ascii="Arial" w:hAnsi="Arial" w:cs="Arial"/>
          <w:sz w:val="22"/>
        </w:rPr>
        <w:t xml:space="preserve"> where coordination is based on dialogue. In centralised regimes like South Korea, it avoids strict hierarchy through bolstering empathy and self-awareness among the senior officials. Thus, coaching provides a solution to the dichotomy between authority and versatility - the answer to resilient and empathetic leadership in health systems that have to deal with unstable and multifaceted issues.</w:t>
      </w:r>
    </w:p>
    <w:p w14:paraId="2818F1EA" w14:textId="10401411" w:rsidR="00AD497C" w:rsidRPr="009E6657" w:rsidRDefault="00AD497C" w:rsidP="009E6657">
      <w:pPr>
        <w:pStyle w:val="Heading1"/>
        <w:numPr>
          <w:ilvl w:val="0"/>
          <w:numId w:val="3"/>
        </w:numPr>
        <w:spacing w:line="360" w:lineRule="auto"/>
        <w:jc w:val="both"/>
        <w:rPr>
          <w:rFonts w:ascii="Arial" w:hAnsi="Arial" w:cs="Arial"/>
          <w:sz w:val="22"/>
          <w:szCs w:val="22"/>
        </w:rPr>
      </w:pPr>
      <w:bookmarkStart w:id="13" w:name="_Toc212743895"/>
      <w:r w:rsidRPr="009E6657">
        <w:rPr>
          <w:rFonts w:ascii="Arial" w:hAnsi="Arial" w:cs="Arial"/>
          <w:sz w:val="22"/>
          <w:szCs w:val="22"/>
        </w:rPr>
        <w:t>Recommendations</w:t>
      </w:r>
      <w:bookmarkEnd w:id="13"/>
    </w:p>
    <w:p w14:paraId="600559F3" w14:textId="5172B1BD" w:rsidR="00AD497C" w:rsidRPr="009E6657" w:rsidRDefault="00AD497C" w:rsidP="009E6657">
      <w:pPr>
        <w:spacing w:line="360" w:lineRule="auto"/>
        <w:jc w:val="both"/>
        <w:rPr>
          <w:rFonts w:ascii="Arial" w:hAnsi="Arial" w:cs="Arial"/>
          <w:sz w:val="22"/>
        </w:rPr>
      </w:pPr>
      <w:r w:rsidRPr="009E6657">
        <w:rPr>
          <w:rFonts w:ascii="Arial" w:hAnsi="Arial" w:cs="Arial"/>
          <w:sz w:val="22"/>
        </w:rPr>
        <w:t xml:space="preserve">The comparative analysis implies that the future preparedness to pandemics should be based on the focus on adaptive governance and leadership capacity. To start with, governments must formalise adaptive centralisation - the ability to centralise command in the case of emergencies </w:t>
      </w:r>
      <w:r w:rsidRPr="009E6657">
        <w:rPr>
          <w:rFonts w:ascii="Arial" w:hAnsi="Arial" w:cs="Arial"/>
          <w:sz w:val="22"/>
        </w:rPr>
        <w:lastRenderedPageBreak/>
        <w:t>but maintain transparency and local autonomy (Greer et al., 2023). This guarantees speed and democratic accountability. Second, it is necessary to invest in leadership training and coaching systems; the national health agencies need to incorporate structured reflection and programmes on peer-learning to improve decision-making in the face of uncertainty (Hu et al., 2024).</w:t>
      </w:r>
    </w:p>
    <w:p w14:paraId="4858A51B" w14:textId="38197202" w:rsidR="00AD497C" w:rsidRPr="009E6657" w:rsidRDefault="00AD497C" w:rsidP="009E6657">
      <w:pPr>
        <w:spacing w:line="360" w:lineRule="auto"/>
        <w:jc w:val="both"/>
        <w:rPr>
          <w:rFonts w:ascii="Arial" w:hAnsi="Arial" w:cs="Arial"/>
          <w:sz w:val="22"/>
        </w:rPr>
      </w:pPr>
      <w:r w:rsidRPr="009E6657">
        <w:rPr>
          <w:rFonts w:ascii="Arial" w:hAnsi="Arial" w:cs="Arial"/>
          <w:sz w:val="22"/>
        </w:rPr>
        <w:t>Third, the flow of information should be institutionalised through periodic, science-based briefings and open data platforms to maintain the level of trust among people (World Health Organisation, 2021). Fourth, intergovernmental agreements, such as the Safe Restart Framework in Canada, are to be negotiated in advance in the case of fragmented responses and fair distribution of the resources (Allin et al., 2022). Lastly, surveillance and data application</w:t>
      </w:r>
      <w:r w:rsidR="00D84FA9" w:rsidRPr="009E6657">
        <w:rPr>
          <w:rFonts w:ascii="Arial" w:hAnsi="Arial" w:cs="Arial"/>
          <w:sz w:val="22"/>
        </w:rPr>
        <w:t>s</w:t>
      </w:r>
      <w:r w:rsidRPr="009E6657">
        <w:rPr>
          <w:rFonts w:ascii="Arial" w:hAnsi="Arial" w:cs="Arial"/>
          <w:sz w:val="22"/>
        </w:rPr>
        <w:t xml:space="preserve"> ought to be supported ethically, in South Korea, which has shown that it can balance the safety of people with rights to privacy (Kim, 2022).</w:t>
      </w:r>
    </w:p>
    <w:p w14:paraId="0BC2D0E2" w14:textId="77777777" w:rsidR="00AD497C" w:rsidRPr="009E6657" w:rsidRDefault="00AD497C" w:rsidP="009E6657">
      <w:pPr>
        <w:spacing w:line="360" w:lineRule="auto"/>
        <w:jc w:val="both"/>
        <w:rPr>
          <w:rFonts w:ascii="Arial" w:hAnsi="Arial" w:cs="Arial"/>
          <w:sz w:val="22"/>
        </w:rPr>
      </w:pPr>
      <w:r w:rsidRPr="009E6657">
        <w:rPr>
          <w:rFonts w:ascii="Arial" w:hAnsi="Arial" w:cs="Arial"/>
          <w:sz w:val="22"/>
        </w:rPr>
        <w:t>With such recommendations incorporated into policy and professional development, the countries would have the ability to create coordinated, compassionate, and adaptive leadership ecosystems to become more resilient in the future in the face of global health emergencies.</w:t>
      </w:r>
    </w:p>
    <w:p w14:paraId="4BD419EF" w14:textId="760BAFAC" w:rsidR="00AD497C" w:rsidRPr="009E6657" w:rsidRDefault="00AD497C" w:rsidP="009E6657">
      <w:pPr>
        <w:pStyle w:val="Heading1"/>
        <w:numPr>
          <w:ilvl w:val="0"/>
          <w:numId w:val="3"/>
        </w:numPr>
        <w:spacing w:line="360" w:lineRule="auto"/>
        <w:jc w:val="both"/>
        <w:rPr>
          <w:rFonts w:ascii="Arial" w:hAnsi="Arial" w:cs="Arial"/>
          <w:sz w:val="22"/>
          <w:szCs w:val="22"/>
        </w:rPr>
      </w:pPr>
      <w:bookmarkStart w:id="14" w:name="_Toc212743896"/>
      <w:r w:rsidRPr="009E6657">
        <w:rPr>
          <w:rFonts w:ascii="Arial" w:hAnsi="Arial" w:cs="Arial"/>
          <w:sz w:val="22"/>
          <w:szCs w:val="22"/>
        </w:rPr>
        <w:t>Conclusion</w:t>
      </w:r>
      <w:bookmarkEnd w:id="14"/>
    </w:p>
    <w:p w14:paraId="051B18A8" w14:textId="4F394DDC" w:rsidR="00AD497C" w:rsidRPr="009E6657" w:rsidRDefault="00AD497C" w:rsidP="009E6657">
      <w:pPr>
        <w:spacing w:line="360" w:lineRule="auto"/>
        <w:jc w:val="both"/>
        <w:rPr>
          <w:rFonts w:ascii="Arial" w:hAnsi="Arial" w:cs="Arial"/>
          <w:sz w:val="22"/>
        </w:rPr>
      </w:pPr>
      <w:r w:rsidRPr="009E6657">
        <w:rPr>
          <w:rFonts w:ascii="Arial" w:hAnsi="Arial" w:cs="Arial"/>
          <w:sz w:val="22"/>
        </w:rPr>
        <w:t>The comparative analysis of Spain, South Korea, and Canada proves that the effect of the governance structure on the effectiveness of leadership during the COVID-19 crisis was not significant</w:t>
      </w:r>
      <w:r w:rsidR="00D84FA9" w:rsidRPr="009E6657">
        <w:rPr>
          <w:rFonts w:ascii="Arial" w:hAnsi="Arial" w:cs="Arial"/>
          <w:sz w:val="22"/>
        </w:rPr>
        <w:t>,</w:t>
      </w:r>
      <w:r w:rsidRPr="009E6657">
        <w:rPr>
          <w:rFonts w:ascii="Arial" w:hAnsi="Arial" w:cs="Arial"/>
          <w:sz w:val="22"/>
        </w:rPr>
        <w:t xml:space="preserve"> but the adaptive capacity of the leader to align the decision-making process with the context. The hybrid government in Spain stressed the conflict between centralisation and autonomy and the need to be flexible in particular situations, whereas the centralised model in South Korea was quick and built a sense of coherence by being trust</w:t>
      </w:r>
      <w:r w:rsidR="00D84FA9" w:rsidRPr="009E6657">
        <w:rPr>
          <w:rFonts w:ascii="Arial" w:hAnsi="Arial" w:cs="Arial"/>
          <w:sz w:val="22"/>
        </w:rPr>
        <w:t>worthy</w:t>
      </w:r>
      <w:r w:rsidRPr="009E6657">
        <w:rPr>
          <w:rFonts w:ascii="Arial" w:hAnsi="Arial" w:cs="Arial"/>
          <w:sz w:val="22"/>
        </w:rPr>
        <w:t xml:space="preserve"> and transparent in ethics</w:t>
      </w:r>
      <w:r w:rsidR="00D84FA9" w:rsidRPr="009E6657">
        <w:rPr>
          <w:rFonts w:ascii="Arial" w:hAnsi="Arial" w:cs="Arial"/>
          <w:sz w:val="22"/>
        </w:rPr>
        <w:t>,</w:t>
      </w:r>
      <w:r w:rsidRPr="009E6657">
        <w:rPr>
          <w:rFonts w:ascii="Arial" w:hAnsi="Arial" w:cs="Arial"/>
          <w:sz w:val="22"/>
        </w:rPr>
        <w:t xml:space="preserve"> and the decentralised federalism in Canada relied on empathy, communication, and collaboration to remain legitimate.</w:t>
      </w:r>
    </w:p>
    <w:p w14:paraId="070B6B1E" w14:textId="5C1902D6" w:rsidR="00F91DD6" w:rsidRPr="009E6657" w:rsidRDefault="00F91DD6" w:rsidP="009E6657">
      <w:pPr>
        <w:spacing w:line="360" w:lineRule="auto"/>
        <w:jc w:val="both"/>
        <w:rPr>
          <w:rFonts w:ascii="Arial" w:hAnsi="Arial" w:cs="Arial"/>
          <w:sz w:val="22"/>
        </w:rPr>
      </w:pPr>
      <w:r w:rsidRPr="009E6657">
        <w:rPr>
          <w:rFonts w:ascii="Arial" w:hAnsi="Arial" w:cs="Arial"/>
          <w:sz w:val="22"/>
        </w:rPr>
        <w:br w:type="page"/>
      </w:r>
    </w:p>
    <w:p w14:paraId="29D73BC7" w14:textId="1A4CF98E" w:rsidR="00F91DD6" w:rsidRPr="009E6657" w:rsidRDefault="00F91DD6" w:rsidP="009E6657">
      <w:pPr>
        <w:pStyle w:val="Heading1"/>
        <w:spacing w:line="360" w:lineRule="auto"/>
        <w:jc w:val="both"/>
        <w:rPr>
          <w:rFonts w:ascii="Arial" w:hAnsi="Arial" w:cs="Arial"/>
          <w:sz w:val="22"/>
          <w:szCs w:val="22"/>
          <w:shd w:val="clear" w:color="auto" w:fill="FFFFFF"/>
        </w:rPr>
      </w:pPr>
      <w:bookmarkStart w:id="15" w:name="_Toc212743897"/>
      <w:r w:rsidRPr="009E6657">
        <w:rPr>
          <w:rFonts w:ascii="Arial" w:hAnsi="Arial" w:cs="Arial"/>
          <w:sz w:val="22"/>
          <w:szCs w:val="22"/>
          <w:shd w:val="clear" w:color="auto" w:fill="FFFFFF"/>
        </w:rPr>
        <w:lastRenderedPageBreak/>
        <w:t>References</w:t>
      </w:r>
      <w:bookmarkEnd w:id="15"/>
    </w:p>
    <w:p w14:paraId="23CED2BC" w14:textId="77777777" w:rsidR="000D408C" w:rsidRPr="000D408C" w:rsidRDefault="000D408C" w:rsidP="000D408C">
      <w:pPr>
        <w:spacing w:line="360" w:lineRule="auto"/>
        <w:ind w:left="720" w:hanging="720"/>
        <w:jc w:val="both"/>
        <w:rPr>
          <w:rFonts w:ascii="Arial" w:hAnsi="Arial" w:cs="Arial"/>
          <w:sz w:val="22"/>
          <w:shd w:val="clear" w:color="auto" w:fill="FFFFFF"/>
        </w:rPr>
      </w:pPr>
      <w:proofErr w:type="spellStart"/>
      <w:r w:rsidRPr="000D408C">
        <w:rPr>
          <w:rFonts w:ascii="Arial" w:hAnsi="Arial" w:cs="Arial"/>
          <w:sz w:val="22"/>
          <w:shd w:val="clear" w:color="auto" w:fill="FFFFFF"/>
        </w:rPr>
        <w:t>Alkailanee</w:t>
      </w:r>
      <w:proofErr w:type="spellEnd"/>
      <w:r w:rsidRPr="000D408C">
        <w:rPr>
          <w:rFonts w:ascii="Arial" w:hAnsi="Arial" w:cs="Arial"/>
          <w:sz w:val="22"/>
          <w:shd w:val="clear" w:color="auto" w:fill="FFFFFF"/>
        </w:rPr>
        <w:t xml:space="preserve">, K., </w:t>
      </w:r>
      <w:proofErr w:type="spellStart"/>
      <w:r w:rsidRPr="000D408C">
        <w:rPr>
          <w:rFonts w:ascii="Arial" w:hAnsi="Arial" w:cs="Arial"/>
          <w:sz w:val="22"/>
          <w:shd w:val="clear" w:color="auto" w:fill="FFFFFF"/>
        </w:rPr>
        <w:t>Altaany</w:t>
      </w:r>
      <w:proofErr w:type="spellEnd"/>
      <w:r w:rsidRPr="000D408C">
        <w:rPr>
          <w:rFonts w:ascii="Arial" w:hAnsi="Arial" w:cs="Arial"/>
          <w:sz w:val="22"/>
          <w:shd w:val="clear" w:color="auto" w:fill="FFFFFF"/>
        </w:rPr>
        <w:t xml:space="preserve">, H., </w:t>
      </w:r>
      <w:proofErr w:type="spellStart"/>
      <w:r w:rsidRPr="000D408C">
        <w:rPr>
          <w:rFonts w:ascii="Arial" w:hAnsi="Arial" w:cs="Arial"/>
          <w:sz w:val="22"/>
          <w:shd w:val="clear" w:color="auto" w:fill="FFFFFF"/>
        </w:rPr>
        <w:t>Alakash</w:t>
      </w:r>
      <w:proofErr w:type="spellEnd"/>
      <w:r w:rsidRPr="000D408C">
        <w:rPr>
          <w:rFonts w:ascii="Arial" w:hAnsi="Arial" w:cs="Arial"/>
          <w:sz w:val="22"/>
          <w:shd w:val="clear" w:color="auto" w:fill="FFFFFF"/>
        </w:rPr>
        <w:t xml:space="preserve">, M., Darawsheh, S., </w:t>
      </w:r>
      <w:proofErr w:type="spellStart"/>
      <w:r w:rsidRPr="000D408C">
        <w:rPr>
          <w:rFonts w:ascii="Arial" w:hAnsi="Arial" w:cs="Arial"/>
          <w:sz w:val="22"/>
          <w:shd w:val="clear" w:color="auto" w:fill="FFFFFF"/>
        </w:rPr>
        <w:t>Darawsheh</w:t>
      </w:r>
      <w:proofErr w:type="spellEnd"/>
      <w:r w:rsidRPr="000D408C">
        <w:rPr>
          <w:rFonts w:ascii="Arial" w:hAnsi="Arial" w:cs="Arial"/>
          <w:sz w:val="22"/>
          <w:shd w:val="clear" w:color="auto" w:fill="FFFFFF"/>
        </w:rPr>
        <w:t xml:space="preserve">, N. and </w:t>
      </w:r>
      <w:proofErr w:type="spellStart"/>
      <w:r w:rsidRPr="000D408C">
        <w:rPr>
          <w:rFonts w:ascii="Arial" w:hAnsi="Arial" w:cs="Arial"/>
          <w:sz w:val="22"/>
          <w:shd w:val="clear" w:color="auto" w:fill="FFFFFF"/>
        </w:rPr>
        <w:t>Alrashdan</w:t>
      </w:r>
      <w:proofErr w:type="spellEnd"/>
      <w:r w:rsidRPr="000D408C">
        <w:rPr>
          <w:rFonts w:ascii="Arial" w:hAnsi="Arial" w:cs="Arial"/>
          <w:sz w:val="22"/>
          <w:shd w:val="clear" w:color="auto" w:fill="FFFFFF"/>
        </w:rPr>
        <w:t>, H., (2024). Navigating crisis: Leadership styles and strategies during the COVID-19 pandemic a comprehensive review.</w:t>
      </w:r>
    </w:p>
    <w:p w14:paraId="507742A6"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 xml:space="preserve">Allin, S., Fitzpatrick, T., Marchildon, G.P. and Quesnel-Vallée, A., (2022). The federal government and Canada's COVID-19 responses: from ‘we're ready, we're </w:t>
      </w:r>
      <w:proofErr w:type="spellStart"/>
      <w:r w:rsidRPr="000D408C">
        <w:rPr>
          <w:rFonts w:ascii="Arial" w:hAnsi="Arial" w:cs="Arial"/>
          <w:sz w:val="22"/>
          <w:shd w:val="clear" w:color="auto" w:fill="FFFFFF"/>
        </w:rPr>
        <w:t>prepared’to</w:t>
      </w:r>
      <w:proofErr w:type="spellEnd"/>
      <w:r w:rsidRPr="000D408C">
        <w:rPr>
          <w:rFonts w:ascii="Arial" w:hAnsi="Arial" w:cs="Arial"/>
          <w:sz w:val="22"/>
          <w:shd w:val="clear" w:color="auto" w:fill="FFFFFF"/>
        </w:rPr>
        <w:t xml:space="preserve"> ‘fires are burning’. </w:t>
      </w:r>
      <w:r w:rsidRPr="000D408C">
        <w:rPr>
          <w:rFonts w:ascii="Arial" w:hAnsi="Arial" w:cs="Arial"/>
          <w:i/>
          <w:iCs/>
          <w:sz w:val="22"/>
          <w:shd w:val="clear" w:color="auto" w:fill="FFFFFF"/>
        </w:rPr>
        <w:t>Health Economics, Policy and Law</w:t>
      </w:r>
      <w:r w:rsidRPr="000D408C">
        <w:rPr>
          <w:rFonts w:ascii="Arial" w:hAnsi="Arial" w:cs="Arial"/>
          <w:sz w:val="22"/>
          <w:shd w:val="clear" w:color="auto" w:fill="FFFFFF"/>
        </w:rPr>
        <w:t>, </w:t>
      </w:r>
      <w:r w:rsidRPr="000D408C">
        <w:rPr>
          <w:rFonts w:ascii="Arial" w:hAnsi="Arial" w:cs="Arial"/>
          <w:i/>
          <w:iCs/>
          <w:sz w:val="22"/>
          <w:shd w:val="clear" w:color="auto" w:fill="FFFFFF"/>
        </w:rPr>
        <w:t>17</w:t>
      </w:r>
      <w:r w:rsidRPr="000D408C">
        <w:rPr>
          <w:rFonts w:ascii="Arial" w:hAnsi="Arial" w:cs="Arial"/>
          <w:sz w:val="22"/>
          <w:shd w:val="clear" w:color="auto" w:fill="FFFFFF"/>
        </w:rPr>
        <w:t>(1), pp.76-94.</w:t>
      </w:r>
    </w:p>
    <w:p w14:paraId="0A44B7AB"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Avolio, B.J., Walumbwa, F.O. and Weber, T.J., (2009). Leadership: Current theories, research, and future directions. </w:t>
      </w:r>
      <w:r w:rsidRPr="000D408C">
        <w:rPr>
          <w:rFonts w:ascii="Arial" w:hAnsi="Arial" w:cs="Arial"/>
          <w:i/>
          <w:iCs/>
          <w:sz w:val="22"/>
          <w:shd w:val="clear" w:color="auto" w:fill="FFFFFF"/>
        </w:rPr>
        <w:t>Annual review of psychology</w:t>
      </w:r>
      <w:r w:rsidRPr="000D408C">
        <w:rPr>
          <w:rFonts w:ascii="Arial" w:hAnsi="Arial" w:cs="Arial"/>
          <w:sz w:val="22"/>
          <w:shd w:val="clear" w:color="auto" w:fill="FFFFFF"/>
        </w:rPr>
        <w:t>, </w:t>
      </w:r>
      <w:r w:rsidRPr="000D408C">
        <w:rPr>
          <w:rFonts w:ascii="Arial" w:hAnsi="Arial" w:cs="Arial"/>
          <w:i/>
          <w:iCs/>
          <w:sz w:val="22"/>
          <w:shd w:val="clear" w:color="auto" w:fill="FFFFFF"/>
        </w:rPr>
        <w:t>60</w:t>
      </w:r>
      <w:r w:rsidRPr="000D408C">
        <w:rPr>
          <w:rFonts w:ascii="Arial" w:hAnsi="Arial" w:cs="Arial"/>
          <w:sz w:val="22"/>
          <w:shd w:val="clear" w:color="auto" w:fill="FFFFFF"/>
        </w:rPr>
        <w:t>(1), pp.421-449.</w:t>
      </w:r>
    </w:p>
    <w:p w14:paraId="0946DB0A" w14:textId="77777777" w:rsidR="000D408C" w:rsidRPr="000D408C" w:rsidRDefault="000D408C" w:rsidP="000D408C">
      <w:pPr>
        <w:spacing w:line="360" w:lineRule="auto"/>
        <w:ind w:left="720" w:hanging="720"/>
        <w:jc w:val="both"/>
        <w:rPr>
          <w:rFonts w:ascii="Arial" w:hAnsi="Arial" w:cs="Arial"/>
          <w:sz w:val="22"/>
        </w:rPr>
      </w:pPr>
      <w:proofErr w:type="spellStart"/>
      <w:r w:rsidRPr="000D408C">
        <w:rPr>
          <w:rFonts w:ascii="Arial" w:hAnsi="Arial" w:cs="Arial"/>
          <w:sz w:val="22"/>
          <w:shd w:val="clear" w:color="auto" w:fill="FFFFFF"/>
        </w:rPr>
        <w:t>Broschek</w:t>
      </w:r>
      <w:proofErr w:type="spellEnd"/>
      <w:r w:rsidRPr="000D408C">
        <w:rPr>
          <w:rFonts w:ascii="Arial" w:hAnsi="Arial" w:cs="Arial"/>
          <w:sz w:val="22"/>
          <w:shd w:val="clear" w:color="auto" w:fill="FFFFFF"/>
        </w:rPr>
        <w:t>, J., (2022). Federalism, political leadership and the Covid-19 pandemic: explaining Canada’s tale of two federations. </w:t>
      </w:r>
      <w:r w:rsidRPr="000D408C">
        <w:rPr>
          <w:rFonts w:ascii="Arial" w:hAnsi="Arial" w:cs="Arial"/>
          <w:i/>
          <w:iCs/>
          <w:sz w:val="22"/>
          <w:shd w:val="clear" w:color="auto" w:fill="FFFFFF"/>
        </w:rPr>
        <w:t>Territory, Politics, Governance</w:t>
      </w:r>
      <w:r w:rsidRPr="000D408C">
        <w:rPr>
          <w:rFonts w:ascii="Arial" w:hAnsi="Arial" w:cs="Arial"/>
          <w:sz w:val="22"/>
          <w:shd w:val="clear" w:color="auto" w:fill="FFFFFF"/>
        </w:rPr>
        <w:t>, </w:t>
      </w:r>
      <w:r w:rsidRPr="000D408C">
        <w:rPr>
          <w:rFonts w:ascii="Arial" w:hAnsi="Arial" w:cs="Arial"/>
          <w:i/>
          <w:iCs/>
          <w:sz w:val="22"/>
          <w:shd w:val="clear" w:color="auto" w:fill="FFFFFF"/>
        </w:rPr>
        <w:t>10</w:t>
      </w:r>
      <w:r w:rsidRPr="000D408C">
        <w:rPr>
          <w:rFonts w:ascii="Arial" w:hAnsi="Arial" w:cs="Arial"/>
          <w:sz w:val="22"/>
          <w:shd w:val="clear" w:color="auto" w:fill="FFFFFF"/>
        </w:rPr>
        <w:t>(6), pp.779-798.</w:t>
      </w:r>
    </w:p>
    <w:p w14:paraId="7E4DBFC8" w14:textId="77777777" w:rsidR="000D408C" w:rsidRPr="000D408C" w:rsidRDefault="000D408C" w:rsidP="000D408C">
      <w:pPr>
        <w:spacing w:line="360" w:lineRule="auto"/>
        <w:ind w:left="720" w:hanging="720"/>
        <w:jc w:val="both"/>
        <w:rPr>
          <w:rFonts w:ascii="Arial" w:hAnsi="Arial" w:cs="Arial"/>
          <w:sz w:val="22"/>
        </w:rPr>
      </w:pPr>
      <w:proofErr w:type="spellStart"/>
      <w:r w:rsidRPr="000D408C">
        <w:rPr>
          <w:rFonts w:ascii="Arial" w:hAnsi="Arial" w:cs="Arial"/>
          <w:sz w:val="22"/>
          <w:shd w:val="clear" w:color="auto" w:fill="FFFFFF"/>
        </w:rPr>
        <w:t>Culqui</w:t>
      </w:r>
      <w:proofErr w:type="spellEnd"/>
      <w:r w:rsidRPr="000D408C">
        <w:rPr>
          <w:rFonts w:ascii="Arial" w:hAnsi="Arial" w:cs="Arial"/>
          <w:sz w:val="22"/>
          <w:shd w:val="clear" w:color="auto" w:fill="FFFFFF"/>
        </w:rPr>
        <w:t xml:space="preserve"> Lévano, D.R., Díaz, J., Blanco, A., Lopez, J.A., Navas, M.A., Sánchez-Martínez, G., Luna, M.Y., </w:t>
      </w:r>
      <w:proofErr w:type="spellStart"/>
      <w:r w:rsidRPr="000D408C">
        <w:rPr>
          <w:rFonts w:ascii="Arial" w:hAnsi="Arial" w:cs="Arial"/>
          <w:sz w:val="22"/>
          <w:shd w:val="clear" w:color="auto" w:fill="FFFFFF"/>
        </w:rPr>
        <w:t>Hervella</w:t>
      </w:r>
      <w:proofErr w:type="spellEnd"/>
      <w:r w:rsidRPr="000D408C">
        <w:rPr>
          <w:rFonts w:ascii="Arial" w:hAnsi="Arial" w:cs="Arial"/>
          <w:sz w:val="22"/>
          <w:shd w:val="clear" w:color="auto" w:fill="FFFFFF"/>
        </w:rPr>
        <w:t>, B., Belda, F. and Linares, C., (2022). Mortality due to COVID-19 in Spain and its association with environmental factors and determinants of health. </w:t>
      </w:r>
      <w:r w:rsidRPr="000D408C">
        <w:rPr>
          <w:rFonts w:ascii="Arial" w:hAnsi="Arial" w:cs="Arial"/>
          <w:i/>
          <w:iCs/>
          <w:sz w:val="22"/>
          <w:shd w:val="clear" w:color="auto" w:fill="FFFFFF"/>
        </w:rPr>
        <w:t>Environmental Sciences Europe</w:t>
      </w:r>
      <w:r w:rsidRPr="000D408C">
        <w:rPr>
          <w:rFonts w:ascii="Arial" w:hAnsi="Arial" w:cs="Arial"/>
          <w:sz w:val="22"/>
          <w:shd w:val="clear" w:color="auto" w:fill="FFFFFF"/>
        </w:rPr>
        <w:t>, </w:t>
      </w:r>
      <w:r w:rsidRPr="000D408C">
        <w:rPr>
          <w:rFonts w:ascii="Arial" w:hAnsi="Arial" w:cs="Arial"/>
          <w:i/>
          <w:iCs/>
          <w:sz w:val="22"/>
          <w:shd w:val="clear" w:color="auto" w:fill="FFFFFF"/>
        </w:rPr>
        <w:t>34</w:t>
      </w:r>
      <w:r w:rsidRPr="000D408C">
        <w:rPr>
          <w:rFonts w:ascii="Arial" w:hAnsi="Arial" w:cs="Arial"/>
          <w:sz w:val="22"/>
          <w:shd w:val="clear" w:color="auto" w:fill="FFFFFF"/>
        </w:rPr>
        <w:t>(1), p.39.</w:t>
      </w:r>
    </w:p>
    <w:p w14:paraId="07C361DB" w14:textId="77777777" w:rsidR="000D408C" w:rsidRPr="000D408C" w:rsidRDefault="000D408C" w:rsidP="000D408C">
      <w:pPr>
        <w:spacing w:line="360" w:lineRule="auto"/>
        <w:ind w:left="720" w:hanging="720"/>
        <w:jc w:val="both"/>
        <w:rPr>
          <w:rFonts w:ascii="Arial" w:hAnsi="Arial" w:cs="Arial"/>
          <w:sz w:val="22"/>
          <w:highlight w:val="yellow"/>
        </w:rPr>
      </w:pPr>
      <w:r w:rsidRPr="000D408C">
        <w:rPr>
          <w:rFonts w:ascii="Arial" w:hAnsi="Arial" w:cs="Arial"/>
          <w:sz w:val="22"/>
          <w:shd w:val="clear" w:color="auto" w:fill="FFFFFF"/>
        </w:rPr>
        <w:t xml:space="preserve">Dubin, K.A., (2021). A World-Class Health </w:t>
      </w:r>
      <w:proofErr w:type="gramStart"/>
      <w:r w:rsidRPr="000D408C">
        <w:rPr>
          <w:rFonts w:ascii="Arial" w:hAnsi="Arial" w:cs="Arial"/>
          <w:sz w:val="22"/>
          <w:shd w:val="clear" w:color="auto" w:fill="FFFFFF"/>
        </w:rPr>
        <w:t>System?.</w:t>
      </w:r>
      <w:proofErr w:type="gramEnd"/>
      <w:r w:rsidRPr="000D408C">
        <w:rPr>
          <w:rFonts w:ascii="Arial" w:hAnsi="Arial" w:cs="Arial"/>
          <w:sz w:val="22"/>
          <w:shd w:val="clear" w:color="auto" w:fill="FFFFFF"/>
        </w:rPr>
        <w:t> </w:t>
      </w:r>
      <w:r w:rsidRPr="000D408C">
        <w:rPr>
          <w:rFonts w:ascii="Arial" w:hAnsi="Arial" w:cs="Arial"/>
          <w:i/>
          <w:iCs/>
          <w:sz w:val="22"/>
          <w:shd w:val="clear" w:color="auto" w:fill="FFFFFF"/>
        </w:rPr>
        <w:t>Coronavirus Politics: The Comparative Politics and Policy of COVID-19</w:t>
      </w:r>
      <w:r w:rsidRPr="000D408C">
        <w:rPr>
          <w:rFonts w:ascii="Arial" w:hAnsi="Arial" w:cs="Arial"/>
          <w:sz w:val="22"/>
          <w:shd w:val="clear" w:color="auto" w:fill="FFFFFF"/>
        </w:rPr>
        <w:t>, p.339.</w:t>
      </w:r>
    </w:p>
    <w:p w14:paraId="6D8DCE52"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rPr>
        <w:t>ECDC (2022) COVID-19 Vaccine Tracker: Spain Country Overview. Stockholm: European Centre for Disease Prevention and Control. Available at: https://vaccinetracker.ecdc.europa.eu/public/extensions/COVID-19/vaccine-tracker.html#national-ref-tab (Accessed: 30 October 2025).</w:t>
      </w:r>
    </w:p>
    <w:p w14:paraId="74310FBB"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rPr>
        <w:t>Fiedler, F.E. (1967) A Theory of Leadership Effectiveness. New York: McGraw-Hill.</w:t>
      </w:r>
    </w:p>
    <w:p w14:paraId="19356129"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 xml:space="preserve">Fuentes Lara, C., Moreno Fernández, Á. and Navarro, C., (2020). Covid-19 communication management in Spain: Exploring the effect of information-seeking </w:t>
      </w:r>
      <w:proofErr w:type="spellStart"/>
      <w:r w:rsidRPr="000D408C">
        <w:rPr>
          <w:rFonts w:ascii="Arial" w:hAnsi="Arial" w:cs="Arial"/>
          <w:sz w:val="22"/>
          <w:shd w:val="clear" w:color="auto" w:fill="FFFFFF"/>
        </w:rPr>
        <w:t>behavior</w:t>
      </w:r>
      <w:proofErr w:type="spellEnd"/>
      <w:r w:rsidRPr="000D408C">
        <w:rPr>
          <w:rFonts w:ascii="Arial" w:hAnsi="Arial" w:cs="Arial"/>
          <w:sz w:val="22"/>
          <w:shd w:val="clear" w:color="auto" w:fill="FFFFFF"/>
        </w:rPr>
        <w:t xml:space="preserve"> and message reception in public’s evaluation.</w:t>
      </w:r>
    </w:p>
    <w:p w14:paraId="2FDD2ED9"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Greer, S.L., King, E., Massard da Fonseca, E. and Peralta-Santos, A., (2021). </w:t>
      </w:r>
      <w:r w:rsidRPr="000D408C">
        <w:rPr>
          <w:rFonts w:ascii="Arial" w:hAnsi="Arial" w:cs="Arial"/>
          <w:i/>
          <w:iCs/>
          <w:sz w:val="22"/>
          <w:shd w:val="clear" w:color="auto" w:fill="FFFFFF"/>
        </w:rPr>
        <w:t>Coronavirus politics: The comparative politics and policy of COVID-19</w:t>
      </w:r>
      <w:r w:rsidRPr="000D408C">
        <w:rPr>
          <w:rFonts w:ascii="Arial" w:hAnsi="Arial" w:cs="Arial"/>
          <w:sz w:val="22"/>
          <w:shd w:val="clear" w:color="auto" w:fill="FFFFFF"/>
        </w:rPr>
        <w:t> (p. 663). University of Michigan Press.</w:t>
      </w:r>
    </w:p>
    <w:p w14:paraId="535B0336"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rPr>
        <w:t xml:space="preserve">Heifetz, R.A., </w:t>
      </w:r>
      <w:proofErr w:type="spellStart"/>
      <w:r w:rsidRPr="000D408C">
        <w:rPr>
          <w:rFonts w:ascii="Arial" w:hAnsi="Arial" w:cs="Arial"/>
          <w:sz w:val="22"/>
        </w:rPr>
        <w:t>Grashow</w:t>
      </w:r>
      <w:proofErr w:type="spellEnd"/>
      <w:r w:rsidRPr="000D408C">
        <w:rPr>
          <w:rFonts w:ascii="Arial" w:hAnsi="Arial" w:cs="Arial"/>
          <w:sz w:val="22"/>
        </w:rPr>
        <w:t>, A. &amp; Linsky, M. (2009) The Practice of Adaptive Leadership: Tools and Tactics for Changing Your Organization and the World. Boston: Harvard Business Press.</w:t>
      </w:r>
    </w:p>
    <w:p w14:paraId="65971A4A"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rPr>
        <w:lastRenderedPageBreak/>
        <w:t>House, R.J. (1971) ‘A Path Goal Theory of Leader Effectiveness’, Administrative Science Quarterly, 16 (3), pp. 321–339.</w:t>
      </w:r>
    </w:p>
    <w:p w14:paraId="70D86365"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shd w:val="clear" w:color="auto" w:fill="FFFFFF"/>
        </w:rPr>
        <w:t>Hu, S., Välimäki, M., Liu, S., Li, X., Shumaila, B., Huang, W., Liu, X., Guo, W., Chen, W., Chen, J. and Hu, J., (2024). Coaching to develop leadership of healthcare managers: a mixed-methods systematic review. </w:t>
      </w:r>
      <w:r w:rsidRPr="000D408C">
        <w:rPr>
          <w:rFonts w:ascii="Arial" w:hAnsi="Arial" w:cs="Arial"/>
          <w:i/>
          <w:iCs/>
          <w:sz w:val="22"/>
          <w:shd w:val="clear" w:color="auto" w:fill="FFFFFF"/>
        </w:rPr>
        <w:t>BMC medical education</w:t>
      </w:r>
      <w:r w:rsidRPr="000D408C">
        <w:rPr>
          <w:rFonts w:ascii="Arial" w:hAnsi="Arial" w:cs="Arial"/>
          <w:sz w:val="22"/>
          <w:shd w:val="clear" w:color="auto" w:fill="FFFFFF"/>
        </w:rPr>
        <w:t>, </w:t>
      </w:r>
      <w:r w:rsidRPr="000D408C">
        <w:rPr>
          <w:rFonts w:ascii="Arial" w:hAnsi="Arial" w:cs="Arial"/>
          <w:i/>
          <w:iCs/>
          <w:sz w:val="22"/>
          <w:shd w:val="clear" w:color="auto" w:fill="FFFFFF"/>
        </w:rPr>
        <w:t>24</w:t>
      </w:r>
      <w:r w:rsidRPr="000D408C">
        <w:rPr>
          <w:rFonts w:ascii="Arial" w:hAnsi="Arial" w:cs="Arial"/>
          <w:sz w:val="22"/>
          <w:shd w:val="clear" w:color="auto" w:fill="FFFFFF"/>
        </w:rPr>
        <w:t>(1), p.1083.</w:t>
      </w:r>
    </w:p>
    <w:p w14:paraId="386A03B7"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Kim, H.J., Meeker, T.J., Tulloch, I.K., Mullins, J., Park, J.H. and Bae, S.H., (2022). Pandemic fatigue and anxiety sensitivity as associated factors with posttraumatic stress symptoms among university students in South Korea during the prolonged COVID-19 pandemic. </w:t>
      </w:r>
      <w:r w:rsidRPr="000D408C">
        <w:rPr>
          <w:rFonts w:ascii="Arial" w:hAnsi="Arial" w:cs="Arial"/>
          <w:i/>
          <w:iCs/>
          <w:sz w:val="22"/>
          <w:shd w:val="clear" w:color="auto" w:fill="FFFFFF"/>
        </w:rPr>
        <w:t>International Journal of Public Health</w:t>
      </w:r>
      <w:r w:rsidRPr="000D408C">
        <w:rPr>
          <w:rFonts w:ascii="Arial" w:hAnsi="Arial" w:cs="Arial"/>
          <w:sz w:val="22"/>
          <w:shd w:val="clear" w:color="auto" w:fill="FFFFFF"/>
        </w:rPr>
        <w:t>, </w:t>
      </w:r>
      <w:r w:rsidRPr="000D408C">
        <w:rPr>
          <w:rFonts w:ascii="Arial" w:hAnsi="Arial" w:cs="Arial"/>
          <w:i/>
          <w:iCs/>
          <w:sz w:val="22"/>
          <w:shd w:val="clear" w:color="auto" w:fill="FFFFFF"/>
        </w:rPr>
        <w:t>67</w:t>
      </w:r>
      <w:r w:rsidRPr="000D408C">
        <w:rPr>
          <w:rFonts w:ascii="Arial" w:hAnsi="Arial" w:cs="Arial"/>
          <w:sz w:val="22"/>
          <w:shd w:val="clear" w:color="auto" w:fill="FFFFFF"/>
        </w:rPr>
        <w:t>, p.1604552.</w:t>
      </w:r>
    </w:p>
    <w:p w14:paraId="561D5E38"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Kim, Y., (2022). Uncertain future of privacy protection under the Korean public health emergency preparedness governance amid the COVID-19 pandemic. </w:t>
      </w:r>
      <w:r w:rsidRPr="000D408C">
        <w:rPr>
          <w:rFonts w:ascii="Arial" w:hAnsi="Arial" w:cs="Arial"/>
          <w:i/>
          <w:iCs/>
          <w:sz w:val="22"/>
          <w:shd w:val="clear" w:color="auto" w:fill="FFFFFF"/>
        </w:rPr>
        <w:t>Cogent Social Sciences</w:t>
      </w:r>
      <w:r w:rsidRPr="000D408C">
        <w:rPr>
          <w:rFonts w:ascii="Arial" w:hAnsi="Arial" w:cs="Arial"/>
          <w:sz w:val="22"/>
          <w:shd w:val="clear" w:color="auto" w:fill="FFFFFF"/>
        </w:rPr>
        <w:t>, </w:t>
      </w:r>
      <w:r w:rsidRPr="000D408C">
        <w:rPr>
          <w:rFonts w:ascii="Arial" w:hAnsi="Arial" w:cs="Arial"/>
          <w:i/>
          <w:iCs/>
          <w:sz w:val="22"/>
          <w:shd w:val="clear" w:color="auto" w:fill="FFFFFF"/>
        </w:rPr>
        <w:t>8</w:t>
      </w:r>
      <w:r w:rsidRPr="000D408C">
        <w:rPr>
          <w:rFonts w:ascii="Arial" w:hAnsi="Arial" w:cs="Arial"/>
          <w:sz w:val="22"/>
          <w:shd w:val="clear" w:color="auto" w:fill="FFFFFF"/>
        </w:rPr>
        <w:t>(1), p.2006393.</w:t>
      </w:r>
    </w:p>
    <w:p w14:paraId="3FB462E9" w14:textId="77777777" w:rsidR="000D408C" w:rsidRPr="000D408C" w:rsidRDefault="000D408C" w:rsidP="000D408C">
      <w:pPr>
        <w:spacing w:line="360" w:lineRule="auto"/>
        <w:ind w:left="720" w:hanging="720"/>
        <w:jc w:val="both"/>
        <w:rPr>
          <w:rFonts w:ascii="Arial" w:hAnsi="Arial" w:cs="Arial"/>
          <w:sz w:val="22"/>
          <w:highlight w:val="yellow"/>
        </w:rPr>
      </w:pPr>
      <w:r w:rsidRPr="000D408C">
        <w:rPr>
          <w:rFonts w:ascii="Arial" w:hAnsi="Arial" w:cs="Arial"/>
          <w:sz w:val="22"/>
          <w:shd w:val="clear" w:color="auto" w:fill="FFFFFF"/>
        </w:rPr>
        <w:t>Lee, K., Seo, L., Yoon, D., Yang, K., Yi, J.E., Kim, Y. and Lee, J.H., (2022). Digital health profile of South Korea: a cross sectional study. </w:t>
      </w:r>
      <w:r w:rsidRPr="000D408C">
        <w:rPr>
          <w:rFonts w:ascii="Arial" w:hAnsi="Arial" w:cs="Arial"/>
          <w:i/>
          <w:iCs/>
          <w:sz w:val="22"/>
          <w:shd w:val="clear" w:color="auto" w:fill="FFFFFF"/>
        </w:rPr>
        <w:t>International journal of environmental research and public health</w:t>
      </w:r>
      <w:r w:rsidRPr="000D408C">
        <w:rPr>
          <w:rFonts w:ascii="Arial" w:hAnsi="Arial" w:cs="Arial"/>
          <w:sz w:val="22"/>
          <w:shd w:val="clear" w:color="auto" w:fill="FFFFFF"/>
        </w:rPr>
        <w:t>, </w:t>
      </w:r>
      <w:r w:rsidRPr="000D408C">
        <w:rPr>
          <w:rFonts w:ascii="Arial" w:hAnsi="Arial" w:cs="Arial"/>
          <w:i/>
          <w:iCs/>
          <w:sz w:val="22"/>
          <w:shd w:val="clear" w:color="auto" w:fill="FFFFFF"/>
        </w:rPr>
        <w:t>19</w:t>
      </w:r>
      <w:r w:rsidRPr="000D408C">
        <w:rPr>
          <w:rFonts w:ascii="Arial" w:hAnsi="Arial" w:cs="Arial"/>
          <w:sz w:val="22"/>
          <w:shd w:val="clear" w:color="auto" w:fill="FFFFFF"/>
        </w:rPr>
        <w:t>(10), p.6329.</w:t>
      </w:r>
    </w:p>
    <w:p w14:paraId="064352F3"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 xml:space="preserve">López-Casasnovas, G. and </w:t>
      </w:r>
      <w:proofErr w:type="spellStart"/>
      <w:r w:rsidRPr="000D408C">
        <w:rPr>
          <w:rFonts w:ascii="Arial" w:hAnsi="Arial" w:cs="Arial"/>
          <w:sz w:val="22"/>
          <w:shd w:val="clear" w:color="auto" w:fill="FFFFFF"/>
        </w:rPr>
        <w:t>Pifarré</w:t>
      </w:r>
      <w:proofErr w:type="spellEnd"/>
      <w:r w:rsidRPr="000D408C">
        <w:rPr>
          <w:rFonts w:ascii="Arial" w:hAnsi="Arial" w:cs="Arial"/>
          <w:sz w:val="22"/>
          <w:shd w:val="clear" w:color="auto" w:fill="FFFFFF"/>
        </w:rPr>
        <w:t xml:space="preserve"> i Arolas, H., (2021). The Spanish health-care system. </w:t>
      </w:r>
      <w:r w:rsidRPr="000D408C">
        <w:rPr>
          <w:rFonts w:ascii="Arial" w:hAnsi="Arial" w:cs="Arial"/>
          <w:i/>
          <w:iCs/>
          <w:sz w:val="22"/>
          <w:shd w:val="clear" w:color="auto" w:fill="FFFFFF"/>
        </w:rPr>
        <w:t>The Sustainability of Health Care Systems in Europe</w:t>
      </w:r>
      <w:r w:rsidRPr="000D408C">
        <w:rPr>
          <w:rFonts w:ascii="Arial" w:hAnsi="Arial" w:cs="Arial"/>
          <w:sz w:val="22"/>
          <w:shd w:val="clear" w:color="auto" w:fill="FFFFFF"/>
        </w:rPr>
        <w:t>, pp.189-207.</w:t>
      </w:r>
    </w:p>
    <w:p w14:paraId="5FD1E0A2"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 xml:space="preserve">Lowe, M., Harmon, S.H., </w:t>
      </w:r>
      <w:proofErr w:type="spellStart"/>
      <w:r w:rsidRPr="000D408C">
        <w:rPr>
          <w:rFonts w:ascii="Arial" w:hAnsi="Arial" w:cs="Arial"/>
          <w:sz w:val="22"/>
          <w:shd w:val="clear" w:color="auto" w:fill="FFFFFF"/>
        </w:rPr>
        <w:t>Kholina</w:t>
      </w:r>
      <w:proofErr w:type="spellEnd"/>
      <w:r w:rsidRPr="000D408C">
        <w:rPr>
          <w:rFonts w:ascii="Arial" w:hAnsi="Arial" w:cs="Arial"/>
          <w:sz w:val="22"/>
          <w:shd w:val="clear" w:color="auto" w:fill="FFFFFF"/>
        </w:rPr>
        <w:t>, K., Parker, R. and Graham, J.E., (2022). Public health communication in Canada during the COVID-19 pandemic. </w:t>
      </w:r>
      <w:r w:rsidRPr="000D408C">
        <w:rPr>
          <w:rFonts w:ascii="Arial" w:hAnsi="Arial" w:cs="Arial"/>
          <w:i/>
          <w:iCs/>
          <w:sz w:val="22"/>
          <w:shd w:val="clear" w:color="auto" w:fill="FFFFFF"/>
        </w:rPr>
        <w:t>Canadian Journal of Public Health</w:t>
      </w:r>
      <w:r w:rsidRPr="000D408C">
        <w:rPr>
          <w:rFonts w:ascii="Arial" w:hAnsi="Arial" w:cs="Arial"/>
          <w:sz w:val="22"/>
          <w:shd w:val="clear" w:color="auto" w:fill="FFFFFF"/>
        </w:rPr>
        <w:t>, </w:t>
      </w:r>
      <w:r w:rsidRPr="000D408C">
        <w:rPr>
          <w:rFonts w:ascii="Arial" w:hAnsi="Arial" w:cs="Arial"/>
          <w:i/>
          <w:iCs/>
          <w:sz w:val="22"/>
          <w:shd w:val="clear" w:color="auto" w:fill="FFFFFF"/>
        </w:rPr>
        <w:t>113</w:t>
      </w:r>
      <w:r w:rsidRPr="000D408C">
        <w:rPr>
          <w:rFonts w:ascii="Arial" w:hAnsi="Arial" w:cs="Arial"/>
          <w:sz w:val="22"/>
          <w:shd w:val="clear" w:color="auto" w:fill="FFFFFF"/>
        </w:rPr>
        <w:t>(</w:t>
      </w:r>
      <w:proofErr w:type="spellStart"/>
      <w:r w:rsidRPr="000D408C">
        <w:rPr>
          <w:rFonts w:ascii="Arial" w:hAnsi="Arial" w:cs="Arial"/>
          <w:sz w:val="22"/>
          <w:shd w:val="clear" w:color="auto" w:fill="FFFFFF"/>
        </w:rPr>
        <w:t>Suppl</w:t>
      </w:r>
      <w:proofErr w:type="spellEnd"/>
      <w:r w:rsidRPr="000D408C">
        <w:rPr>
          <w:rFonts w:ascii="Arial" w:hAnsi="Arial" w:cs="Arial"/>
          <w:sz w:val="22"/>
          <w:shd w:val="clear" w:color="auto" w:fill="FFFFFF"/>
        </w:rPr>
        <w:t xml:space="preserve"> 1), pp.34-45.</w:t>
      </w:r>
    </w:p>
    <w:p w14:paraId="11A39513"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Mac-</w:t>
      </w:r>
      <w:proofErr w:type="spellStart"/>
      <w:r w:rsidRPr="000D408C">
        <w:rPr>
          <w:rFonts w:ascii="Arial" w:hAnsi="Arial" w:cs="Arial"/>
          <w:sz w:val="22"/>
          <w:shd w:val="clear" w:color="auto" w:fill="FFFFFF"/>
        </w:rPr>
        <w:t>Seing</w:t>
      </w:r>
      <w:proofErr w:type="spellEnd"/>
      <w:r w:rsidRPr="000D408C">
        <w:rPr>
          <w:rFonts w:ascii="Arial" w:hAnsi="Arial" w:cs="Arial"/>
          <w:sz w:val="22"/>
          <w:shd w:val="clear" w:color="auto" w:fill="FFFFFF"/>
        </w:rPr>
        <w:t>, M. and Di Ruggiero, E., (2024). The intersections of COVID-19 Global Health Governance and Population Health priorities: equity-related lessons learned from Canada and selected G20 countries. </w:t>
      </w:r>
      <w:r w:rsidRPr="000D408C">
        <w:rPr>
          <w:rFonts w:ascii="Arial" w:hAnsi="Arial" w:cs="Arial"/>
          <w:i/>
          <w:iCs/>
          <w:sz w:val="22"/>
          <w:shd w:val="clear" w:color="auto" w:fill="FFFFFF"/>
        </w:rPr>
        <w:t>Public Health Reviews</w:t>
      </w:r>
      <w:r w:rsidRPr="000D408C">
        <w:rPr>
          <w:rFonts w:ascii="Arial" w:hAnsi="Arial" w:cs="Arial"/>
          <w:sz w:val="22"/>
          <w:shd w:val="clear" w:color="auto" w:fill="FFFFFF"/>
        </w:rPr>
        <w:t>, </w:t>
      </w:r>
      <w:r w:rsidRPr="000D408C">
        <w:rPr>
          <w:rFonts w:ascii="Arial" w:hAnsi="Arial" w:cs="Arial"/>
          <w:i/>
          <w:iCs/>
          <w:sz w:val="22"/>
          <w:shd w:val="clear" w:color="auto" w:fill="FFFFFF"/>
        </w:rPr>
        <w:t>45</w:t>
      </w:r>
      <w:r w:rsidRPr="000D408C">
        <w:rPr>
          <w:rFonts w:ascii="Arial" w:hAnsi="Arial" w:cs="Arial"/>
          <w:sz w:val="22"/>
          <w:shd w:val="clear" w:color="auto" w:fill="FFFFFF"/>
        </w:rPr>
        <w:t>, p.1606052.</w:t>
      </w:r>
    </w:p>
    <w:p w14:paraId="4B9AB4CC"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rPr>
        <w:t>Marchildon, G.P. (2020) ‘Canada: Health system review’, Health Systems in Transition (</w:t>
      </w:r>
      <w:proofErr w:type="spellStart"/>
      <w:r w:rsidRPr="000D408C">
        <w:rPr>
          <w:rFonts w:ascii="Arial" w:hAnsi="Arial" w:cs="Arial"/>
          <w:sz w:val="22"/>
        </w:rPr>
        <w:t>HiT</w:t>
      </w:r>
      <w:proofErr w:type="spellEnd"/>
      <w:r w:rsidRPr="000D408C">
        <w:rPr>
          <w:rFonts w:ascii="Arial" w:hAnsi="Arial" w:cs="Arial"/>
          <w:sz w:val="22"/>
        </w:rPr>
        <w:t>), 22 (2), pp. 1–200. World Health Organization.</w:t>
      </w:r>
    </w:p>
    <w:p w14:paraId="0916C71C" w14:textId="77777777" w:rsidR="000D408C" w:rsidRPr="000D408C" w:rsidRDefault="000D408C" w:rsidP="000D408C">
      <w:pPr>
        <w:spacing w:line="360" w:lineRule="auto"/>
        <w:ind w:left="720" w:hanging="720"/>
        <w:jc w:val="both"/>
        <w:rPr>
          <w:rFonts w:ascii="Arial" w:hAnsi="Arial" w:cs="Arial"/>
          <w:kern w:val="0"/>
          <w:sz w:val="22"/>
          <w:lang w:val="en-US"/>
          <w14:ligatures w14:val="none"/>
        </w:rPr>
      </w:pPr>
      <w:r w:rsidRPr="000D408C">
        <w:rPr>
          <w:rFonts w:ascii="Arial" w:hAnsi="Arial" w:cs="Arial"/>
          <w:sz w:val="22"/>
        </w:rPr>
        <w:t xml:space="preserve">Mathieu, E., Ritchie, H., </w:t>
      </w:r>
      <w:proofErr w:type="spellStart"/>
      <w:r w:rsidRPr="000D408C">
        <w:rPr>
          <w:rFonts w:ascii="Arial" w:hAnsi="Arial" w:cs="Arial"/>
          <w:sz w:val="22"/>
        </w:rPr>
        <w:t>Rodés</w:t>
      </w:r>
      <w:proofErr w:type="spellEnd"/>
      <w:r w:rsidRPr="000D408C">
        <w:rPr>
          <w:rFonts w:ascii="Arial" w:hAnsi="Arial" w:cs="Arial"/>
          <w:sz w:val="22"/>
        </w:rPr>
        <w:t xml:space="preserve">-Guirao, L., Appel, C., Giattino, C., Hasell, J., Macdonald, B., </w:t>
      </w:r>
      <w:proofErr w:type="spellStart"/>
      <w:r w:rsidRPr="000D408C">
        <w:rPr>
          <w:rFonts w:ascii="Arial" w:hAnsi="Arial" w:cs="Arial"/>
          <w:sz w:val="22"/>
        </w:rPr>
        <w:t>Dattani</w:t>
      </w:r>
      <w:proofErr w:type="spellEnd"/>
      <w:r w:rsidRPr="000D408C">
        <w:rPr>
          <w:rFonts w:ascii="Arial" w:hAnsi="Arial" w:cs="Arial"/>
          <w:sz w:val="22"/>
        </w:rPr>
        <w:t xml:space="preserve">, S., </w:t>
      </w:r>
      <w:proofErr w:type="spellStart"/>
      <w:r w:rsidRPr="000D408C">
        <w:rPr>
          <w:rFonts w:ascii="Arial" w:hAnsi="Arial" w:cs="Arial"/>
          <w:sz w:val="22"/>
        </w:rPr>
        <w:t>Beltekian</w:t>
      </w:r>
      <w:proofErr w:type="spellEnd"/>
      <w:r w:rsidRPr="000D408C">
        <w:rPr>
          <w:rFonts w:ascii="Arial" w:hAnsi="Arial" w:cs="Arial"/>
          <w:sz w:val="22"/>
        </w:rPr>
        <w:t>, D. and Ortiz-Ospina, E. (2020) </w:t>
      </w:r>
      <w:r w:rsidRPr="000D408C">
        <w:rPr>
          <w:rFonts w:ascii="Arial" w:hAnsi="Arial" w:cs="Arial"/>
          <w:i/>
          <w:iCs/>
          <w:sz w:val="22"/>
        </w:rPr>
        <w:t>Spain: Coronavirus Pandemic Country Profile</w:t>
      </w:r>
      <w:r w:rsidRPr="000D408C">
        <w:rPr>
          <w:rFonts w:ascii="Arial" w:hAnsi="Arial" w:cs="Arial"/>
          <w:sz w:val="22"/>
        </w:rPr>
        <w:t>, </w:t>
      </w:r>
      <w:r w:rsidRPr="000D408C">
        <w:rPr>
          <w:rFonts w:ascii="Arial" w:hAnsi="Arial" w:cs="Arial"/>
          <w:i/>
          <w:iCs/>
          <w:sz w:val="22"/>
        </w:rPr>
        <w:t>Our World in Data</w:t>
      </w:r>
      <w:r w:rsidRPr="000D408C">
        <w:rPr>
          <w:rFonts w:ascii="Arial" w:hAnsi="Arial" w:cs="Arial"/>
          <w:sz w:val="22"/>
        </w:rPr>
        <w:t>. Available at: https://ourworldindata.org/coronavirus/country/spain?utm_source=chatgpt.com (Accessed: 17 November 2025).</w:t>
      </w:r>
    </w:p>
    <w:p w14:paraId="49E13E36" w14:textId="77777777" w:rsidR="000D408C" w:rsidRPr="000D408C" w:rsidRDefault="000D408C" w:rsidP="000D408C">
      <w:pPr>
        <w:spacing w:line="360" w:lineRule="auto"/>
        <w:ind w:left="720" w:hanging="720"/>
        <w:jc w:val="both"/>
        <w:rPr>
          <w:rFonts w:ascii="Arial" w:hAnsi="Arial" w:cs="Arial"/>
          <w:kern w:val="0"/>
          <w:sz w:val="22"/>
          <w:lang w:val="en-US"/>
          <w14:ligatures w14:val="none"/>
        </w:rPr>
      </w:pPr>
      <w:r w:rsidRPr="000D408C">
        <w:rPr>
          <w:rFonts w:ascii="Arial" w:hAnsi="Arial" w:cs="Arial"/>
          <w:sz w:val="22"/>
        </w:rPr>
        <w:lastRenderedPageBreak/>
        <w:t>McCarthy, N. and Richter, F. (2020) </w:t>
      </w:r>
      <w:r w:rsidRPr="000D408C">
        <w:rPr>
          <w:rFonts w:ascii="Arial" w:hAnsi="Arial" w:cs="Arial"/>
          <w:i/>
          <w:iCs/>
          <w:sz w:val="22"/>
        </w:rPr>
        <w:t xml:space="preserve">Infographic: South Korea’s Successful Battle </w:t>
      </w:r>
      <w:proofErr w:type="gramStart"/>
      <w:r w:rsidRPr="000D408C">
        <w:rPr>
          <w:rFonts w:ascii="Arial" w:hAnsi="Arial" w:cs="Arial"/>
          <w:i/>
          <w:iCs/>
          <w:sz w:val="22"/>
        </w:rPr>
        <w:t>To</w:t>
      </w:r>
      <w:proofErr w:type="gramEnd"/>
      <w:r w:rsidRPr="000D408C">
        <w:rPr>
          <w:rFonts w:ascii="Arial" w:hAnsi="Arial" w:cs="Arial"/>
          <w:i/>
          <w:iCs/>
          <w:sz w:val="22"/>
        </w:rPr>
        <w:t xml:space="preserve"> Flatten </w:t>
      </w:r>
      <w:proofErr w:type="gramStart"/>
      <w:r w:rsidRPr="000D408C">
        <w:rPr>
          <w:rFonts w:ascii="Arial" w:hAnsi="Arial" w:cs="Arial"/>
          <w:i/>
          <w:iCs/>
          <w:sz w:val="22"/>
        </w:rPr>
        <w:t>The</w:t>
      </w:r>
      <w:proofErr w:type="gramEnd"/>
      <w:r w:rsidRPr="000D408C">
        <w:rPr>
          <w:rFonts w:ascii="Arial" w:hAnsi="Arial" w:cs="Arial"/>
          <w:i/>
          <w:iCs/>
          <w:sz w:val="22"/>
        </w:rPr>
        <w:t xml:space="preserve"> Curve</w:t>
      </w:r>
      <w:r w:rsidRPr="000D408C">
        <w:rPr>
          <w:rFonts w:ascii="Arial" w:hAnsi="Arial" w:cs="Arial"/>
          <w:sz w:val="22"/>
        </w:rPr>
        <w:t>, </w:t>
      </w:r>
      <w:r w:rsidRPr="000D408C">
        <w:rPr>
          <w:rFonts w:ascii="Arial" w:hAnsi="Arial" w:cs="Arial"/>
          <w:i/>
          <w:iCs/>
          <w:sz w:val="22"/>
        </w:rPr>
        <w:t>Statista Daily Data</w:t>
      </w:r>
      <w:r w:rsidRPr="000D408C">
        <w:rPr>
          <w:rFonts w:ascii="Arial" w:hAnsi="Arial" w:cs="Arial"/>
          <w:sz w:val="22"/>
        </w:rPr>
        <w:t>. Available at: https://www.statista.com/chart/21192/cumulative-coronavirus-cases-in-south-korea/?srsltid=AfmBOooxZRo_qSopnQioZNiKTmmfSgj8T6ud15k6rC7UzV1r7eoxn4pz (Accessed: 17 November 2025).</w:t>
      </w:r>
    </w:p>
    <w:p w14:paraId="611C6A91" w14:textId="77777777" w:rsidR="000D408C" w:rsidRPr="000D408C" w:rsidRDefault="000D408C" w:rsidP="000D408C">
      <w:pPr>
        <w:spacing w:line="360" w:lineRule="auto"/>
        <w:ind w:left="720" w:hanging="720"/>
        <w:jc w:val="both"/>
        <w:rPr>
          <w:rFonts w:ascii="Arial" w:hAnsi="Arial" w:cs="Arial"/>
          <w:sz w:val="22"/>
        </w:rPr>
      </w:pPr>
      <w:proofErr w:type="spellStart"/>
      <w:r w:rsidRPr="000D408C">
        <w:rPr>
          <w:rFonts w:ascii="Arial" w:hAnsi="Arial" w:cs="Arial"/>
          <w:sz w:val="22"/>
        </w:rPr>
        <w:t>Ministerio</w:t>
      </w:r>
      <w:proofErr w:type="spellEnd"/>
      <w:r w:rsidRPr="000D408C">
        <w:rPr>
          <w:rFonts w:ascii="Arial" w:hAnsi="Arial" w:cs="Arial"/>
          <w:sz w:val="22"/>
        </w:rPr>
        <w:t xml:space="preserve"> de Sanidad (2021) Informe </w:t>
      </w:r>
      <w:proofErr w:type="spellStart"/>
      <w:r w:rsidRPr="000D408C">
        <w:rPr>
          <w:rFonts w:ascii="Arial" w:hAnsi="Arial" w:cs="Arial"/>
          <w:sz w:val="22"/>
        </w:rPr>
        <w:t>Anual</w:t>
      </w:r>
      <w:proofErr w:type="spellEnd"/>
      <w:r w:rsidRPr="000D408C">
        <w:rPr>
          <w:rFonts w:ascii="Arial" w:hAnsi="Arial" w:cs="Arial"/>
          <w:sz w:val="22"/>
        </w:rPr>
        <w:t xml:space="preserve"> del Sistema Nacional de Salud 2021. Madrid: Government of Spain. Available at: </w:t>
      </w:r>
      <w:hyperlink r:id="rId13" w:history="1">
        <w:r w:rsidRPr="000D408C">
          <w:rPr>
            <w:rStyle w:val="Hyperlink"/>
            <w:rFonts w:ascii="Arial" w:hAnsi="Arial" w:cs="Arial"/>
            <w:color w:val="auto"/>
            <w:sz w:val="22"/>
          </w:rPr>
          <w:t>https://www.sanidad.gob.es/estadEstudios/estadisticas/sisInfSanSNS/tablasEstadisticas/InfAnualSNS2020_21/INFORME_ANUAL_2020_21.pdf</w:t>
        </w:r>
      </w:hyperlink>
      <w:r w:rsidRPr="000D408C">
        <w:rPr>
          <w:rFonts w:ascii="Arial" w:hAnsi="Arial" w:cs="Arial"/>
          <w:sz w:val="22"/>
        </w:rPr>
        <w:t xml:space="preserve"> (Accessed: 30 October 2025).</w:t>
      </w:r>
    </w:p>
    <w:p w14:paraId="1A312B6C"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Northouse, P.G., (2025). </w:t>
      </w:r>
      <w:r w:rsidRPr="000D408C">
        <w:rPr>
          <w:rFonts w:ascii="Arial" w:hAnsi="Arial" w:cs="Arial"/>
          <w:i/>
          <w:iCs/>
          <w:sz w:val="22"/>
          <w:shd w:val="clear" w:color="auto" w:fill="FFFFFF"/>
        </w:rPr>
        <w:t>Leadership: Theory and practice</w:t>
      </w:r>
      <w:r w:rsidRPr="000D408C">
        <w:rPr>
          <w:rFonts w:ascii="Arial" w:hAnsi="Arial" w:cs="Arial"/>
          <w:sz w:val="22"/>
          <w:shd w:val="clear" w:color="auto" w:fill="FFFFFF"/>
        </w:rPr>
        <w:t>. Sage publications.</w:t>
      </w:r>
    </w:p>
    <w:p w14:paraId="6B5B938A"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rPr>
        <w:t>OECD (2021) State of Health in the EU: Spain Country Health Profile 2021. Paris: OECD Publishing. Available at: https://www.oecd.org/en/publications/2021/12/spain-country-health-profile-2021_c14493b2.html (Accessed: 30 October 2025).</w:t>
      </w:r>
    </w:p>
    <w:p w14:paraId="33381603"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rPr>
        <w:t>OECD (2022) State of Health in the EU – Comparative Overview 2022. Paris: OECD Publishing. Available at: https://www.oecd.org/en/publications/health-at-a-glance-europe-2022_507433b0-en.html (Accessed: 30 October 2025).</w:t>
      </w:r>
    </w:p>
    <w:p w14:paraId="09B134C1"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rPr>
        <w:t>OECD (2022) State of Health in the EU: Canada Country Health Profile 2022. Paris: OECD Publishing. Available at: https://www.oecd.org/en/countries/canada.html (Accessed: 30 October 2025).</w:t>
      </w:r>
    </w:p>
    <w:p w14:paraId="6E418469"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Organisation for Economic Co-operation and Development (OECD) (2021) Health at a Glance 2021: OECD Indicators. Paris: OECD Publishing. Available at: https://www.oecd.org/en/publications/2021/11/health-at-a-glance-2021_cc38aa56.html (Accessed: 30 October 2025).</w:t>
      </w:r>
    </w:p>
    <w:p w14:paraId="6281A81A" w14:textId="77777777" w:rsidR="000D408C" w:rsidRPr="000D408C" w:rsidRDefault="000D408C" w:rsidP="000D408C">
      <w:pPr>
        <w:spacing w:line="360" w:lineRule="auto"/>
        <w:ind w:left="720" w:hanging="720"/>
        <w:jc w:val="both"/>
        <w:rPr>
          <w:rFonts w:ascii="Arial" w:hAnsi="Arial" w:cs="Arial"/>
          <w:sz w:val="22"/>
          <w:shd w:val="clear" w:color="auto" w:fill="FFFFFF"/>
        </w:rPr>
      </w:pPr>
      <w:proofErr w:type="spellStart"/>
      <w:r w:rsidRPr="000D408C">
        <w:rPr>
          <w:rFonts w:ascii="Arial" w:hAnsi="Arial" w:cs="Arial"/>
          <w:sz w:val="22"/>
          <w:shd w:val="clear" w:color="auto" w:fill="FFFFFF"/>
        </w:rPr>
        <w:t>Piorun</w:t>
      </w:r>
      <w:proofErr w:type="spellEnd"/>
      <w:r w:rsidRPr="000D408C">
        <w:rPr>
          <w:rFonts w:ascii="Arial" w:hAnsi="Arial" w:cs="Arial"/>
          <w:sz w:val="22"/>
          <w:shd w:val="clear" w:color="auto" w:fill="FFFFFF"/>
        </w:rPr>
        <w:t>, M., Raboin, R.F., Kilham, J., Meacham, M. and Okyere, V., (2021). Leading through a crisis: the application of servant leadership during COVID-19. In </w:t>
      </w:r>
      <w:r w:rsidRPr="000D408C">
        <w:rPr>
          <w:rFonts w:ascii="Arial" w:hAnsi="Arial" w:cs="Arial"/>
          <w:i/>
          <w:iCs/>
          <w:sz w:val="22"/>
          <w:shd w:val="clear" w:color="auto" w:fill="FFFFFF"/>
        </w:rPr>
        <w:t>Handbook of research on library response to the COVID-19 pandemic</w:t>
      </w:r>
      <w:r w:rsidRPr="000D408C">
        <w:rPr>
          <w:rFonts w:ascii="Arial" w:hAnsi="Arial" w:cs="Arial"/>
          <w:sz w:val="22"/>
          <w:shd w:val="clear" w:color="auto" w:fill="FFFFFF"/>
        </w:rPr>
        <w:t> (pp. 1-17). IGI Global Scientific Publishing.</w:t>
      </w:r>
    </w:p>
    <w:p w14:paraId="231AE64F" w14:textId="77777777" w:rsidR="000D408C" w:rsidRPr="000D408C" w:rsidRDefault="000D408C" w:rsidP="000D408C">
      <w:pPr>
        <w:spacing w:line="360" w:lineRule="auto"/>
        <w:ind w:left="720" w:hanging="720"/>
        <w:jc w:val="both"/>
        <w:rPr>
          <w:rStyle w:val="Strong"/>
          <w:rFonts w:ascii="Arial" w:hAnsi="Arial" w:cs="Arial"/>
          <w:b w:val="0"/>
          <w:bCs w:val="0"/>
          <w:sz w:val="22"/>
        </w:rPr>
      </w:pPr>
      <w:r w:rsidRPr="000D408C">
        <w:rPr>
          <w:rFonts w:ascii="Arial" w:hAnsi="Arial" w:cs="Arial"/>
          <w:sz w:val="22"/>
          <w:shd w:val="clear" w:color="auto" w:fill="FFFFFF"/>
        </w:rPr>
        <w:t>Royo, S., (2020). Responding to COVID</w:t>
      </w:r>
      <w:r w:rsidRPr="000D408C">
        <w:rPr>
          <w:rFonts w:ascii="Cambria Math" w:hAnsi="Cambria Math" w:cs="Cambria Math"/>
          <w:sz w:val="22"/>
          <w:shd w:val="clear" w:color="auto" w:fill="FFFFFF"/>
        </w:rPr>
        <w:t>‐</w:t>
      </w:r>
      <w:r w:rsidRPr="000D408C">
        <w:rPr>
          <w:rFonts w:ascii="Arial" w:hAnsi="Arial" w:cs="Arial"/>
          <w:sz w:val="22"/>
          <w:shd w:val="clear" w:color="auto" w:fill="FFFFFF"/>
        </w:rPr>
        <w:t>19: The case of Spain. </w:t>
      </w:r>
      <w:r w:rsidRPr="000D408C">
        <w:rPr>
          <w:rFonts w:ascii="Arial" w:hAnsi="Arial" w:cs="Arial"/>
          <w:i/>
          <w:iCs/>
          <w:sz w:val="22"/>
          <w:shd w:val="clear" w:color="auto" w:fill="FFFFFF"/>
        </w:rPr>
        <w:t>European Policy Analysis</w:t>
      </w:r>
      <w:r w:rsidRPr="000D408C">
        <w:rPr>
          <w:rFonts w:ascii="Arial" w:hAnsi="Arial" w:cs="Arial"/>
          <w:sz w:val="22"/>
          <w:shd w:val="clear" w:color="auto" w:fill="FFFFFF"/>
        </w:rPr>
        <w:t>, </w:t>
      </w:r>
      <w:r w:rsidRPr="000D408C">
        <w:rPr>
          <w:rFonts w:ascii="Arial" w:hAnsi="Arial" w:cs="Arial"/>
          <w:i/>
          <w:iCs/>
          <w:sz w:val="22"/>
          <w:shd w:val="clear" w:color="auto" w:fill="FFFFFF"/>
        </w:rPr>
        <w:t>6</w:t>
      </w:r>
      <w:r w:rsidRPr="000D408C">
        <w:rPr>
          <w:rFonts w:ascii="Arial" w:hAnsi="Arial" w:cs="Arial"/>
          <w:sz w:val="22"/>
          <w:shd w:val="clear" w:color="auto" w:fill="FFFFFF"/>
        </w:rPr>
        <w:t>(2), pp.180-190.</w:t>
      </w:r>
    </w:p>
    <w:p w14:paraId="5A0217A6" w14:textId="77777777" w:rsidR="000D408C" w:rsidRPr="000D408C" w:rsidRDefault="000D408C" w:rsidP="000D408C">
      <w:pPr>
        <w:spacing w:line="360" w:lineRule="auto"/>
        <w:ind w:left="720" w:hanging="720"/>
        <w:jc w:val="both"/>
        <w:rPr>
          <w:rFonts w:ascii="Arial" w:hAnsi="Arial" w:cs="Arial"/>
          <w:sz w:val="22"/>
        </w:rPr>
      </w:pPr>
      <w:proofErr w:type="spellStart"/>
      <w:r w:rsidRPr="000D408C">
        <w:rPr>
          <w:rFonts w:ascii="Arial" w:hAnsi="Arial" w:cs="Arial"/>
          <w:sz w:val="22"/>
        </w:rPr>
        <w:t>sanidad</w:t>
      </w:r>
      <w:proofErr w:type="spellEnd"/>
      <w:r w:rsidRPr="000D408C">
        <w:rPr>
          <w:rFonts w:ascii="Arial" w:hAnsi="Arial" w:cs="Arial"/>
          <w:sz w:val="22"/>
        </w:rPr>
        <w:t xml:space="preserve"> (2024). Annual report on the National Health System of Spain 2022 Executive Summary Available at: </w:t>
      </w:r>
      <w:r w:rsidRPr="000D408C">
        <w:rPr>
          <w:rFonts w:ascii="Arial" w:hAnsi="Arial" w:cs="Arial"/>
          <w:sz w:val="22"/>
        </w:rPr>
        <w:lastRenderedPageBreak/>
        <w:t>https://www.sanidad.gob.es/estadEstudios/estadisticas/sisInfSanSNS/tablasEstadisticas/InfAnualSNS2022/ExecutiveSummary_2022.pdf?utm_source=chatgpt.com (Accessed: 17 November 2025).</w:t>
      </w:r>
    </w:p>
    <w:p w14:paraId="1D5228ED"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shd w:val="clear" w:color="auto" w:fill="FFFFFF"/>
        </w:rPr>
        <w:t>Schnabel, J. and Hegele, Y., (2021). Explaining intergovernmental coordination during the COVID-19 pandemic: Responses in Australia, Canada, Germany, and Switzerland. </w:t>
      </w:r>
      <w:r w:rsidRPr="000D408C">
        <w:rPr>
          <w:rFonts w:ascii="Arial" w:hAnsi="Arial" w:cs="Arial"/>
          <w:i/>
          <w:iCs/>
          <w:sz w:val="22"/>
          <w:shd w:val="clear" w:color="auto" w:fill="FFFFFF"/>
        </w:rPr>
        <w:t>Publius: The Journal of Federalism</w:t>
      </w:r>
      <w:r w:rsidRPr="000D408C">
        <w:rPr>
          <w:rFonts w:ascii="Arial" w:hAnsi="Arial" w:cs="Arial"/>
          <w:sz w:val="22"/>
          <w:shd w:val="clear" w:color="auto" w:fill="FFFFFF"/>
        </w:rPr>
        <w:t>, </w:t>
      </w:r>
      <w:r w:rsidRPr="000D408C">
        <w:rPr>
          <w:rFonts w:ascii="Arial" w:hAnsi="Arial" w:cs="Arial"/>
          <w:i/>
          <w:iCs/>
          <w:sz w:val="22"/>
          <w:shd w:val="clear" w:color="auto" w:fill="FFFFFF"/>
        </w:rPr>
        <w:t>51</w:t>
      </w:r>
      <w:r w:rsidRPr="000D408C">
        <w:rPr>
          <w:rFonts w:ascii="Arial" w:hAnsi="Arial" w:cs="Arial"/>
          <w:sz w:val="22"/>
          <w:shd w:val="clear" w:color="auto" w:fill="FFFFFF"/>
        </w:rPr>
        <w:t>(4), pp.537-569.</w:t>
      </w:r>
    </w:p>
    <w:p w14:paraId="73F8DBF8"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Stall, N.M., Jones, A., Brown, K.A., Rochon, P.A. and Costa, A.P., (2020). For-profit long-term care homes and the risk of COVID-19 outbreaks and resident deaths. </w:t>
      </w:r>
      <w:proofErr w:type="spellStart"/>
      <w:r w:rsidRPr="000D408C">
        <w:rPr>
          <w:rFonts w:ascii="Arial" w:hAnsi="Arial" w:cs="Arial"/>
          <w:i/>
          <w:iCs/>
          <w:sz w:val="22"/>
          <w:shd w:val="clear" w:color="auto" w:fill="FFFFFF"/>
        </w:rPr>
        <w:t>Cmaj</w:t>
      </w:r>
      <w:proofErr w:type="spellEnd"/>
      <w:r w:rsidRPr="000D408C">
        <w:rPr>
          <w:rFonts w:ascii="Arial" w:hAnsi="Arial" w:cs="Arial"/>
          <w:sz w:val="22"/>
          <w:shd w:val="clear" w:color="auto" w:fill="FFFFFF"/>
        </w:rPr>
        <w:t>, </w:t>
      </w:r>
      <w:r w:rsidRPr="000D408C">
        <w:rPr>
          <w:rFonts w:ascii="Arial" w:hAnsi="Arial" w:cs="Arial"/>
          <w:i/>
          <w:iCs/>
          <w:sz w:val="22"/>
          <w:shd w:val="clear" w:color="auto" w:fill="FFFFFF"/>
        </w:rPr>
        <w:t>192</w:t>
      </w:r>
      <w:r w:rsidRPr="000D408C">
        <w:rPr>
          <w:rFonts w:ascii="Arial" w:hAnsi="Arial" w:cs="Arial"/>
          <w:sz w:val="22"/>
          <w:shd w:val="clear" w:color="auto" w:fill="FFFFFF"/>
        </w:rPr>
        <w:t xml:space="preserve">(33), </w:t>
      </w:r>
      <w:proofErr w:type="gramStart"/>
      <w:r w:rsidRPr="000D408C">
        <w:rPr>
          <w:rFonts w:ascii="Arial" w:hAnsi="Arial" w:cs="Arial"/>
          <w:sz w:val="22"/>
          <w:shd w:val="clear" w:color="auto" w:fill="FFFFFF"/>
        </w:rPr>
        <w:t>pp.E</w:t>
      </w:r>
      <w:proofErr w:type="gramEnd"/>
      <w:r w:rsidRPr="000D408C">
        <w:rPr>
          <w:rFonts w:ascii="Arial" w:hAnsi="Arial" w:cs="Arial"/>
          <w:sz w:val="22"/>
          <w:shd w:val="clear" w:color="auto" w:fill="FFFFFF"/>
        </w:rPr>
        <w:t>946-E955.</w:t>
      </w:r>
    </w:p>
    <w:p w14:paraId="2D1BAB10" w14:textId="77777777" w:rsidR="000D408C" w:rsidRPr="000D408C" w:rsidRDefault="000D408C" w:rsidP="000D408C">
      <w:pPr>
        <w:spacing w:line="360" w:lineRule="auto"/>
        <w:jc w:val="both"/>
        <w:rPr>
          <w:rFonts w:ascii="Arial" w:hAnsi="Arial" w:cs="Arial"/>
          <w:kern w:val="0"/>
          <w:sz w:val="22"/>
          <w:lang w:val="en-US"/>
          <w14:ligatures w14:val="none"/>
        </w:rPr>
      </w:pPr>
      <w:r w:rsidRPr="000D408C">
        <w:rPr>
          <w:rFonts w:ascii="Arial" w:hAnsi="Arial" w:cs="Arial"/>
          <w:sz w:val="22"/>
        </w:rPr>
        <w:t xml:space="preserve">Van Aerde., J. (2024) </w:t>
      </w:r>
      <w:r w:rsidRPr="000D408C">
        <w:rPr>
          <w:rFonts w:ascii="Arial" w:hAnsi="Arial" w:cs="Arial"/>
          <w:i/>
          <w:iCs/>
          <w:sz w:val="22"/>
        </w:rPr>
        <w:t>Has regionalization of the Canadian health system contributed to better health?</w:t>
      </w:r>
      <w:r w:rsidRPr="000D408C">
        <w:rPr>
          <w:rFonts w:ascii="Arial" w:hAnsi="Arial" w:cs="Arial"/>
          <w:sz w:val="22"/>
        </w:rPr>
        <w:t> Available at: https://cjpl.ca/regional.html (Accessed: 17 November 2025).</w:t>
      </w:r>
    </w:p>
    <w:p w14:paraId="197E42EE" w14:textId="77777777" w:rsidR="000D408C" w:rsidRPr="000D408C" w:rsidRDefault="000D408C" w:rsidP="000D408C">
      <w:pPr>
        <w:spacing w:line="360" w:lineRule="auto"/>
        <w:ind w:left="720" w:hanging="720"/>
        <w:jc w:val="both"/>
        <w:rPr>
          <w:rFonts w:ascii="Arial" w:hAnsi="Arial" w:cs="Arial"/>
          <w:sz w:val="22"/>
          <w:highlight w:val="yellow"/>
        </w:rPr>
      </w:pPr>
      <w:r w:rsidRPr="000D408C">
        <w:rPr>
          <w:rFonts w:ascii="Arial" w:hAnsi="Arial" w:cs="Arial"/>
          <w:sz w:val="22"/>
          <w:shd w:val="clear" w:color="auto" w:fill="FFFFFF"/>
        </w:rPr>
        <w:t>Wang, H., Marquez, P.V. and Hwang, I., (2024). From MERS to COVID-19: Building a Resilient Health System in the Republic of Korea. </w:t>
      </w:r>
      <w:r w:rsidRPr="000D408C">
        <w:rPr>
          <w:rFonts w:ascii="Arial" w:hAnsi="Arial" w:cs="Arial"/>
          <w:i/>
          <w:iCs/>
          <w:sz w:val="22"/>
          <w:shd w:val="clear" w:color="auto" w:fill="FFFFFF"/>
        </w:rPr>
        <w:t>Strategic Investment for Health System Resilience: A Three-Layer Framework</w:t>
      </w:r>
      <w:r w:rsidRPr="000D408C">
        <w:rPr>
          <w:rFonts w:ascii="Arial" w:hAnsi="Arial" w:cs="Arial"/>
          <w:sz w:val="22"/>
          <w:shd w:val="clear" w:color="auto" w:fill="FFFFFF"/>
        </w:rPr>
        <w:t>.</w:t>
      </w:r>
    </w:p>
    <w:p w14:paraId="1BDA6E31"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t>West, M.A., (2021). Compassionate and collective leadership for cultures of high-quality care. In </w:t>
      </w:r>
      <w:r w:rsidRPr="000D408C">
        <w:rPr>
          <w:rFonts w:ascii="Arial" w:hAnsi="Arial" w:cs="Arial"/>
          <w:i/>
          <w:iCs/>
          <w:sz w:val="22"/>
          <w:shd w:val="clear" w:color="auto" w:fill="FFFFFF"/>
        </w:rPr>
        <w:t>Connecting healthcare worker well-being, patient safety and organisational change: the triple challenge</w:t>
      </w:r>
      <w:r w:rsidRPr="000D408C">
        <w:rPr>
          <w:rFonts w:ascii="Arial" w:hAnsi="Arial" w:cs="Arial"/>
          <w:sz w:val="22"/>
          <w:shd w:val="clear" w:color="auto" w:fill="FFFFFF"/>
        </w:rPr>
        <w:t> (pp. 207-225). Cham: Springer International Publishing.</w:t>
      </w:r>
    </w:p>
    <w:p w14:paraId="25C21D74"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rPr>
        <w:t xml:space="preserve">World Bank (2022) </w:t>
      </w:r>
      <w:r w:rsidRPr="000D408C">
        <w:rPr>
          <w:rStyle w:val="Emphasis"/>
          <w:rFonts w:ascii="Arial" w:hAnsi="Arial" w:cs="Arial"/>
          <w:sz w:val="22"/>
        </w:rPr>
        <w:t>World Development Indicators: COVID-19 Economic and Health Data</w:t>
      </w:r>
      <w:r w:rsidRPr="000D408C">
        <w:rPr>
          <w:rFonts w:ascii="Arial" w:hAnsi="Arial" w:cs="Arial"/>
          <w:sz w:val="22"/>
        </w:rPr>
        <w:t>. Washington DC: World Bank. Available at: https://databank.worldbank.org/source/world-development-indicators (Accessed: 30 October 2025).</w:t>
      </w:r>
    </w:p>
    <w:p w14:paraId="22F0A1D7"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shd w:val="clear" w:color="auto" w:fill="FFFFFF"/>
        </w:rPr>
        <w:t>World Health Organization (2020) WHO Director-General’s Opening Remarks at the Media Briefing on COVID-19 – 11 March 2020. Geneva: WHO.</w:t>
      </w:r>
      <w:r w:rsidRPr="000D408C">
        <w:rPr>
          <w:rFonts w:ascii="Arial" w:hAnsi="Arial" w:cs="Arial"/>
          <w:sz w:val="22"/>
        </w:rPr>
        <w:t xml:space="preserve"> </w:t>
      </w:r>
      <w:r w:rsidRPr="000D408C">
        <w:rPr>
          <w:rFonts w:ascii="Arial" w:hAnsi="Arial" w:cs="Arial"/>
          <w:sz w:val="22"/>
          <w:shd w:val="clear" w:color="auto" w:fill="FFFFFF"/>
        </w:rPr>
        <w:t>Available at: https://www.who.int/director-general/speeches/detail/who-director-general-s-opening-remarks-at-the-media-briefing-on-covid-19---11-march-2020 (Accessed: 30 October 2025).</w:t>
      </w:r>
    </w:p>
    <w:p w14:paraId="047D7F83" w14:textId="77777777" w:rsidR="000D408C" w:rsidRPr="000D408C" w:rsidRDefault="000D408C" w:rsidP="000D408C">
      <w:pPr>
        <w:spacing w:line="360" w:lineRule="auto"/>
        <w:ind w:left="720" w:hanging="720"/>
        <w:jc w:val="both"/>
        <w:rPr>
          <w:rFonts w:ascii="Arial" w:hAnsi="Arial" w:cs="Arial"/>
          <w:sz w:val="22"/>
        </w:rPr>
      </w:pPr>
      <w:r w:rsidRPr="000D408C">
        <w:rPr>
          <w:rFonts w:ascii="Arial" w:hAnsi="Arial" w:cs="Arial"/>
          <w:sz w:val="22"/>
        </w:rPr>
        <w:t>World Health Organization (2021) Building health systems resilience for universal health coverage and health security during the COVID-19 pandemic and beyond. Geneva: WHO. Available at: https://www.who.int/publications/i/item/WHO-UHL-PHC-SP-2021.01 (Accessed: 29 October 2025).</w:t>
      </w:r>
    </w:p>
    <w:p w14:paraId="5D91863A" w14:textId="77777777" w:rsidR="000D408C" w:rsidRPr="000D408C" w:rsidRDefault="000D408C" w:rsidP="000D408C">
      <w:pPr>
        <w:spacing w:line="360" w:lineRule="auto"/>
        <w:ind w:left="720" w:hanging="720"/>
        <w:jc w:val="both"/>
        <w:rPr>
          <w:rFonts w:ascii="Arial" w:hAnsi="Arial" w:cs="Arial"/>
          <w:sz w:val="22"/>
          <w:shd w:val="clear" w:color="auto" w:fill="FFFFFF"/>
        </w:rPr>
      </w:pPr>
      <w:r w:rsidRPr="000D408C">
        <w:rPr>
          <w:rFonts w:ascii="Arial" w:hAnsi="Arial" w:cs="Arial"/>
          <w:sz w:val="22"/>
          <w:shd w:val="clear" w:color="auto" w:fill="FFFFFF"/>
        </w:rPr>
        <w:lastRenderedPageBreak/>
        <w:t>You, J., (2020). Lessons from South Korea’s Covid-19 policy response. </w:t>
      </w:r>
      <w:r w:rsidRPr="000D408C">
        <w:rPr>
          <w:rFonts w:ascii="Arial" w:hAnsi="Arial" w:cs="Arial"/>
          <w:i/>
          <w:iCs/>
          <w:sz w:val="22"/>
          <w:shd w:val="clear" w:color="auto" w:fill="FFFFFF"/>
        </w:rPr>
        <w:t>The American Review of Public Administration</w:t>
      </w:r>
      <w:r w:rsidRPr="000D408C">
        <w:rPr>
          <w:rFonts w:ascii="Arial" w:hAnsi="Arial" w:cs="Arial"/>
          <w:sz w:val="22"/>
          <w:shd w:val="clear" w:color="auto" w:fill="FFFFFF"/>
        </w:rPr>
        <w:t>, </w:t>
      </w:r>
      <w:r w:rsidRPr="000D408C">
        <w:rPr>
          <w:rFonts w:ascii="Arial" w:hAnsi="Arial" w:cs="Arial"/>
          <w:i/>
          <w:iCs/>
          <w:sz w:val="22"/>
          <w:shd w:val="clear" w:color="auto" w:fill="FFFFFF"/>
        </w:rPr>
        <w:t>50</w:t>
      </w:r>
      <w:r w:rsidRPr="000D408C">
        <w:rPr>
          <w:rFonts w:ascii="Arial" w:hAnsi="Arial" w:cs="Arial"/>
          <w:sz w:val="22"/>
          <w:shd w:val="clear" w:color="auto" w:fill="FFFFFF"/>
        </w:rPr>
        <w:t>(6-7), pp.801-808.</w:t>
      </w:r>
    </w:p>
    <w:sectPr w:rsidR="000D408C" w:rsidRPr="000D408C">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24135" w14:textId="77777777" w:rsidR="001B143E" w:rsidRDefault="001B143E" w:rsidP="00D84FA9">
      <w:pPr>
        <w:spacing w:after="0" w:line="240" w:lineRule="auto"/>
      </w:pPr>
      <w:r>
        <w:separator/>
      </w:r>
    </w:p>
  </w:endnote>
  <w:endnote w:type="continuationSeparator" w:id="0">
    <w:p w14:paraId="16BF481F" w14:textId="77777777" w:rsidR="001B143E" w:rsidRDefault="001B143E" w:rsidP="00D84F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6556334"/>
      <w:docPartObj>
        <w:docPartGallery w:val="Page Numbers (Bottom of Page)"/>
        <w:docPartUnique/>
      </w:docPartObj>
    </w:sdtPr>
    <w:sdtEndPr>
      <w:rPr>
        <w:noProof/>
      </w:rPr>
    </w:sdtEndPr>
    <w:sdtContent>
      <w:p w14:paraId="6781AC60" w14:textId="7935F131" w:rsidR="00D84FA9" w:rsidRDefault="00D84F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3C44E6" w14:textId="77777777" w:rsidR="00D84FA9" w:rsidRDefault="00D84F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52914" w14:textId="77777777" w:rsidR="001B143E" w:rsidRDefault="001B143E" w:rsidP="00D84FA9">
      <w:pPr>
        <w:spacing w:after="0" w:line="240" w:lineRule="auto"/>
      </w:pPr>
      <w:r>
        <w:separator/>
      </w:r>
    </w:p>
  </w:footnote>
  <w:footnote w:type="continuationSeparator" w:id="0">
    <w:p w14:paraId="648C692B" w14:textId="77777777" w:rsidR="001B143E" w:rsidRDefault="001B143E" w:rsidP="00D84F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BE0879"/>
    <w:multiLevelType w:val="hybridMultilevel"/>
    <w:tmpl w:val="07303BCC"/>
    <w:lvl w:ilvl="0" w:tplc="71763D82">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706A6F"/>
    <w:multiLevelType w:val="hybridMultilevel"/>
    <w:tmpl w:val="0172AD4C"/>
    <w:lvl w:ilvl="0" w:tplc="4672EDB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952146D"/>
    <w:multiLevelType w:val="multilevel"/>
    <w:tmpl w:val="A07AF44A"/>
    <w:lvl w:ilvl="0">
      <w:start w:val="4"/>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065757635">
    <w:abstractNumId w:val="1"/>
  </w:num>
  <w:num w:numId="2" w16cid:durableId="912618812">
    <w:abstractNumId w:val="2"/>
  </w:num>
  <w:num w:numId="3" w16cid:durableId="809858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2MDWwMDA2sbS0NDRU0lEKTi0uzszPAykwqgUAM5LKeCwAAAA="/>
  </w:docVars>
  <w:rsids>
    <w:rsidRoot w:val="00AD497C"/>
    <w:rsid w:val="000456B1"/>
    <w:rsid w:val="000D408C"/>
    <w:rsid w:val="00174509"/>
    <w:rsid w:val="001B143E"/>
    <w:rsid w:val="00217745"/>
    <w:rsid w:val="00315835"/>
    <w:rsid w:val="00410A55"/>
    <w:rsid w:val="004B2D93"/>
    <w:rsid w:val="004B3A8F"/>
    <w:rsid w:val="004B446D"/>
    <w:rsid w:val="00556CBB"/>
    <w:rsid w:val="0060741A"/>
    <w:rsid w:val="007661AD"/>
    <w:rsid w:val="00866743"/>
    <w:rsid w:val="009B01E3"/>
    <w:rsid w:val="009E6657"/>
    <w:rsid w:val="009E72C8"/>
    <w:rsid w:val="00A5522F"/>
    <w:rsid w:val="00AC794B"/>
    <w:rsid w:val="00AD05A4"/>
    <w:rsid w:val="00AD497C"/>
    <w:rsid w:val="00B23255"/>
    <w:rsid w:val="00B2547D"/>
    <w:rsid w:val="00B86AA4"/>
    <w:rsid w:val="00BC7FF1"/>
    <w:rsid w:val="00C20F72"/>
    <w:rsid w:val="00CC0B32"/>
    <w:rsid w:val="00D84C5F"/>
    <w:rsid w:val="00D84FA9"/>
    <w:rsid w:val="00DD0192"/>
    <w:rsid w:val="00EE4BE7"/>
    <w:rsid w:val="00F91DD6"/>
    <w:rsid w:val="00FD3FE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CEB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509"/>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AC794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C794B"/>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DD0192"/>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B86AA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94B"/>
    <w:rPr>
      <w:rFonts w:ascii="Times New Roman" w:eastAsiaTheme="majorEastAsia" w:hAnsi="Times New Roman" w:cstheme="majorBidi"/>
      <w:b/>
      <w:kern w:val="2"/>
      <w:sz w:val="24"/>
      <w:szCs w:val="32"/>
      <w:lang w:val="en-GB"/>
      <w14:ligatures w14:val="standardContextual"/>
    </w:rPr>
  </w:style>
  <w:style w:type="character" w:customStyle="1" w:styleId="Heading2Char">
    <w:name w:val="Heading 2 Char"/>
    <w:basedOn w:val="DefaultParagraphFont"/>
    <w:link w:val="Heading2"/>
    <w:uiPriority w:val="9"/>
    <w:rsid w:val="00AC794B"/>
    <w:rPr>
      <w:rFonts w:ascii="Times New Roman" w:eastAsiaTheme="majorEastAsia" w:hAnsi="Times New Roman" w:cstheme="majorBidi"/>
      <w:i/>
      <w:kern w:val="2"/>
      <w:sz w:val="24"/>
      <w:szCs w:val="26"/>
      <w:lang w:val="en-GB"/>
      <w14:ligatures w14:val="standardContextual"/>
    </w:rPr>
  </w:style>
  <w:style w:type="paragraph" w:customStyle="1" w:styleId="Heading31">
    <w:name w:val="Heading 31"/>
    <w:basedOn w:val="Normal"/>
    <w:link w:val="heading3Char0"/>
    <w:qFormat/>
    <w:rsid w:val="00A5522F"/>
    <w:rPr>
      <w:b/>
    </w:rPr>
  </w:style>
  <w:style w:type="character" w:customStyle="1" w:styleId="heading3Char0">
    <w:name w:val="heading 3 Char"/>
    <w:basedOn w:val="DefaultParagraphFont"/>
    <w:link w:val="Heading31"/>
    <w:rsid w:val="00A5522F"/>
    <w:rPr>
      <w:rFonts w:ascii="Times New Roman" w:hAnsi="Times New Roman"/>
      <w:b/>
      <w:sz w:val="24"/>
    </w:rPr>
  </w:style>
  <w:style w:type="character" w:customStyle="1" w:styleId="Heading3Char">
    <w:name w:val="Heading 3 Char"/>
    <w:basedOn w:val="DefaultParagraphFont"/>
    <w:link w:val="Heading3"/>
    <w:uiPriority w:val="9"/>
    <w:semiHidden/>
    <w:rsid w:val="00DD0192"/>
    <w:rPr>
      <w:rFonts w:ascii="Times New Roman" w:eastAsiaTheme="majorEastAsia" w:hAnsi="Times New Roman" w:cstheme="majorBidi"/>
      <w:b/>
      <w:kern w:val="2"/>
      <w:sz w:val="24"/>
      <w:szCs w:val="24"/>
      <w:lang w:val="en-GB"/>
      <w14:ligatures w14:val="standardContextual"/>
    </w:rPr>
  </w:style>
  <w:style w:type="paragraph" w:styleId="NormalWeb">
    <w:name w:val="Normal (Web)"/>
    <w:basedOn w:val="Normal"/>
    <w:uiPriority w:val="99"/>
    <w:unhideWhenUsed/>
    <w:rsid w:val="00AD497C"/>
    <w:pPr>
      <w:spacing w:before="100" w:beforeAutospacing="1" w:after="100" w:afterAutospacing="1" w:line="240" w:lineRule="auto"/>
    </w:pPr>
    <w:rPr>
      <w:rFonts w:eastAsia="Times New Roman" w:cs="Times New Roman"/>
      <w:kern w:val="0"/>
      <w:szCs w:val="24"/>
      <w:lang w:val="en-US"/>
      <w14:ligatures w14:val="none"/>
    </w:rPr>
  </w:style>
  <w:style w:type="character" w:styleId="Strong">
    <w:name w:val="Strong"/>
    <w:basedOn w:val="DefaultParagraphFont"/>
    <w:uiPriority w:val="22"/>
    <w:qFormat/>
    <w:rsid w:val="00AD497C"/>
    <w:rPr>
      <w:b/>
      <w:bCs/>
    </w:rPr>
  </w:style>
  <w:style w:type="character" w:styleId="Emphasis">
    <w:name w:val="Emphasis"/>
    <w:basedOn w:val="DefaultParagraphFont"/>
    <w:uiPriority w:val="20"/>
    <w:qFormat/>
    <w:rsid w:val="00F91DD6"/>
    <w:rPr>
      <w:i/>
      <w:iCs/>
    </w:rPr>
  </w:style>
  <w:style w:type="character" w:styleId="Hyperlink">
    <w:name w:val="Hyperlink"/>
    <w:basedOn w:val="DefaultParagraphFont"/>
    <w:uiPriority w:val="99"/>
    <w:unhideWhenUsed/>
    <w:rsid w:val="00F91DD6"/>
    <w:rPr>
      <w:color w:val="0563C1" w:themeColor="hyperlink"/>
      <w:u w:val="single"/>
    </w:rPr>
  </w:style>
  <w:style w:type="paragraph" w:styleId="Header">
    <w:name w:val="header"/>
    <w:basedOn w:val="Normal"/>
    <w:link w:val="HeaderChar"/>
    <w:uiPriority w:val="99"/>
    <w:unhideWhenUsed/>
    <w:rsid w:val="00D84F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4FA9"/>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D84F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4FA9"/>
    <w:rPr>
      <w:rFonts w:ascii="Times New Roman" w:hAnsi="Times New Roman"/>
      <w:kern w:val="2"/>
      <w:sz w:val="24"/>
      <w:lang w:val="en-GB"/>
      <w14:ligatures w14:val="standardContextual"/>
    </w:rPr>
  </w:style>
  <w:style w:type="paragraph" w:styleId="TOCHeading">
    <w:name w:val="TOC Heading"/>
    <w:basedOn w:val="Heading1"/>
    <w:next w:val="Normal"/>
    <w:uiPriority w:val="39"/>
    <w:unhideWhenUsed/>
    <w:qFormat/>
    <w:rsid w:val="00D84FA9"/>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84FA9"/>
    <w:pPr>
      <w:spacing w:after="100"/>
    </w:pPr>
  </w:style>
  <w:style w:type="paragraph" w:styleId="TOC2">
    <w:name w:val="toc 2"/>
    <w:basedOn w:val="Normal"/>
    <w:next w:val="Normal"/>
    <w:autoRedefine/>
    <w:uiPriority w:val="39"/>
    <w:unhideWhenUsed/>
    <w:rsid w:val="00D84FA9"/>
    <w:pPr>
      <w:spacing w:after="100"/>
      <w:ind w:left="240"/>
    </w:pPr>
  </w:style>
  <w:style w:type="table" w:styleId="TableGrid">
    <w:name w:val="Table Grid"/>
    <w:basedOn w:val="TableNormal"/>
    <w:uiPriority w:val="39"/>
    <w:rsid w:val="009E72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B86AA4"/>
    <w:rPr>
      <w:rFonts w:asciiTheme="majorHAnsi" w:eastAsiaTheme="majorEastAsia" w:hAnsiTheme="majorHAnsi" w:cstheme="majorBidi"/>
      <w:i/>
      <w:iCs/>
      <w:color w:val="2F5496" w:themeColor="accent1" w:themeShade="BF"/>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3049617">
      <w:bodyDiv w:val="1"/>
      <w:marLeft w:val="0"/>
      <w:marRight w:val="0"/>
      <w:marTop w:val="0"/>
      <w:marBottom w:val="0"/>
      <w:divBdr>
        <w:top w:val="none" w:sz="0" w:space="0" w:color="auto"/>
        <w:left w:val="none" w:sz="0" w:space="0" w:color="auto"/>
        <w:bottom w:val="none" w:sz="0" w:space="0" w:color="auto"/>
        <w:right w:val="none" w:sz="0" w:space="0" w:color="auto"/>
      </w:divBdr>
    </w:div>
    <w:div w:id="503084975">
      <w:bodyDiv w:val="1"/>
      <w:marLeft w:val="0"/>
      <w:marRight w:val="0"/>
      <w:marTop w:val="0"/>
      <w:marBottom w:val="0"/>
      <w:divBdr>
        <w:top w:val="none" w:sz="0" w:space="0" w:color="auto"/>
        <w:left w:val="none" w:sz="0" w:space="0" w:color="auto"/>
        <w:bottom w:val="none" w:sz="0" w:space="0" w:color="auto"/>
        <w:right w:val="none" w:sz="0" w:space="0" w:color="auto"/>
      </w:divBdr>
    </w:div>
    <w:div w:id="744110406">
      <w:bodyDiv w:val="1"/>
      <w:marLeft w:val="0"/>
      <w:marRight w:val="0"/>
      <w:marTop w:val="0"/>
      <w:marBottom w:val="0"/>
      <w:divBdr>
        <w:top w:val="none" w:sz="0" w:space="0" w:color="auto"/>
        <w:left w:val="none" w:sz="0" w:space="0" w:color="auto"/>
        <w:bottom w:val="none" w:sz="0" w:space="0" w:color="auto"/>
        <w:right w:val="none" w:sz="0" w:space="0" w:color="auto"/>
      </w:divBdr>
    </w:div>
    <w:div w:id="818494747">
      <w:bodyDiv w:val="1"/>
      <w:marLeft w:val="0"/>
      <w:marRight w:val="0"/>
      <w:marTop w:val="0"/>
      <w:marBottom w:val="0"/>
      <w:divBdr>
        <w:top w:val="none" w:sz="0" w:space="0" w:color="auto"/>
        <w:left w:val="none" w:sz="0" w:space="0" w:color="auto"/>
        <w:bottom w:val="none" w:sz="0" w:space="0" w:color="auto"/>
        <w:right w:val="none" w:sz="0" w:space="0" w:color="auto"/>
      </w:divBdr>
    </w:div>
    <w:div w:id="932935498">
      <w:bodyDiv w:val="1"/>
      <w:marLeft w:val="0"/>
      <w:marRight w:val="0"/>
      <w:marTop w:val="0"/>
      <w:marBottom w:val="0"/>
      <w:divBdr>
        <w:top w:val="none" w:sz="0" w:space="0" w:color="auto"/>
        <w:left w:val="none" w:sz="0" w:space="0" w:color="auto"/>
        <w:bottom w:val="none" w:sz="0" w:space="0" w:color="auto"/>
        <w:right w:val="none" w:sz="0" w:space="0" w:color="auto"/>
      </w:divBdr>
    </w:div>
    <w:div w:id="1898318070">
      <w:bodyDiv w:val="1"/>
      <w:marLeft w:val="0"/>
      <w:marRight w:val="0"/>
      <w:marTop w:val="0"/>
      <w:marBottom w:val="0"/>
      <w:divBdr>
        <w:top w:val="none" w:sz="0" w:space="0" w:color="auto"/>
        <w:left w:val="none" w:sz="0" w:space="0" w:color="auto"/>
        <w:bottom w:val="none" w:sz="0" w:space="0" w:color="auto"/>
        <w:right w:val="none" w:sz="0" w:space="0" w:color="auto"/>
      </w:divBdr>
    </w:div>
    <w:div w:id="1907300714">
      <w:bodyDiv w:val="1"/>
      <w:marLeft w:val="0"/>
      <w:marRight w:val="0"/>
      <w:marTop w:val="0"/>
      <w:marBottom w:val="0"/>
      <w:divBdr>
        <w:top w:val="none" w:sz="0" w:space="0" w:color="auto"/>
        <w:left w:val="none" w:sz="0" w:space="0" w:color="auto"/>
        <w:bottom w:val="none" w:sz="0" w:space="0" w:color="auto"/>
        <w:right w:val="none" w:sz="0" w:space="0" w:color="auto"/>
      </w:divBdr>
    </w:div>
    <w:div w:id="1953629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anidad.gob.es/estadEstudios/estadisticas/sisInfSanSNS/tablasEstadisticas/InfAnualSNS2020_21/INFORME_ANUAL_2020_21.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D73463-AEC4-4FFB-A12F-480751F23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7047</Words>
  <Characters>40174</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2025-10-30T14:11:00Z</dcterms:created>
  <dcterms:modified xsi:type="dcterms:W3CDTF">2025-11-18T12:36:00Z</dcterms:modified>
</cp:coreProperties>
</file>