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sz w:val="24"/>
          <w:szCs w:val="24"/>
        </w:rPr>
        <w:id w:val="-1522475554"/>
        <w:docPartObj>
          <w:docPartGallery w:val="Cover Pages"/>
          <w:docPartUnique/>
        </w:docPartObj>
      </w:sdtPr>
      <w:sdtContent>
        <w:p w14:paraId="2B4F1877" w14:textId="77777777" w:rsidR="00054C16" w:rsidRPr="00054C16" w:rsidRDefault="00054C16" w:rsidP="008E3C36">
          <w:pPr>
            <w:spacing w:line="360" w:lineRule="auto"/>
            <w:jc w:val="center"/>
            <w:rPr>
              <w:rFonts w:ascii="Times New Roman" w:hAnsi="Times New Roman" w:cs="Times New Roman"/>
              <w:sz w:val="24"/>
              <w:szCs w:val="24"/>
              <w:lang w:val="en-US"/>
            </w:rPr>
          </w:pPr>
          <w:r w:rsidRPr="00054C16">
            <w:rPr>
              <w:rFonts w:ascii="Times New Roman" w:hAnsi="Times New Roman" w:cs="Times New Roman"/>
              <w:sz w:val="24"/>
              <w:szCs w:val="24"/>
              <w:lang w:val="en-US"/>
            </w:rPr>
            <w:drawing>
              <wp:inline distT="0" distB="0" distL="0" distR="0" wp14:anchorId="714D3B3A" wp14:editId="5703D28C">
                <wp:extent cx="1417320" cy="750898"/>
                <wp:effectExtent l="0" t="0" r="0" b="0"/>
                <wp:docPr id="143" name="Picture 143"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AI-generated content may be incorrect."/>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Toc198475586" w:displacedByCustomXml="next"/>
        <w:sdt>
          <w:sdtPr>
            <w:rPr>
              <w:sz w:val="56"/>
              <w:szCs w:val="56"/>
              <w:lang w:val="en-US"/>
            </w:rPr>
            <w:alias w:val="Title"/>
            <w:tag w:val=""/>
            <w:id w:val="1735040861"/>
            <w:placeholder>
              <w:docPart w:val="5DAB3D96D9D0467D9F442B27E8DE176C"/>
            </w:placeholder>
            <w:dataBinding w:prefixMappings="xmlns:ns0='http://purl.org/dc/elements/1.1/' xmlns:ns1='http://schemas.openxmlformats.org/package/2006/metadata/core-properties' " w:xpath="/ns1:coreProperties[1]/ns0:title[1]" w:storeItemID="{6C3C8BC8-F283-45AE-878A-BAB7291924A1}"/>
            <w:text/>
          </w:sdtPr>
          <w:sdtContent>
            <w:p w14:paraId="146A62BA" w14:textId="4F8985D1" w:rsidR="00054C16" w:rsidRPr="00054C16" w:rsidRDefault="00054C16" w:rsidP="008E3C36">
              <w:pPr>
                <w:pStyle w:val="Heading1"/>
                <w:jc w:val="center"/>
                <w:rPr>
                  <w:lang w:val="en-US"/>
                </w:rPr>
              </w:pPr>
              <w:r w:rsidRPr="00054C16">
                <w:rPr>
                  <w:sz w:val="56"/>
                  <w:szCs w:val="56"/>
                  <w:lang w:val="en-US"/>
                </w:rPr>
                <w:t>Leading the reshaping of the strategic direction in the context of digital change</w:t>
              </w:r>
            </w:p>
          </w:sdtContent>
        </w:sdt>
        <w:bookmarkEnd w:id="0" w:displacedByCustomXml="prev"/>
        <w:bookmarkStart w:id="1" w:name="_Toc198475587" w:displacedByCustomXml="next"/>
        <w:sdt>
          <w:sdtPr>
            <w:rPr>
              <w:sz w:val="52"/>
              <w:szCs w:val="52"/>
              <w:lang w:val="en-US"/>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505A36B6" w14:textId="49E835D1" w:rsidR="00054C16" w:rsidRPr="00054C16" w:rsidRDefault="00054C16" w:rsidP="008E3C36">
              <w:pPr>
                <w:pStyle w:val="Heading1"/>
                <w:jc w:val="center"/>
                <w:rPr>
                  <w:lang w:val="en-US"/>
                </w:rPr>
              </w:pPr>
              <w:r w:rsidRPr="00054C16">
                <w:rPr>
                  <w:sz w:val="52"/>
                  <w:szCs w:val="52"/>
                  <w:lang w:val="en-US"/>
                </w:rPr>
                <w:t>SONY</w:t>
              </w:r>
            </w:p>
          </w:sdtContent>
        </w:sdt>
        <w:bookmarkEnd w:id="1" w:displacedByCustomXml="prev"/>
        <w:p w14:paraId="2FF1C659" w14:textId="77777777" w:rsidR="00054C16" w:rsidRPr="00054C16" w:rsidRDefault="00054C16" w:rsidP="008E3C36">
          <w:pPr>
            <w:spacing w:line="360" w:lineRule="auto"/>
            <w:jc w:val="center"/>
            <w:rPr>
              <w:rFonts w:ascii="Times New Roman" w:hAnsi="Times New Roman" w:cs="Times New Roman"/>
              <w:sz w:val="24"/>
              <w:szCs w:val="24"/>
              <w:lang w:val="en-US"/>
            </w:rPr>
          </w:pPr>
          <w:r w:rsidRPr="00054C16">
            <w:rPr>
              <w:rFonts w:ascii="Times New Roman" w:hAnsi="Times New Roman" w:cs="Times New Roman"/>
              <w:sz w:val="24"/>
              <w:szCs w:val="24"/>
              <w:lang w:val="en-US"/>
            </w:rPr>
            <mc:AlternateContent>
              <mc:Choice Requires="wps">
                <w:drawing>
                  <wp:anchor distT="0" distB="0" distL="114300" distR="114300" simplePos="0" relativeHeight="251659264" behindDoc="0" locked="0" layoutInCell="1" allowOverlap="1" wp14:anchorId="2665F227" wp14:editId="3007797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68E3F527" w14:textId="5CFB2088" w:rsidR="00054C16" w:rsidRDefault="00054C16" w:rsidP="00054C16">
                                    <w:pPr>
                                      <w:pStyle w:val="NoSpacing"/>
                                      <w:spacing w:after="40"/>
                                      <w:jc w:val="center"/>
                                      <w:rPr>
                                        <w:caps/>
                                        <w:color w:val="156082" w:themeColor="accent1"/>
                                        <w:sz w:val="28"/>
                                        <w:szCs w:val="28"/>
                                      </w:rPr>
                                    </w:pPr>
                                    <w:r>
                                      <w:rPr>
                                        <w:caps/>
                                        <w:color w:val="156082" w:themeColor="accent1"/>
                                        <w:sz w:val="28"/>
                                        <w:szCs w:val="28"/>
                                      </w:rPr>
                                      <w:t>May 19, 2025</w:t>
                                    </w:r>
                                  </w:p>
                                </w:sdtContent>
                              </w:sdt>
                              <w:p w14:paraId="0C40C3F2" w14:textId="77777777" w:rsidR="00054C16" w:rsidRDefault="00054C16" w:rsidP="00054C16">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2BA9C82C" w14:textId="3C43F83E" w:rsidR="00054C16" w:rsidRDefault="00054C16" w:rsidP="00054C1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2112461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65F227"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68E3F527" w14:textId="5CFB2088" w:rsidR="00054C16" w:rsidRDefault="00054C16" w:rsidP="00054C16">
                              <w:pPr>
                                <w:pStyle w:val="NoSpacing"/>
                                <w:spacing w:after="40"/>
                                <w:jc w:val="center"/>
                                <w:rPr>
                                  <w:caps/>
                                  <w:color w:val="156082" w:themeColor="accent1"/>
                                  <w:sz w:val="28"/>
                                  <w:szCs w:val="28"/>
                                </w:rPr>
                              </w:pPr>
                              <w:r>
                                <w:rPr>
                                  <w:caps/>
                                  <w:color w:val="156082" w:themeColor="accent1"/>
                                  <w:sz w:val="28"/>
                                  <w:szCs w:val="28"/>
                                </w:rPr>
                                <w:t>May 19, 2025</w:t>
                              </w:r>
                            </w:p>
                          </w:sdtContent>
                        </w:sdt>
                        <w:p w14:paraId="0C40C3F2" w14:textId="77777777" w:rsidR="00054C16" w:rsidRDefault="00054C16" w:rsidP="00054C16">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2BA9C82C" w14:textId="3C43F83E" w:rsidR="00054C16" w:rsidRDefault="00054C16" w:rsidP="00054C1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2112461</w:t>
                              </w:r>
                            </w:sdtContent>
                          </w:sdt>
                        </w:p>
                      </w:txbxContent>
                    </v:textbox>
                    <w10:wrap anchorx="margin" anchory="page"/>
                  </v:shape>
                </w:pict>
              </mc:Fallback>
            </mc:AlternateContent>
          </w:r>
          <w:r w:rsidRPr="00054C16">
            <w:rPr>
              <w:rFonts w:ascii="Times New Roman" w:hAnsi="Times New Roman" w:cs="Times New Roman"/>
              <w:sz w:val="24"/>
              <w:szCs w:val="24"/>
              <w:lang w:val="en-US"/>
            </w:rPr>
            <w:drawing>
              <wp:inline distT="0" distB="0" distL="0" distR="0" wp14:anchorId="29CBA605" wp14:editId="48B127D7">
                <wp:extent cx="758952" cy="478932"/>
                <wp:effectExtent l="0" t="0" r="3175" b="0"/>
                <wp:docPr id="144" name="Picture 144"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AI-generated content may be incorrect."/>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532330" w14:textId="77777777" w:rsidR="00054C16" w:rsidRDefault="00054C16" w:rsidP="00054C16">
          <w:pPr>
            <w:pStyle w:val="Heading1"/>
            <w:jc w:val="center"/>
          </w:pPr>
          <w:r w:rsidRPr="00054C16">
            <w:br w:type="page"/>
          </w:r>
          <w:bookmarkStart w:id="2" w:name="_Toc198475588"/>
          <w:r w:rsidRPr="00054C16">
            <w:lastRenderedPageBreak/>
            <w:t>Executive Summary</w:t>
          </w:r>
          <w:bookmarkEnd w:id="2"/>
        </w:p>
        <w:p w14:paraId="0998FBF6" w14:textId="77777777" w:rsidR="00054C16" w:rsidRPr="00054C16" w:rsidRDefault="00054C16" w:rsidP="00054C16">
          <w:pPr>
            <w:jc w:val="both"/>
          </w:pPr>
        </w:p>
        <w:p w14:paraId="3579E6FE"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This report analyses Sony’s strategic environment, leadership styles, and new strategies to stay competitive in an era of rapid digital change. The company needs to change to a customer-oriented “Ecosystem Orchestrator” model, based on personalization, cross-platform alignment, and supplementary value-added services. To do this, Sony needs to use customers’ data to strategize, remove internal barriers between the divisions, and develop a service-focused mindset. The PESTLE framework reveals major forces that shape Sony’s operations. Trade turbulences, fragmented regulatory regimes, and unending geopolitical ambiguity present challenges to the company. Inflation and supply chain difficulties are pressures currently facing the economy that have raised consumers' spending and manufacturing costs. The lifestyle shape-shift of consumers, particularly those used to digital technology, pushes content towards streaming. Improvements in such technologies as AI, IoT, and cloud computing offer opportunities and are associated with challenges. The rules enshrined in intellectual property and data privacy work require scrutiny. The principle of environmental sustainability has become a strategic priority.</w:t>
          </w:r>
        </w:p>
        <w:p w14:paraId="209F7019"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Porter's Five Forces analysis indicates moderate to high threats from new entrants and substitutes, moderate bargaining power of suppliers, and mild to high bargaining power of buyers. Competitive rivalry is intense across all business segments. Internally, Sony's value chain exhibits strengths in inbound logistics and operations, but weaknesses in digital customer acquisition and fragmented service activities. Organizational culture balances innovation with precision engineering, but digital transformation initiatives have progressed unevenly.</w:t>
          </w:r>
        </w:p>
        <w:p w14:paraId="1F9C300C"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The current corporate strategy focuses on strengthening the Game &amp; Network Services business, driving growth in Entertainment, and accelerating the position of Imaging &amp; Sensing Solutions. This strategy emphasizes differentiation and technological innovation. Emerging digital technologies have revolutionized Sony's market standing and operations, improving product capabilities and enabling personalized customer experiences. The company is shifting towards direct-to-consumer relationships through subscription services. Based on the analysis, three strategic options emerge: (1) an integrated digital entertainment ecosystem, (2) AI-powered product and content innovation, and (3) a sensing solutions platform for the IoT era.</w:t>
          </w:r>
        </w:p>
        <w:p w14:paraId="45EC0258"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Effective leadership is crucial for successful digital transformation. Transformational leadership inspires commitment and fosters collaboration, while adaptive leadership helps </w:t>
          </w:r>
          <w:r w:rsidRPr="00054C16">
            <w:rPr>
              <w:rFonts w:ascii="Times New Roman" w:hAnsi="Times New Roman" w:cs="Times New Roman"/>
              <w:sz w:val="24"/>
              <w:szCs w:val="24"/>
            </w:rPr>
            <w:lastRenderedPageBreak/>
            <w:t>navigate uncertainty and empowers stakeholders. An integrated model combining both theories maximizes success. Recommendations for reshaping Sony's strategic direction include a strategic shift from product-centric to customer-centric, adopting Kotter's 8-Step Change Model for implementation, and cultivating visionary, collaborative, and agile digital leadership. Digital transformation will profoundly impact all functional areas of Sony's organization, requiring significant cultural and organizational shifts. Overcoming resistance to change requires clear communication, employee involvement, and unwavering leadership commitment.</w:t>
          </w:r>
        </w:p>
        <w:p w14:paraId="0A22B679"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br w:type="page"/>
          </w:r>
        </w:p>
        <w:p w14:paraId="70BF04E3" w14:textId="77777777" w:rsidR="00054C16" w:rsidRPr="00054C16" w:rsidRDefault="00054C16" w:rsidP="00054C16">
          <w:pPr>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1297214018"/>
            <w:docPartObj>
              <w:docPartGallery w:val="Table of Contents"/>
              <w:docPartUnique/>
            </w:docPartObj>
          </w:sdtPr>
          <w:sdtEndPr>
            <w:rPr>
              <w:bCs/>
            </w:rPr>
          </w:sdtEndPr>
          <w:sdtContent>
            <w:p w14:paraId="22800910" w14:textId="108538D3" w:rsidR="008E3C36" w:rsidRPr="008E3C36" w:rsidRDefault="00054C16" w:rsidP="008E3C36">
              <w:pPr>
                <w:spacing w:line="360" w:lineRule="auto"/>
                <w:jc w:val="both"/>
                <w:rPr>
                  <w:rFonts w:ascii="Times New Roman" w:hAnsi="Times New Roman" w:cs="Times New Roman"/>
                  <w:sz w:val="24"/>
                  <w:szCs w:val="24"/>
                  <w:lang w:val="en-US"/>
                </w:rPr>
              </w:pPr>
              <w:r w:rsidRPr="00054C16">
                <w:rPr>
                  <w:rFonts w:ascii="Times New Roman" w:hAnsi="Times New Roman" w:cs="Times New Roman"/>
                  <w:sz w:val="24"/>
                  <w:szCs w:val="24"/>
                  <w:lang w:val="en-US"/>
                </w:rPr>
                <w:t>Table of Contents</w:t>
              </w:r>
              <w:r w:rsidRPr="00054C16">
                <w:rPr>
                  <w:rFonts w:ascii="Times New Roman" w:hAnsi="Times New Roman" w:cs="Times New Roman"/>
                  <w:sz w:val="24"/>
                  <w:szCs w:val="24"/>
                </w:rPr>
                <w:fldChar w:fldCharType="begin"/>
              </w:r>
              <w:r w:rsidRPr="00054C16">
                <w:rPr>
                  <w:rFonts w:ascii="Times New Roman" w:hAnsi="Times New Roman" w:cs="Times New Roman"/>
                  <w:sz w:val="24"/>
                  <w:szCs w:val="24"/>
                </w:rPr>
                <w:instrText xml:space="preserve"> TOC \o "1-3" \h \z \u </w:instrText>
              </w:r>
              <w:r w:rsidRPr="00054C16">
                <w:rPr>
                  <w:rFonts w:ascii="Times New Roman" w:hAnsi="Times New Roman" w:cs="Times New Roman"/>
                  <w:sz w:val="24"/>
                  <w:szCs w:val="24"/>
                </w:rPr>
                <w:fldChar w:fldCharType="separate"/>
              </w:r>
            </w:p>
            <w:p w14:paraId="24E87B36" w14:textId="0D8FCEA2" w:rsidR="008E3C36" w:rsidRDefault="008E3C36">
              <w:pPr>
                <w:pStyle w:val="TOC1"/>
                <w:tabs>
                  <w:tab w:val="right" w:leader="dot" w:pos="9016"/>
                </w:tabs>
                <w:rPr>
                  <w:rFonts w:eastAsiaTheme="minorEastAsia"/>
                  <w:noProof/>
                  <w:kern w:val="2"/>
                  <w:sz w:val="24"/>
                  <w:szCs w:val="24"/>
                  <w:lang w:eastAsia="en-GB"/>
                  <w14:ligatures w14:val="standardContextual"/>
                </w:rPr>
              </w:pPr>
              <w:hyperlink w:anchor="_Toc198475588" w:history="1">
                <w:r w:rsidRPr="001616D6">
                  <w:rPr>
                    <w:rStyle w:val="Hyperlink"/>
                    <w:noProof/>
                  </w:rPr>
                  <w:t>Executive Summary</w:t>
                </w:r>
                <w:r>
                  <w:rPr>
                    <w:noProof/>
                    <w:webHidden/>
                  </w:rPr>
                  <w:tab/>
                </w:r>
                <w:r>
                  <w:rPr>
                    <w:noProof/>
                    <w:webHidden/>
                  </w:rPr>
                  <w:fldChar w:fldCharType="begin"/>
                </w:r>
                <w:r>
                  <w:rPr>
                    <w:noProof/>
                    <w:webHidden/>
                  </w:rPr>
                  <w:instrText xml:space="preserve"> PAGEREF _Toc198475588 \h </w:instrText>
                </w:r>
                <w:r>
                  <w:rPr>
                    <w:noProof/>
                    <w:webHidden/>
                  </w:rPr>
                </w:r>
                <w:r>
                  <w:rPr>
                    <w:noProof/>
                    <w:webHidden/>
                  </w:rPr>
                  <w:fldChar w:fldCharType="separate"/>
                </w:r>
                <w:r>
                  <w:rPr>
                    <w:noProof/>
                    <w:webHidden/>
                  </w:rPr>
                  <w:t>1</w:t>
                </w:r>
                <w:r>
                  <w:rPr>
                    <w:noProof/>
                    <w:webHidden/>
                  </w:rPr>
                  <w:fldChar w:fldCharType="end"/>
                </w:r>
              </w:hyperlink>
            </w:p>
            <w:p w14:paraId="05CB9CA4" w14:textId="06BA3FE2" w:rsidR="008E3C36" w:rsidRDefault="008E3C36">
              <w:pPr>
                <w:pStyle w:val="TOC1"/>
                <w:tabs>
                  <w:tab w:val="right" w:leader="dot" w:pos="9016"/>
                </w:tabs>
                <w:rPr>
                  <w:rFonts w:eastAsiaTheme="minorEastAsia"/>
                  <w:noProof/>
                  <w:kern w:val="2"/>
                  <w:sz w:val="24"/>
                  <w:szCs w:val="24"/>
                  <w:lang w:eastAsia="en-GB"/>
                  <w14:ligatures w14:val="standardContextual"/>
                </w:rPr>
              </w:pPr>
              <w:hyperlink w:anchor="_Toc198475589" w:history="1">
                <w:r w:rsidRPr="001616D6">
                  <w:rPr>
                    <w:rStyle w:val="Hyperlink"/>
                    <w:noProof/>
                  </w:rPr>
                  <w:t>1.0 Introduction</w:t>
                </w:r>
                <w:r>
                  <w:rPr>
                    <w:noProof/>
                    <w:webHidden/>
                  </w:rPr>
                  <w:tab/>
                </w:r>
                <w:r>
                  <w:rPr>
                    <w:noProof/>
                    <w:webHidden/>
                  </w:rPr>
                  <w:fldChar w:fldCharType="begin"/>
                </w:r>
                <w:r>
                  <w:rPr>
                    <w:noProof/>
                    <w:webHidden/>
                  </w:rPr>
                  <w:instrText xml:space="preserve"> PAGEREF _Toc198475589 \h </w:instrText>
                </w:r>
                <w:r>
                  <w:rPr>
                    <w:noProof/>
                    <w:webHidden/>
                  </w:rPr>
                </w:r>
                <w:r>
                  <w:rPr>
                    <w:noProof/>
                    <w:webHidden/>
                  </w:rPr>
                  <w:fldChar w:fldCharType="separate"/>
                </w:r>
                <w:r>
                  <w:rPr>
                    <w:noProof/>
                    <w:webHidden/>
                  </w:rPr>
                  <w:t>4</w:t>
                </w:r>
                <w:r>
                  <w:rPr>
                    <w:noProof/>
                    <w:webHidden/>
                  </w:rPr>
                  <w:fldChar w:fldCharType="end"/>
                </w:r>
              </w:hyperlink>
            </w:p>
            <w:p w14:paraId="6F44E0C5" w14:textId="25DB0545" w:rsidR="008E3C36" w:rsidRDefault="008E3C36">
              <w:pPr>
                <w:pStyle w:val="TOC1"/>
                <w:tabs>
                  <w:tab w:val="right" w:leader="dot" w:pos="9016"/>
                </w:tabs>
                <w:rPr>
                  <w:rFonts w:eastAsiaTheme="minorEastAsia"/>
                  <w:noProof/>
                  <w:kern w:val="2"/>
                  <w:sz w:val="24"/>
                  <w:szCs w:val="24"/>
                  <w:lang w:eastAsia="en-GB"/>
                  <w14:ligatures w14:val="standardContextual"/>
                </w:rPr>
              </w:pPr>
              <w:hyperlink w:anchor="_Toc198475590" w:history="1">
                <w:r w:rsidRPr="001616D6">
                  <w:rPr>
                    <w:rStyle w:val="Hyperlink"/>
                    <w:noProof/>
                  </w:rPr>
                  <w:t>2.0 Main Findings</w:t>
                </w:r>
                <w:r>
                  <w:rPr>
                    <w:noProof/>
                    <w:webHidden/>
                  </w:rPr>
                  <w:tab/>
                </w:r>
                <w:r>
                  <w:rPr>
                    <w:noProof/>
                    <w:webHidden/>
                  </w:rPr>
                  <w:fldChar w:fldCharType="begin"/>
                </w:r>
                <w:r>
                  <w:rPr>
                    <w:noProof/>
                    <w:webHidden/>
                  </w:rPr>
                  <w:instrText xml:space="preserve"> PAGEREF _Toc198475590 \h </w:instrText>
                </w:r>
                <w:r>
                  <w:rPr>
                    <w:noProof/>
                    <w:webHidden/>
                  </w:rPr>
                </w:r>
                <w:r>
                  <w:rPr>
                    <w:noProof/>
                    <w:webHidden/>
                  </w:rPr>
                  <w:fldChar w:fldCharType="separate"/>
                </w:r>
                <w:r>
                  <w:rPr>
                    <w:noProof/>
                    <w:webHidden/>
                  </w:rPr>
                  <w:t>5</w:t>
                </w:r>
                <w:r>
                  <w:rPr>
                    <w:noProof/>
                    <w:webHidden/>
                  </w:rPr>
                  <w:fldChar w:fldCharType="end"/>
                </w:r>
              </w:hyperlink>
            </w:p>
            <w:p w14:paraId="406FD150" w14:textId="027DCBEC" w:rsidR="008E3C36" w:rsidRDefault="008E3C36">
              <w:pPr>
                <w:pStyle w:val="TOC2"/>
                <w:tabs>
                  <w:tab w:val="right" w:leader="dot" w:pos="9016"/>
                </w:tabs>
                <w:rPr>
                  <w:noProof/>
                </w:rPr>
              </w:pPr>
              <w:hyperlink w:anchor="_Toc198475591" w:history="1">
                <w:r w:rsidRPr="001616D6">
                  <w:rPr>
                    <w:rStyle w:val="Hyperlink"/>
                    <w:noProof/>
                  </w:rPr>
                  <w:t>2.1: Strategic Environment of the Organisation</w:t>
                </w:r>
                <w:r>
                  <w:rPr>
                    <w:noProof/>
                    <w:webHidden/>
                  </w:rPr>
                  <w:tab/>
                </w:r>
                <w:r>
                  <w:rPr>
                    <w:noProof/>
                    <w:webHidden/>
                  </w:rPr>
                  <w:fldChar w:fldCharType="begin"/>
                </w:r>
                <w:r>
                  <w:rPr>
                    <w:noProof/>
                    <w:webHidden/>
                  </w:rPr>
                  <w:instrText xml:space="preserve"> PAGEREF _Toc198475591 \h </w:instrText>
                </w:r>
                <w:r>
                  <w:rPr>
                    <w:noProof/>
                    <w:webHidden/>
                  </w:rPr>
                </w:r>
                <w:r>
                  <w:rPr>
                    <w:noProof/>
                    <w:webHidden/>
                  </w:rPr>
                  <w:fldChar w:fldCharType="separate"/>
                </w:r>
                <w:r>
                  <w:rPr>
                    <w:noProof/>
                    <w:webHidden/>
                  </w:rPr>
                  <w:t>5</w:t>
                </w:r>
                <w:r>
                  <w:rPr>
                    <w:noProof/>
                    <w:webHidden/>
                  </w:rPr>
                  <w:fldChar w:fldCharType="end"/>
                </w:r>
              </w:hyperlink>
            </w:p>
            <w:p w14:paraId="1CBDCBB2" w14:textId="7426FEAB" w:rsidR="008E3C36" w:rsidRDefault="008E3C36">
              <w:pPr>
                <w:pStyle w:val="TOC3"/>
                <w:tabs>
                  <w:tab w:val="right" w:leader="dot" w:pos="9016"/>
                </w:tabs>
                <w:rPr>
                  <w:noProof/>
                </w:rPr>
              </w:pPr>
              <w:hyperlink w:anchor="_Toc198475592" w:history="1">
                <w:r w:rsidRPr="001616D6">
                  <w:rPr>
                    <w:rStyle w:val="Hyperlink"/>
                    <w:noProof/>
                  </w:rPr>
                  <w:t>Overview of Strategy and Its Role in Driving Business Success</w:t>
                </w:r>
                <w:r>
                  <w:rPr>
                    <w:noProof/>
                    <w:webHidden/>
                  </w:rPr>
                  <w:tab/>
                </w:r>
                <w:r>
                  <w:rPr>
                    <w:noProof/>
                    <w:webHidden/>
                  </w:rPr>
                  <w:fldChar w:fldCharType="begin"/>
                </w:r>
                <w:r>
                  <w:rPr>
                    <w:noProof/>
                    <w:webHidden/>
                  </w:rPr>
                  <w:instrText xml:space="preserve"> PAGEREF _Toc198475592 \h </w:instrText>
                </w:r>
                <w:r>
                  <w:rPr>
                    <w:noProof/>
                    <w:webHidden/>
                  </w:rPr>
                </w:r>
                <w:r>
                  <w:rPr>
                    <w:noProof/>
                    <w:webHidden/>
                  </w:rPr>
                  <w:fldChar w:fldCharType="separate"/>
                </w:r>
                <w:r>
                  <w:rPr>
                    <w:noProof/>
                    <w:webHidden/>
                  </w:rPr>
                  <w:t>5</w:t>
                </w:r>
                <w:r>
                  <w:rPr>
                    <w:noProof/>
                    <w:webHidden/>
                  </w:rPr>
                  <w:fldChar w:fldCharType="end"/>
                </w:r>
              </w:hyperlink>
            </w:p>
            <w:p w14:paraId="383C3924" w14:textId="7DE6C51F" w:rsidR="008E3C36" w:rsidRDefault="008E3C36">
              <w:pPr>
                <w:pStyle w:val="TOC3"/>
                <w:tabs>
                  <w:tab w:val="right" w:leader="dot" w:pos="9016"/>
                </w:tabs>
                <w:rPr>
                  <w:noProof/>
                </w:rPr>
              </w:pPr>
              <w:hyperlink w:anchor="_Toc198475593" w:history="1">
                <w:r w:rsidRPr="001616D6">
                  <w:rPr>
                    <w:rStyle w:val="Hyperlink"/>
                    <w:noProof/>
                  </w:rPr>
                  <w:t>External Environment</w:t>
                </w:r>
                <w:r>
                  <w:rPr>
                    <w:noProof/>
                    <w:webHidden/>
                  </w:rPr>
                  <w:tab/>
                </w:r>
                <w:r>
                  <w:rPr>
                    <w:noProof/>
                    <w:webHidden/>
                  </w:rPr>
                  <w:fldChar w:fldCharType="begin"/>
                </w:r>
                <w:r>
                  <w:rPr>
                    <w:noProof/>
                    <w:webHidden/>
                  </w:rPr>
                  <w:instrText xml:space="preserve"> PAGEREF _Toc198475593 \h </w:instrText>
                </w:r>
                <w:r>
                  <w:rPr>
                    <w:noProof/>
                    <w:webHidden/>
                  </w:rPr>
                </w:r>
                <w:r>
                  <w:rPr>
                    <w:noProof/>
                    <w:webHidden/>
                  </w:rPr>
                  <w:fldChar w:fldCharType="separate"/>
                </w:r>
                <w:r>
                  <w:rPr>
                    <w:noProof/>
                    <w:webHidden/>
                  </w:rPr>
                  <w:t>6</w:t>
                </w:r>
                <w:r>
                  <w:rPr>
                    <w:noProof/>
                    <w:webHidden/>
                  </w:rPr>
                  <w:fldChar w:fldCharType="end"/>
                </w:r>
              </w:hyperlink>
            </w:p>
            <w:p w14:paraId="7968ECDF" w14:textId="2829E140" w:rsidR="008E3C36" w:rsidRDefault="008E3C36">
              <w:pPr>
                <w:pStyle w:val="TOC3"/>
                <w:tabs>
                  <w:tab w:val="right" w:leader="dot" w:pos="9016"/>
                </w:tabs>
                <w:rPr>
                  <w:noProof/>
                </w:rPr>
              </w:pPr>
              <w:hyperlink w:anchor="_Toc198475594" w:history="1">
                <w:r w:rsidRPr="001616D6">
                  <w:rPr>
                    <w:rStyle w:val="Hyperlink"/>
                    <w:noProof/>
                  </w:rPr>
                  <w:t>PESTLE Analysis</w:t>
                </w:r>
                <w:r>
                  <w:rPr>
                    <w:noProof/>
                    <w:webHidden/>
                  </w:rPr>
                  <w:tab/>
                </w:r>
                <w:r>
                  <w:rPr>
                    <w:noProof/>
                    <w:webHidden/>
                  </w:rPr>
                  <w:fldChar w:fldCharType="begin"/>
                </w:r>
                <w:r>
                  <w:rPr>
                    <w:noProof/>
                    <w:webHidden/>
                  </w:rPr>
                  <w:instrText xml:space="preserve"> PAGEREF _Toc198475594 \h </w:instrText>
                </w:r>
                <w:r>
                  <w:rPr>
                    <w:noProof/>
                    <w:webHidden/>
                  </w:rPr>
                </w:r>
                <w:r>
                  <w:rPr>
                    <w:noProof/>
                    <w:webHidden/>
                  </w:rPr>
                  <w:fldChar w:fldCharType="separate"/>
                </w:r>
                <w:r>
                  <w:rPr>
                    <w:noProof/>
                    <w:webHidden/>
                  </w:rPr>
                  <w:t>6</w:t>
                </w:r>
                <w:r>
                  <w:rPr>
                    <w:noProof/>
                    <w:webHidden/>
                  </w:rPr>
                  <w:fldChar w:fldCharType="end"/>
                </w:r>
              </w:hyperlink>
            </w:p>
            <w:p w14:paraId="49541C33" w14:textId="1CD47933" w:rsidR="008E3C36" w:rsidRDefault="008E3C36">
              <w:pPr>
                <w:pStyle w:val="TOC3"/>
                <w:tabs>
                  <w:tab w:val="right" w:leader="dot" w:pos="9016"/>
                </w:tabs>
                <w:rPr>
                  <w:noProof/>
                </w:rPr>
              </w:pPr>
              <w:hyperlink w:anchor="_Toc198475595" w:history="1">
                <w:r w:rsidRPr="001616D6">
                  <w:rPr>
                    <w:rStyle w:val="Hyperlink"/>
                    <w:noProof/>
                  </w:rPr>
                  <w:t>Porter's Five Forces Analysis</w:t>
                </w:r>
                <w:r>
                  <w:rPr>
                    <w:noProof/>
                    <w:webHidden/>
                  </w:rPr>
                  <w:tab/>
                </w:r>
                <w:r>
                  <w:rPr>
                    <w:noProof/>
                    <w:webHidden/>
                  </w:rPr>
                  <w:fldChar w:fldCharType="begin"/>
                </w:r>
                <w:r>
                  <w:rPr>
                    <w:noProof/>
                    <w:webHidden/>
                  </w:rPr>
                  <w:instrText xml:space="preserve"> PAGEREF _Toc198475595 \h </w:instrText>
                </w:r>
                <w:r>
                  <w:rPr>
                    <w:noProof/>
                    <w:webHidden/>
                  </w:rPr>
                </w:r>
                <w:r>
                  <w:rPr>
                    <w:noProof/>
                    <w:webHidden/>
                  </w:rPr>
                  <w:fldChar w:fldCharType="separate"/>
                </w:r>
                <w:r>
                  <w:rPr>
                    <w:noProof/>
                    <w:webHidden/>
                  </w:rPr>
                  <w:t>8</w:t>
                </w:r>
                <w:r>
                  <w:rPr>
                    <w:noProof/>
                    <w:webHidden/>
                  </w:rPr>
                  <w:fldChar w:fldCharType="end"/>
                </w:r>
              </w:hyperlink>
            </w:p>
            <w:p w14:paraId="3ACAADAA" w14:textId="63585108" w:rsidR="008E3C36" w:rsidRDefault="008E3C36">
              <w:pPr>
                <w:pStyle w:val="TOC2"/>
                <w:tabs>
                  <w:tab w:val="right" w:leader="dot" w:pos="9016"/>
                </w:tabs>
                <w:rPr>
                  <w:noProof/>
                </w:rPr>
              </w:pPr>
              <w:hyperlink w:anchor="_Toc198475596" w:history="1">
                <w:r w:rsidRPr="001616D6">
                  <w:rPr>
                    <w:rStyle w:val="Hyperlink"/>
                    <w:noProof/>
                  </w:rPr>
                  <w:t>Internal Environment</w:t>
                </w:r>
                <w:r>
                  <w:rPr>
                    <w:noProof/>
                    <w:webHidden/>
                  </w:rPr>
                  <w:tab/>
                </w:r>
                <w:r>
                  <w:rPr>
                    <w:noProof/>
                    <w:webHidden/>
                  </w:rPr>
                  <w:fldChar w:fldCharType="begin"/>
                </w:r>
                <w:r>
                  <w:rPr>
                    <w:noProof/>
                    <w:webHidden/>
                  </w:rPr>
                  <w:instrText xml:space="preserve"> PAGEREF _Toc198475596 \h </w:instrText>
                </w:r>
                <w:r>
                  <w:rPr>
                    <w:noProof/>
                    <w:webHidden/>
                  </w:rPr>
                </w:r>
                <w:r>
                  <w:rPr>
                    <w:noProof/>
                    <w:webHidden/>
                  </w:rPr>
                  <w:fldChar w:fldCharType="separate"/>
                </w:r>
                <w:r>
                  <w:rPr>
                    <w:noProof/>
                    <w:webHidden/>
                  </w:rPr>
                  <w:t>9</w:t>
                </w:r>
                <w:r>
                  <w:rPr>
                    <w:noProof/>
                    <w:webHidden/>
                  </w:rPr>
                  <w:fldChar w:fldCharType="end"/>
                </w:r>
              </w:hyperlink>
            </w:p>
            <w:p w14:paraId="0C752422" w14:textId="7F618896" w:rsidR="008E3C36" w:rsidRDefault="008E3C36">
              <w:pPr>
                <w:pStyle w:val="TOC3"/>
                <w:tabs>
                  <w:tab w:val="right" w:leader="dot" w:pos="9016"/>
                </w:tabs>
                <w:rPr>
                  <w:noProof/>
                </w:rPr>
              </w:pPr>
              <w:hyperlink w:anchor="_Toc198475597" w:history="1">
                <w:r w:rsidRPr="001616D6">
                  <w:rPr>
                    <w:rStyle w:val="Hyperlink"/>
                    <w:noProof/>
                  </w:rPr>
                  <w:t>Value Chain Analysis</w:t>
                </w:r>
                <w:r>
                  <w:rPr>
                    <w:noProof/>
                    <w:webHidden/>
                  </w:rPr>
                  <w:tab/>
                </w:r>
                <w:r>
                  <w:rPr>
                    <w:noProof/>
                    <w:webHidden/>
                  </w:rPr>
                  <w:fldChar w:fldCharType="begin"/>
                </w:r>
                <w:r>
                  <w:rPr>
                    <w:noProof/>
                    <w:webHidden/>
                  </w:rPr>
                  <w:instrText xml:space="preserve"> PAGEREF _Toc198475597 \h </w:instrText>
                </w:r>
                <w:r>
                  <w:rPr>
                    <w:noProof/>
                    <w:webHidden/>
                  </w:rPr>
                </w:r>
                <w:r>
                  <w:rPr>
                    <w:noProof/>
                    <w:webHidden/>
                  </w:rPr>
                  <w:fldChar w:fldCharType="separate"/>
                </w:r>
                <w:r>
                  <w:rPr>
                    <w:noProof/>
                    <w:webHidden/>
                  </w:rPr>
                  <w:t>9</w:t>
                </w:r>
                <w:r>
                  <w:rPr>
                    <w:noProof/>
                    <w:webHidden/>
                  </w:rPr>
                  <w:fldChar w:fldCharType="end"/>
                </w:r>
              </w:hyperlink>
            </w:p>
            <w:p w14:paraId="04F7E9DF" w14:textId="6797C053" w:rsidR="008E3C36" w:rsidRDefault="008E3C36">
              <w:pPr>
                <w:pStyle w:val="TOC3"/>
                <w:tabs>
                  <w:tab w:val="right" w:leader="dot" w:pos="9016"/>
                </w:tabs>
                <w:rPr>
                  <w:noProof/>
                </w:rPr>
              </w:pPr>
              <w:hyperlink w:anchor="_Toc198475598" w:history="1">
                <w:r w:rsidRPr="001616D6">
                  <w:rPr>
                    <w:rStyle w:val="Hyperlink"/>
                    <w:noProof/>
                  </w:rPr>
                  <w:t>Organisational Culture and Leadership Analysis</w:t>
                </w:r>
                <w:r>
                  <w:rPr>
                    <w:noProof/>
                    <w:webHidden/>
                  </w:rPr>
                  <w:tab/>
                </w:r>
                <w:r>
                  <w:rPr>
                    <w:noProof/>
                    <w:webHidden/>
                  </w:rPr>
                  <w:fldChar w:fldCharType="begin"/>
                </w:r>
                <w:r>
                  <w:rPr>
                    <w:noProof/>
                    <w:webHidden/>
                  </w:rPr>
                  <w:instrText xml:space="preserve"> PAGEREF _Toc198475598 \h </w:instrText>
                </w:r>
                <w:r>
                  <w:rPr>
                    <w:noProof/>
                    <w:webHidden/>
                  </w:rPr>
                </w:r>
                <w:r>
                  <w:rPr>
                    <w:noProof/>
                    <w:webHidden/>
                  </w:rPr>
                  <w:fldChar w:fldCharType="separate"/>
                </w:r>
                <w:r>
                  <w:rPr>
                    <w:noProof/>
                    <w:webHidden/>
                  </w:rPr>
                  <w:t>9</w:t>
                </w:r>
                <w:r>
                  <w:rPr>
                    <w:noProof/>
                    <w:webHidden/>
                  </w:rPr>
                  <w:fldChar w:fldCharType="end"/>
                </w:r>
              </w:hyperlink>
            </w:p>
            <w:p w14:paraId="35D3C85C" w14:textId="037220C9" w:rsidR="008E3C36" w:rsidRDefault="008E3C36">
              <w:pPr>
                <w:pStyle w:val="TOC3"/>
                <w:tabs>
                  <w:tab w:val="right" w:leader="dot" w:pos="9016"/>
                </w:tabs>
                <w:rPr>
                  <w:noProof/>
                </w:rPr>
              </w:pPr>
              <w:hyperlink w:anchor="_Toc198475599" w:history="1">
                <w:r w:rsidRPr="001616D6">
                  <w:rPr>
                    <w:rStyle w:val="Hyperlink"/>
                    <w:noProof/>
                  </w:rPr>
                  <w:t>Evaluation of Current Strategy and Impact of Digital Developments</w:t>
                </w:r>
                <w:r>
                  <w:rPr>
                    <w:noProof/>
                    <w:webHidden/>
                  </w:rPr>
                  <w:tab/>
                </w:r>
                <w:r>
                  <w:rPr>
                    <w:noProof/>
                    <w:webHidden/>
                  </w:rPr>
                  <w:fldChar w:fldCharType="begin"/>
                </w:r>
                <w:r>
                  <w:rPr>
                    <w:noProof/>
                    <w:webHidden/>
                  </w:rPr>
                  <w:instrText xml:space="preserve"> PAGEREF _Toc198475599 \h </w:instrText>
                </w:r>
                <w:r>
                  <w:rPr>
                    <w:noProof/>
                    <w:webHidden/>
                  </w:rPr>
                </w:r>
                <w:r>
                  <w:rPr>
                    <w:noProof/>
                    <w:webHidden/>
                  </w:rPr>
                  <w:fldChar w:fldCharType="separate"/>
                </w:r>
                <w:r>
                  <w:rPr>
                    <w:noProof/>
                    <w:webHidden/>
                  </w:rPr>
                  <w:t>10</w:t>
                </w:r>
                <w:r>
                  <w:rPr>
                    <w:noProof/>
                    <w:webHidden/>
                  </w:rPr>
                  <w:fldChar w:fldCharType="end"/>
                </w:r>
              </w:hyperlink>
            </w:p>
            <w:p w14:paraId="18BA3BAE" w14:textId="3ADB93E1" w:rsidR="008E3C36" w:rsidRDefault="008E3C36">
              <w:pPr>
                <w:pStyle w:val="TOC3"/>
                <w:tabs>
                  <w:tab w:val="right" w:leader="dot" w:pos="9016"/>
                </w:tabs>
                <w:rPr>
                  <w:noProof/>
                </w:rPr>
              </w:pPr>
              <w:hyperlink w:anchor="_Toc198475600" w:history="1">
                <w:r w:rsidRPr="001616D6">
                  <w:rPr>
                    <w:rStyle w:val="Hyperlink"/>
                    <w:noProof/>
                  </w:rPr>
                  <w:t>SWOT Analysis</w:t>
                </w:r>
                <w:r>
                  <w:rPr>
                    <w:noProof/>
                    <w:webHidden/>
                  </w:rPr>
                  <w:tab/>
                </w:r>
                <w:r>
                  <w:rPr>
                    <w:noProof/>
                    <w:webHidden/>
                  </w:rPr>
                  <w:fldChar w:fldCharType="begin"/>
                </w:r>
                <w:r>
                  <w:rPr>
                    <w:noProof/>
                    <w:webHidden/>
                  </w:rPr>
                  <w:instrText xml:space="preserve"> PAGEREF _Toc198475600 \h </w:instrText>
                </w:r>
                <w:r>
                  <w:rPr>
                    <w:noProof/>
                    <w:webHidden/>
                  </w:rPr>
                </w:r>
                <w:r>
                  <w:rPr>
                    <w:noProof/>
                    <w:webHidden/>
                  </w:rPr>
                  <w:fldChar w:fldCharType="separate"/>
                </w:r>
                <w:r>
                  <w:rPr>
                    <w:noProof/>
                    <w:webHidden/>
                  </w:rPr>
                  <w:t>11</w:t>
                </w:r>
                <w:r>
                  <w:rPr>
                    <w:noProof/>
                    <w:webHidden/>
                  </w:rPr>
                  <w:fldChar w:fldCharType="end"/>
                </w:r>
              </w:hyperlink>
            </w:p>
            <w:p w14:paraId="3B9035E9" w14:textId="54884785" w:rsidR="008E3C36" w:rsidRDefault="008E3C36">
              <w:pPr>
                <w:pStyle w:val="TOC3"/>
                <w:tabs>
                  <w:tab w:val="right" w:leader="dot" w:pos="9016"/>
                </w:tabs>
                <w:rPr>
                  <w:noProof/>
                </w:rPr>
              </w:pPr>
              <w:hyperlink w:anchor="_Toc198475601" w:history="1">
                <w:r w:rsidRPr="001616D6">
                  <w:rPr>
                    <w:rStyle w:val="Hyperlink"/>
                    <w:noProof/>
                  </w:rPr>
                  <w:t>Strategic Options</w:t>
                </w:r>
                <w:r>
                  <w:rPr>
                    <w:noProof/>
                    <w:webHidden/>
                  </w:rPr>
                  <w:tab/>
                </w:r>
                <w:r>
                  <w:rPr>
                    <w:noProof/>
                    <w:webHidden/>
                  </w:rPr>
                  <w:fldChar w:fldCharType="begin"/>
                </w:r>
                <w:r>
                  <w:rPr>
                    <w:noProof/>
                    <w:webHidden/>
                  </w:rPr>
                  <w:instrText xml:space="preserve"> PAGEREF _Toc198475601 \h </w:instrText>
                </w:r>
                <w:r>
                  <w:rPr>
                    <w:noProof/>
                    <w:webHidden/>
                  </w:rPr>
                </w:r>
                <w:r>
                  <w:rPr>
                    <w:noProof/>
                    <w:webHidden/>
                  </w:rPr>
                  <w:fldChar w:fldCharType="separate"/>
                </w:r>
                <w:r>
                  <w:rPr>
                    <w:noProof/>
                    <w:webHidden/>
                  </w:rPr>
                  <w:t>11</w:t>
                </w:r>
                <w:r>
                  <w:rPr>
                    <w:noProof/>
                    <w:webHidden/>
                  </w:rPr>
                  <w:fldChar w:fldCharType="end"/>
                </w:r>
              </w:hyperlink>
            </w:p>
            <w:p w14:paraId="26711239" w14:textId="58632E6B" w:rsidR="008E3C36" w:rsidRDefault="008E3C36">
              <w:pPr>
                <w:pStyle w:val="TOC2"/>
                <w:tabs>
                  <w:tab w:val="right" w:leader="dot" w:pos="9016"/>
                </w:tabs>
                <w:rPr>
                  <w:noProof/>
                </w:rPr>
              </w:pPr>
              <w:hyperlink w:anchor="_Toc198475602" w:history="1">
                <w:r w:rsidRPr="001616D6">
                  <w:rPr>
                    <w:rStyle w:val="Hyperlink"/>
                    <w:noProof/>
                  </w:rPr>
                  <w:t>2.1: Leadership Theories and Evaluation of Success Likelihood</w:t>
                </w:r>
                <w:r>
                  <w:rPr>
                    <w:noProof/>
                    <w:webHidden/>
                  </w:rPr>
                  <w:tab/>
                </w:r>
                <w:r>
                  <w:rPr>
                    <w:noProof/>
                    <w:webHidden/>
                  </w:rPr>
                  <w:fldChar w:fldCharType="begin"/>
                </w:r>
                <w:r>
                  <w:rPr>
                    <w:noProof/>
                    <w:webHidden/>
                  </w:rPr>
                  <w:instrText xml:space="preserve"> PAGEREF _Toc198475602 \h </w:instrText>
                </w:r>
                <w:r>
                  <w:rPr>
                    <w:noProof/>
                    <w:webHidden/>
                  </w:rPr>
                </w:r>
                <w:r>
                  <w:rPr>
                    <w:noProof/>
                    <w:webHidden/>
                  </w:rPr>
                  <w:fldChar w:fldCharType="separate"/>
                </w:r>
                <w:r>
                  <w:rPr>
                    <w:noProof/>
                    <w:webHidden/>
                  </w:rPr>
                  <w:t>13</w:t>
                </w:r>
                <w:r>
                  <w:rPr>
                    <w:noProof/>
                    <w:webHidden/>
                  </w:rPr>
                  <w:fldChar w:fldCharType="end"/>
                </w:r>
              </w:hyperlink>
            </w:p>
            <w:p w14:paraId="5AD4E1BB" w14:textId="541B486F" w:rsidR="008E3C36" w:rsidRDefault="008E3C36">
              <w:pPr>
                <w:pStyle w:val="TOC3"/>
                <w:tabs>
                  <w:tab w:val="right" w:leader="dot" w:pos="9016"/>
                </w:tabs>
                <w:rPr>
                  <w:noProof/>
                </w:rPr>
              </w:pPr>
              <w:hyperlink w:anchor="_Toc198475603" w:history="1">
                <w:r w:rsidRPr="001616D6">
                  <w:rPr>
                    <w:rStyle w:val="Hyperlink"/>
                    <w:noProof/>
                  </w:rPr>
                  <w:t>Application of Leadership Theory 1: Transformational Leadership</w:t>
                </w:r>
                <w:r>
                  <w:rPr>
                    <w:noProof/>
                    <w:webHidden/>
                  </w:rPr>
                  <w:tab/>
                </w:r>
                <w:r>
                  <w:rPr>
                    <w:noProof/>
                    <w:webHidden/>
                  </w:rPr>
                  <w:fldChar w:fldCharType="begin"/>
                </w:r>
                <w:r>
                  <w:rPr>
                    <w:noProof/>
                    <w:webHidden/>
                  </w:rPr>
                  <w:instrText xml:space="preserve"> PAGEREF _Toc198475603 \h </w:instrText>
                </w:r>
                <w:r>
                  <w:rPr>
                    <w:noProof/>
                    <w:webHidden/>
                  </w:rPr>
                </w:r>
                <w:r>
                  <w:rPr>
                    <w:noProof/>
                    <w:webHidden/>
                  </w:rPr>
                  <w:fldChar w:fldCharType="separate"/>
                </w:r>
                <w:r>
                  <w:rPr>
                    <w:noProof/>
                    <w:webHidden/>
                  </w:rPr>
                  <w:t>13</w:t>
                </w:r>
                <w:r>
                  <w:rPr>
                    <w:noProof/>
                    <w:webHidden/>
                  </w:rPr>
                  <w:fldChar w:fldCharType="end"/>
                </w:r>
              </w:hyperlink>
            </w:p>
            <w:p w14:paraId="33E4B8A6" w14:textId="1916E016" w:rsidR="008E3C36" w:rsidRDefault="008E3C36">
              <w:pPr>
                <w:pStyle w:val="TOC3"/>
                <w:tabs>
                  <w:tab w:val="right" w:leader="dot" w:pos="9016"/>
                </w:tabs>
                <w:rPr>
                  <w:noProof/>
                </w:rPr>
              </w:pPr>
              <w:hyperlink w:anchor="_Toc198475604" w:history="1">
                <w:r w:rsidRPr="001616D6">
                  <w:rPr>
                    <w:rStyle w:val="Hyperlink"/>
                    <w:noProof/>
                  </w:rPr>
                  <w:t>Application of Leadership Theory 2: Adaptive Leadership</w:t>
                </w:r>
                <w:r>
                  <w:rPr>
                    <w:noProof/>
                    <w:webHidden/>
                  </w:rPr>
                  <w:tab/>
                </w:r>
                <w:r>
                  <w:rPr>
                    <w:noProof/>
                    <w:webHidden/>
                  </w:rPr>
                  <w:fldChar w:fldCharType="begin"/>
                </w:r>
                <w:r>
                  <w:rPr>
                    <w:noProof/>
                    <w:webHidden/>
                  </w:rPr>
                  <w:instrText xml:space="preserve"> PAGEREF _Toc198475604 \h </w:instrText>
                </w:r>
                <w:r>
                  <w:rPr>
                    <w:noProof/>
                    <w:webHidden/>
                  </w:rPr>
                </w:r>
                <w:r>
                  <w:rPr>
                    <w:noProof/>
                    <w:webHidden/>
                  </w:rPr>
                  <w:fldChar w:fldCharType="separate"/>
                </w:r>
                <w:r>
                  <w:rPr>
                    <w:noProof/>
                    <w:webHidden/>
                  </w:rPr>
                  <w:t>14</w:t>
                </w:r>
                <w:r>
                  <w:rPr>
                    <w:noProof/>
                    <w:webHidden/>
                  </w:rPr>
                  <w:fldChar w:fldCharType="end"/>
                </w:r>
              </w:hyperlink>
            </w:p>
            <w:p w14:paraId="688C797D" w14:textId="57C7E238" w:rsidR="008E3C36" w:rsidRDefault="008E3C36">
              <w:pPr>
                <w:pStyle w:val="TOC3"/>
                <w:tabs>
                  <w:tab w:val="right" w:leader="dot" w:pos="9016"/>
                </w:tabs>
                <w:rPr>
                  <w:noProof/>
                </w:rPr>
              </w:pPr>
              <w:hyperlink w:anchor="_Toc198475605" w:history="1">
                <w:r w:rsidRPr="001616D6">
                  <w:rPr>
                    <w:rStyle w:val="Hyperlink"/>
                    <w:noProof/>
                  </w:rPr>
                  <w:t>Evaluation of Likelihood of Success</w:t>
                </w:r>
                <w:r>
                  <w:rPr>
                    <w:noProof/>
                    <w:webHidden/>
                  </w:rPr>
                  <w:tab/>
                </w:r>
                <w:r>
                  <w:rPr>
                    <w:noProof/>
                    <w:webHidden/>
                  </w:rPr>
                  <w:fldChar w:fldCharType="begin"/>
                </w:r>
                <w:r>
                  <w:rPr>
                    <w:noProof/>
                    <w:webHidden/>
                  </w:rPr>
                  <w:instrText xml:space="preserve"> PAGEREF _Toc198475605 \h </w:instrText>
                </w:r>
                <w:r>
                  <w:rPr>
                    <w:noProof/>
                    <w:webHidden/>
                  </w:rPr>
                </w:r>
                <w:r>
                  <w:rPr>
                    <w:noProof/>
                    <w:webHidden/>
                  </w:rPr>
                  <w:fldChar w:fldCharType="separate"/>
                </w:r>
                <w:r>
                  <w:rPr>
                    <w:noProof/>
                    <w:webHidden/>
                  </w:rPr>
                  <w:t>15</w:t>
                </w:r>
                <w:r>
                  <w:rPr>
                    <w:noProof/>
                    <w:webHidden/>
                  </w:rPr>
                  <w:fldChar w:fldCharType="end"/>
                </w:r>
              </w:hyperlink>
            </w:p>
            <w:p w14:paraId="701DB1A9" w14:textId="0C56485E" w:rsidR="008E3C36" w:rsidRDefault="008E3C36">
              <w:pPr>
                <w:pStyle w:val="TOC2"/>
                <w:tabs>
                  <w:tab w:val="right" w:leader="dot" w:pos="9016"/>
                </w:tabs>
                <w:rPr>
                  <w:noProof/>
                </w:rPr>
              </w:pPr>
              <w:hyperlink w:anchor="_Toc198475606" w:history="1">
                <w:r w:rsidRPr="001616D6">
                  <w:rPr>
                    <w:rStyle w:val="Hyperlink"/>
                    <w:noProof/>
                  </w:rPr>
                  <w:t>2.3 Recommendations for Reshaping Strategic Direction</w:t>
                </w:r>
                <w:r>
                  <w:rPr>
                    <w:noProof/>
                    <w:webHidden/>
                  </w:rPr>
                  <w:tab/>
                </w:r>
                <w:r>
                  <w:rPr>
                    <w:noProof/>
                    <w:webHidden/>
                  </w:rPr>
                  <w:fldChar w:fldCharType="begin"/>
                </w:r>
                <w:r>
                  <w:rPr>
                    <w:noProof/>
                    <w:webHidden/>
                  </w:rPr>
                  <w:instrText xml:space="preserve"> PAGEREF _Toc198475606 \h </w:instrText>
                </w:r>
                <w:r>
                  <w:rPr>
                    <w:noProof/>
                    <w:webHidden/>
                  </w:rPr>
                </w:r>
                <w:r>
                  <w:rPr>
                    <w:noProof/>
                    <w:webHidden/>
                  </w:rPr>
                  <w:fldChar w:fldCharType="separate"/>
                </w:r>
                <w:r>
                  <w:rPr>
                    <w:noProof/>
                    <w:webHidden/>
                  </w:rPr>
                  <w:t>16</w:t>
                </w:r>
                <w:r>
                  <w:rPr>
                    <w:noProof/>
                    <w:webHidden/>
                  </w:rPr>
                  <w:fldChar w:fldCharType="end"/>
                </w:r>
              </w:hyperlink>
            </w:p>
            <w:p w14:paraId="3E3586E6" w14:textId="1AABB057" w:rsidR="008E3C36" w:rsidRDefault="008E3C36">
              <w:pPr>
                <w:pStyle w:val="TOC3"/>
                <w:tabs>
                  <w:tab w:val="right" w:leader="dot" w:pos="9016"/>
                </w:tabs>
                <w:rPr>
                  <w:noProof/>
                </w:rPr>
              </w:pPr>
              <w:hyperlink w:anchor="_Toc198475607" w:history="1">
                <w:r w:rsidRPr="001616D6">
                  <w:rPr>
                    <w:rStyle w:val="Hyperlink"/>
                    <w:noProof/>
                  </w:rPr>
                  <w:t>Reshaping Strategic Direction in the Context of Digital Change</w:t>
                </w:r>
                <w:r>
                  <w:rPr>
                    <w:noProof/>
                    <w:webHidden/>
                  </w:rPr>
                  <w:tab/>
                </w:r>
                <w:r>
                  <w:rPr>
                    <w:noProof/>
                    <w:webHidden/>
                  </w:rPr>
                  <w:fldChar w:fldCharType="begin"/>
                </w:r>
                <w:r>
                  <w:rPr>
                    <w:noProof/>
                    <w:webHidden/>
                  </w:rPr>
                  <w:instrText xml:space="preserve"> PAGEREF _Toc198475607 \h </w:instrText>
                </w:r>
                <w:r>
                  <w:rPr>
                    <w:noProof/>
                    <w:webHidden/>
                  </w:rPr>
                </w:r>
                <w:r>
                  <w:rPr>
                    <w:noProof/>
                    <w:webHidden/>
                  </w:rPr>
                  <w:fldChar w:fldCharType="separate"/>
                </w:r>
                <w:r>
                  <w:rPr>
                    <w:noProof/>
                    <w:webHidden/>
                  </w:rPr>
                  <w:t>16</w:t>
                </w:r>
                <w:r>
                  <w:rPr>
                    <w:noProof/>
                    <w:webHidden/>
                  </w:rPr>
                  <w:fldChar w:fldCharType="end"/>
                </w:r>
              </w:hyperlink>
            </w:p>
            <w:p w14:paraId="2684EB9D" w14:textId="7562E689" w:rsidR="008E3C36" w:rsidRDefault="008E3C36">
              <w:pPr>
                <w:pStyle w:val="TOC3"/>
                <w:tabs>
                  <w:tab w:val="right" w:leader="dot" w:pos="9016"/>
                </w:tabs>
                <w:rPr>
                  <w:noProof/>
                </w:rPr>
              </w:pPr>
              <w:hyperlink w:anchor="_Toc198475608" w:history="1">
                <w:r w:rsidRPr="001616D6">
                  <w:rPr>
                    <w:rStyle w:val="Hyperlink"/>
                    <w:noProof/>
                  </w:rPr>
                  <w:t>Leading Successful Change Implementation</w:t>
                </w:r>
                <w:r>
                  <w:rPr>
                    <w:noProof/>
                    <w:webHidden/>
                  </w:rPr>
                  <w:tab/>
                </w:r>
                <w:r>
                  <w:rPr>
                    <w:noProof/>
                    <w:webHidden/>
                  </w:rPr>
                  <w:fldChar w:fldCharType="begin"/>
                </w:r>
                <w:r>
                  <w:rPr>
                    <w:noProof/>
                    <w:webHidden/>
                  </w:rPr>
                  <w:instrText xml:space="preserve"> PAGEREF _Toc198475608 \h </w:instrText>
                </w:r>
                <w:r>
                  <w:rPr>
                    <w:noProof/>
                    <w:webHidden/>
                  </w:rPr>
                </w:r>
                <w:r>
                  <w:rPr>
                    <w:noProof/>
                    <w:webHidden/>
                  </w:rPr>
                  <w:fldChar w:fldCharType="separate"/>
                </w:r>
                <w:r>
                  <w:rPr>
                    <w:noProof/>
                    <w:webHidden/>
                  </w:rPr>
                  <w:t>18</w:t>
                </w:r>
                <w:r>
                  <w:rPr>
                    <w:noProof/>
                    <w:webHidden/>
                  </w:rPr>
                  <w:fldChar w:fldCharType="end"/>
                </w:r>
              </w:hyperlink>
            </w:p>
            <w:p w14:paraId="544FB981" w14:textId="3DA45D21" w:rsidR="008E3C36" w:rsidRDefault="008E3C36">
              <w:pPr>
                <w:pStyle w:val="TOC3"/>
                <w:tabs>
                  <w:tab w:val="right" w:leader="dot" w:pos="9016"/>
                </w:tabs>
                <w:rPr>
                  <w:noProof/>
                </w:rPr>
              </w:pPr>
              <w:hyperlink w:anchor="_Toc198475609" w:history="1">
                <w:r w:rsidRPr="001616D6">
                  <w:rPr>
                    <w:rStyle w:val="Hyperlink"/>
                    <w:noProof/>
                  </w:rPr>
                  <w:t>Digital Leadership: Visionary, Collaborative, and Agile – The Cornerstones of Transformation</w:t>
                </w:r>
                <w:r>
                  <w:rPr>
                    <w:noProof/>
                    <w:webHidden/>
                  </w:rPr>
                  <w:tab/>
                </w:r>
                <w:r>
                  <w:rPr>
                    <w:noProof/>
                    <w:webHidden/>
                  </w:rPr>
                  <w:fldChar w:fldCharType="begin"/>
                </w:r>
                <w:r>
                  <w:rPr>
                    <w:noProof/>
                    <w:webHidden/>
                  </w:rPr>
                  <w:instrText xml:space="preserve"> PAGEREF _Toc198475609 \h </w:instrText>
                </w:r>
                <w:r>
                  <w:rPr>
                    <w:noProof/>
                    <w:webHidden/>
                  </w:rPr>
                </w:r>
                <w:r>
                  <w:rPr>
                    <w:noProof/>
                    <w:webHidden/>
                  </w:rPr>
                  <w:fldChar w:fldCharType="separate"/>
                </w:r>
                <w:r>
                  <w:rPr>
                    <w:noProof/>
                    <w:webHidden/>
                  </w:rPr>
                  <w:t>19</w:t>
                </w:r>
                <w:r>
                  <w:rPr>
                    <w:noProof/>
                    <w:webHidden/>
                  </w:rPr>
                  <w:fldChar w:fldCharType="end"/>
                </w:r>
              </w:hyperlink>
            </w:p>
            <w:p w14:paraId="118C710B" w14:textId="74405C2F" w:rsidR="008E3C36" w:rsidRDefault="008E3C36">
              <w:pPr>
                <w:pStyle w:val="TOC3"/>
                <w:tabs>
                  <w:tab w:val="right" w:leader="dot" w:pos="9016"/>
                </w:tabs>
                <w:rPr>
                  <w:noProof/>
                </w:rPr>
              </w:pPr>
              <w:hyperlink w:anchor="_Toc198475610" w:history="1">
                <w:r w:rsidRPr="001616D6">
                  <w:rPr>
                    <w:rStyle w:val="Hyperlink"/>
                    <w:noProof/>
                  </w:rPr>
                  <w:t>Wider Implications on the Organization</w:t>
                </w:r>
                <w:r>
                  <w:rPr>
                    <w:noProof/>
                    <w:webHidden/>
                  </w:rPr>
                  <w:tab/>
                </w:r>
                <w:r>
                  <w:rPr>
                    <w:noProof/>
                    <w:webHidden/>
                  </w:rPr>
                  <w:fldChar w:fldCharType="begin"/>
                </w:r>
                <w:r>
                  <w:rPr>
                    <w:noProof/>
                    <w:webHidden/>
                  </w:rPr>
                  <w:instrText xml:space="preserve"> PAGEREF _Toc198475610 \h </w:instrText>
                </w:r>
                <w:r>
                  <w:rPr>
                    <w:noProof/>
                    <w:webHidden/>
                  </w:rPr>
                </w:r>
                <w:r>
                  <w:rPr>
                    <w:noProof/>
                    <w:webHidden/>
                  </w:rPr>
                  <w:fldChar w:fldCharType="separate"/>
                </w:r>
                <w:r>
                  <w:rPr>
                    <w:noProof/>
                    <w:webHidden/>
                  </w:rPr>
                  <w:t>20</w:t>
                </w:r>
                <w:r>
                  <w:rPr>
                    <w:noProof/>
                    <w:webHidden/>
                  </w:rPr>
                  <w:fldChar w:fldCharType="end"/>
                </w:r>
              </w:hyperlink>
            </w:p>
            <w:p w14:paraId="53D96B0B" w14:textId="090395BF" w:rsidR="008E3C36" w:rsidRDefault="008E3C36">
              <w:pPr>
                <w:pStyle w:val="TOC1"/>
                <w:tabs>
                  <w:tab w:val="right" w:leader="dot" w:pos="9016"/>
                </w:tabs>
                <w:rPr>
                  <w:rFonts w:eastAsiaTheme="minorEastAsia"/>
                  <w:noProof/>
                  <w:kern w:val="2"/>
                  <w:sz w:val="24"/>
                  <w:szCs w:val="24"/>
                  <w:lang w:eastAsia="en-GB"/>
                  <w14:ligatures w14:val="standardContextual"/>
                </w:rPr>
              </w:pPr>
              <w:hyperlink w:anchor="_Toc198475611" w:history="1">
                <w:r w:rsidRPr="001616D6">
                  <w:rPr>
                    <w:rStyle w:val="Hyperlink"/>
                    <w:noProof/>
                  </w:rPr>
                  <w:t>3.0 Conclusion</w:t>
                </w:r>
                <w:r>
                  <w:rPr>
                    <w:noProof/>
                    <w:webHidden/>
                  </w:rPr>
                  <w:tab/>
                </w:r>
                <w:r>
                  <w:rPr>
                    <w:noProof/>
                    <w:webHidden/>
                  </w:rPr>
                  <w:fldChar w:fldCharType="begin"/>
                </w:r>
                <w:r>
                  <w:rPr>
                    <w:noProof/>
                    <w:webHidden/>
                  </w:rPr>
                  <w:instrText xml:space="preserve"> PAGEREF _Toc198475611 \h </w:instrText>
                </w:r>
                <w:r>
                  <w:rPr>
                    <w:noProof/>
                    <w:webHidden/>
                  </w:rPr>
                </w:r>
                <w:r>
                  <w:rPr>
                    <w:noProof/>
                    <w:webHidden/>
                  </w:rPr>
                  <w:fldChar w:fldCharType="separate"/>
                </w:r>
                <w:r>
                  <w:rPr>
                    <w:noProof/>
                    <w:webHidden/>
                  </w:rPr>
                  <w:t>22</w:t>
                </w:r>
                <w:r>
                  <w:rPr>
                    <w:noProof/>
                    <w:webHidden/>
                  </w:rPr>
                  <w:fldChar w:fldCharType="end"/>
                </w:r>
              </w:hyperlink>
            </w:p>
            <w:p w14:paraId="56EC59BD" w14:textId="7013459E" w:rsidR="008E3C36" w:rsidRDefault="008E3C36">
              <w:pPr>
                <w:pStyle w:val="TOC1"/>
                <w:tabs>
                  <w:tab w:val="right" w:leader="dot" w:pos="9016"/>
                </w:tabs>
                <w:rPr>
                  <w:rFonts w:eastAsiaTheme="minorEastAsia"/>
                  <w:noProof/>
                  <w:kern w:val="2"/>
                  <w:sz w:val="24"/>
                  <w:szCs w:val="24"/>
                  <w:lang w:eastAsia="en-GB"/>
                  <w14:ligatures w14:val="standardContextual"/>
                </w:rPr>
              </w:pPr>
              <w:hyperlink w:anchor="_Toc198475612" w:history="1">
                <w:r w:rsidRPr="001616D6">
                  <w:rPr>
                    <w:rStyle w:val="Hyperlink"/>
                    <w:noProof/>
                  </w:rPr>
                  <w:t>4.0 Reference List</w:t>
                </w:r>
                <w:r>
                  <w:rPr>
                    <w:noProof/>
                    <w:webHidden/>
                  </w:rPr>
                  <w:tab/>
                </w:r>
                <w:r>
                  <w:rPr>
                    <w:noProof/>
                    <w:webHidden/>
                  </w:rPr>
                  <w:fldChar w:fldCharType="begin"/>
                </w:r>
                <w:r>
                  <w:rPr>
                    <w:noProof/>
                    <w:webHidden/>
                  </w:rPr>
                  <w:instrText xml:space="preserve"> PAGEREF _Toc198475612 \h </w:instrText>
                </w:r>
                <w:r>
                  <w:rPr>
                    <w:noProof/>
                    <w:webHidden/>
                  </w:rPr>
                </w:r>
                <w:r>
                  <w:rPr>
                    <w:noProof/>
                    <w:webHidden/>
                  </w:rPr>
                  <w:fldChar w:fldCharType="separate"/>
                </w:r>
                <w:r>
                  <w:rPr>
                    <w:noProof/>
                    <w:webHidden/>
                  </w:rPr>
                  <w:t>23</w:t>
                </w:r>
                <w:r>
                  <w:rPr>
                    <w:noProof/>
                    <w:webHidden/>
                  </w:rPr>
                  <w:fldChar w:fldCharType="end"/>
                </w:r>
              </w:hyperlink>
            </w:p>
            <w:p w14:paraId="2E408BC0" w14:textId="443B9235"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fldChar w:fldCharType="end"/>
              </w:r>
              <w:r w:rsidRPr="00054C16">
                <w:rPr>
                  <w:rFonts w:ascii="Times New Roman" w:hAnsi="Times New Roman" w:cs="Times New Roman"/>
                  <w:bCs/>
                  <w:sz w:val="24"/>
                  <w:szCs w:val="24"/>
                </w:rPr>
                <w:t xml:space="preserve"> </w:t>
              </w:r>
            </w:p>
          </w:sdtContent>
        </w:sdt>
        <w:p w14:paraId="7D3E0735" w14:textId="77777777" w:rsidR="00054C16" w:rsidRPr="00054C16" w:rsidRDefault="00054C16" w:rsidP="00054C16">
          <w:pPr>
            <w:spacing w:line="360" w:lineRule="auto"/>
            <w:jc w:val="both"/>
            <w:rPr>
              <w:rFonts w:ascii="Times New Roman" w:hAnsi="Times New Roman" w:cs="Times New Roman"/>
              <w:sz w:val="24"/>
              <w:szCs w:val="24"/>
            </w:rPr>
          </w:pPr>
        </w:p>
        <w:p w14:paraId="4FA780E0" w14:textId="77777777" w:rsidR="00054C16" w:rsidRPr="00054C16" w:rsidRDefault="00054C16" w:rsidP="00054C16">
          <w:pPr>
            <w:spacing w:line="360" w:lineRule="auto"/>
            <w:jc w:val="both"/>
            <w:rPr>
              <w:rFonts w:ascii="Times New Roman" w:hAnsi="Times New Roman" w:cs="Times New Roman"/>
              <w:sz w:val="24"/>
              <w:szCs w:val="24"/>
            </w:rPr>
          </w:pPr>
        </w:p>
        <w:p w14:paraId="6807FEB1" w14:textId="77777777" w:rsidR="00054C16" w:rsidRPr="00054C16" w:rsidRDefault="00054C16" w:rsidP="00054C16">
          <w:pPr>
            <w:spacing w:line="360" w:lineRule="auto"/>
            <w:jc w:val="both"/>
            <w:rPr>
              <w:rFonts w:ascii="Times New Roman" w:hAnsi="Times New Roman" w:cs="Times New Roman"/>
              <w:sz w:val="24"/>
              <w:szCs w:val="24"/>
            </w:rPr>
          </w:pPr>
        </w:p>
        <w:p w14:paraId="15C2CD08" w14:textId="77777777" w:rsidR="00054C16" w:rsidRPr="00054C16" w:rsidRDefault="00054C16" w:rsidP="00054C16">
          <w:pPr>
            <w:spacing w:line="360" w:lineRule="auto"/>
            <w:jc w:val="both"/>
            <w:rPr>
              <w:rFonts w:ascii="Times New Roman" w:hAnsi="Times New Roman" w:cs="Times New Roman"/>
              <w:sz w:val="24"/>
              <w:szCs w:val="24"/>
            </w:rPr>
          </w:pPr>
        </w:p>
        <w:p w14:paraId="6D4061A1" w14:textId="77777777" w:rsidR="00054C16" w:rsidRPr="00054C16" w:rsidRDefault="00054C16" w:rsidP="00054C16">
          <w:pPr>
            <w:spacing w:line="360" w:lineRule="auto"/>
            <w:jc w:val="both"/>
            <w:rPr>
              <w:rFonts w:ascii="Times New Roman" w:hAnsi="Times New Roman" w:cs="Times New Roman"/>
              <w:sz w:val="24"/>
              <w:szCs w:val="24"/>
            </w:rPr>
          </w:pPr>
        </w:p>
        <w:p w14:paraId="59EE4064" w14:textId="31F1099E" w:rsidR="00054C16" w:rsidRDefault="00054C16" w:rsidP="00054C16">
          <w:pPr>
            <w:pStyle w:val="Heading1"/>
            <w:jc w:val="center"/>
          </w:pPr>
          <w:bookmarkStart w:id="3" w:name="_Toc198475589"/>
          <w:r>
            <w:t xml:space="preserve">1.0 </w:t>
          </w:r>
          <w:r w:rsidRPr="00054C16">
            <w:t>Introduction</w:t>
          </w:r>
          <w:bookmarkEnd w:id="3"/>
        </w:p>
        <w:p w14:paraId="55F3B5CC" w14:textId="77777777" w:rsidR="00054C16" w:rsidRPr="00054C16" w:rsidRDefault="00054C16" w:rsidP="00054C16"/>
        <w:p w14:paraId="2429338B"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In today's rapidly evolving business landscape, organizational strategy and digital transformation have become pivotal elements determining a company's resilience and sustainable competitive advantage. Strategy serves as the backbone for organizational direction and purpose. Traditional approaches to strategy formulation have been significantly disrupted by the unprecedented pace of technological advancement, requiring businesses to adapt continually or risk obsolescence. The ability to integrate, build, and reconfigure internal and external competencies to address rapidly changing environments, known as dynamic capabilities, has become central to strategic thinking in the digital age (Zhang et al., 2025).</w:t>
          </w:r>
        </w:p>
        <w:p w14:paraId="5BAB0E99"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The digital revolution has fundamentally altered competitive dynamics across industries, making digital transformation advantageous and essential for long-term survival (Litton, 2025). Business strategy plays a multifaceted role in guiding organisations through complex market environments. It provides a framework for resource allocation, aligns operational activities with long-term objectives, and establishes a coherent identity in the marketplace. However, the strategic frameworks that historically enabled organisations to maintain competitive advantage now require constant refinement due to technological disruption and market volatility. Dynamic capabilities, the ability to integrate, build, and reconfigure internal and external competencies to address rapidly changing environments, have become central to strategic thinking in the digital age and are particularly relevant to Sony. This company has historically demonstrated this ability through strategic pivots and technological innovation, such as transitioning from a radio repair shop to a global conglomerate (Sony Corporation, 2024).</w:t>
          </w:r>
        </w:p>
        <w:p w14:paraId="4C5BD8C6"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Technological advances such as artificial intelligence, machine learning, cloud computing, and the Internet of Things have created unprecedented value creation and capture opportunities while simultaneously threatening established business models. These technologies have lowered barriers to entry in many industries, enabled the rise of platform-based business models, and shifted customer expectations toward personalised, seamless experiences across channels. Organisations embracing these technological shifts can achieve significant competitive advantages through enhanced operational efficiency, superior customer insights, and innovative product and service offerings. The need to embrace change in competitive </w:t>
          </w:r>
          <w:r w:rsidRPr="00054C16">
            <w:rPr>
              <w:rFonts w:ascii="Times New Roman" w:hAnsi="Times New Roman" w:cs="Times New Roman"/>
              <w:sz w:val="24"/>
              <w:szCs w:val="24"/>
            </w:rPr>
            <w:lastRenderedPageBreak/>
            <w:t>environments has never been more pronounced. Companies with high digital maturity significantly outperform industry peers in revenue growth and profitability. Conversely, organisational inertia and resistance to digital transformation have contributed to the decline of once-dominant market leaders, underscoring the importance of fostering organisational cultures that value innovation, experimentation, and continuous learning (Florian Tagscherer and Carbon, 2023).</w:t>
          </w:r>
        </w:p>
        <w:p w14:paraId="7A9811EC"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The accelerating pace of change in the market demands agile business strategies. Traditional strategic planning cycles are often inadequate in environments characterized by disruption. Increasingly, successful organizations are adopting adaptive strategic frameworks that enable timely responses to emerging opportunities and threats while focusing on their core purpose and values. This approach views strategy as a continuous process of experimentation and learning, rather than a set of fixed plans, allowing the organization to manage uncertainty more effectively. Sony Corporation exemplifies an organization navigating these complex strategic challenges. Founded in 1946, Sony has evolved from a radio repair shop to a global conglomerate operating across electronics, entertainment, gaming, and financial services. Throughout its history, Sony has demonstrated an ability to reinvent itself through strategic pivots and technological innovation. However, the company faces intensifying competition across all its business segments, from specialized technology firms to platform giants with vast resources and data advantages (Addison, Nadarajah and Yasin, 2024). This report evaluates the current internal and external environment of the company, its strategy and leadership. It provides strategic options and relevant recommendations to improve its strategy. </w:t>
          </w:r>
        </w:p>
        <w:p w14:paraId="36F47D73" w14:textId="41F0D3BE" w:rsidR="00054C16" w:rsidRPr="00054C16" w:rsidRDefault="002C6676" w:rsidP="002C6676">
          <w:pPr>
            <w:pStyle w:val="Heading1"/>
            <w:jc w:val="center"/>
          </w:pPr>
          <w:bookmarkStart w:id="4" w:name="_Toc198475590"/>
          <w:r>
            <w:t xml:space="preserve">2.0 </w:t>
          </w:r>
          <w:r w:rsidR="00054C16" w:rsidRPr="00054C16">
            <w:t>Main Findings</w:t>
          </w:r>
          <w:bookmarkEnd w:id="4"/>
        </w:p>
        <w:p w14:paraId="5C7D8236" w14:textId="36069786" w:rsidR="00054C16" w:rsidRDefault="002C6676" w:rsidP="002C6676">
          <w:pPr>
            <w:pStyle w:val="Heading2"/>
            <w:jc w:val="center"/>
          </w:pPr>
          <w:bookmarkStart w:id="5" w:name="_Toc198475591"/>
          <w:r>
            <w:t>2.1</w:t>
          </w:r>
          <w:r w:rsidR="00054C16" w:rsidRPr="00054C16">
            <w:t>: Strategic Environment of the Organisation</w:t>
          </w:r>
          <w:bookmarkEnd w:id="5"/>
        </w:p>
        <w:p w14:paraId="16C7A58A" w14:textId="77777777" w:rsidR="002C6676" w:rsidRPr="002C6676" w:rsidRDefault="002C6676" w:rsidP="002C6676"/>
        <w:p w14:paraId="55F93EDD" w14:textId="77777777" w:rsidR="00054C16" w:rsidRDefault="00054C16" w:rsidP="002C6676">
          <w:pPr>
            <w:pStyle w:val="Heading3"/>
            <w:jc w:val="center"/>
          </w:pPr>
          <w:bookmarkStart w:id="6" w:name="_Toc198475592"/>
          <w:r w:rsidRPr="00054C16">
            <w:t>Overview of Strategy and Its Role in Driving Business Success</w:t>
          </w:r>
          <w:bookmarkEnd w:id="6"/>
        </w:p>
        <w:p w14:paraId="1BE56762" w14:textId="77777777" w:rsidR="002C6676" w:rsidRPr="002C6676" w:rsidRDefault="002C6676" w:rsidP="002C6676"/>
        <w:p w14:paraId="55ED77AE" w14:textId="7D6490F9"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Strategy plays a fundamental role in organizational performance by providing direction, focus, and a framework for decision-making across all levels of operation. Strategy has multiple dimensions: a plan directing future actions, a pattern in </w:t>
          </w:r>
          <w:r w:rsidR="002C6676" w:rsidRPr="00054C16">
            <w:rPr>
              <w:rFonts w:ascii="Times New Roman" w:hAnsi="Times New Roman" w:cs="Times New Roman"/>
              <w:sz w:val="24"/>
              <w:szCs w:val="24"/>
            </w:rPr>
            <w:t>behaviour</w:t>
          </w:r>
          <w:r w:rsidRPr="00054C16">
            <w:rPr>
              <w:rFonts w:ascii="Times New Roman" w:hAnsi="Times New Roman" w:cs="Times New Roman"/>
              <w:sz w:val="24"/>
              <w:szCs w:val="24"/>
            </w:rPr>
            <w:t xml:space="preserve"> over time, a position in the competitive marketplace, a perspective or organizational way of perceiving the world, and a ploy to outmanoeuvre competitors. A well-defined strategy for a global conglomerate like Sony </w:t>
          </w:r>
          <w:r w:rsidRPr="00054C16">
            <w:rPr>
              <w:rFonts w:ascii="Times New Roman" w:hAnsi="Times New Roman" w:cs="Times New Roman"/>
              <w:sz w:val="24"/>
              <w:szCs w:val="24"/>
            </w:rPr>
            <w:lastRenderedPageBreak/>
            <w:t>is crucial for coordinating its diverse business units, from electronics and entertainment to gaming and financial services, ensuring alignment with overarching corporate objectives (Sony Corporation, 2024). A successful strategy creates "fit" among a firm's activities, leading to a competitive advantage through a unique position that is difficult for competitors to imitate (Fuertes et al., 2020). This is particularly evident in Sony's historical ability to leverage its diverse technology portfolio to create innovative products and services, even as market landscapes shift (Mao et al., 2022).</w:t>
          </w:r>
        </w:p>
        <w:p w14:paraId="12152E6C" w14:textId="77777777" w:rsid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In digital transformation, strategy becomes increasingly important because it guides how organizations use technology to create value, respond to disruption, and stay relevant. A good digital strategy does not simply translate traditional procedures into digital constructs but instead radically transforms business models and customer encounters with the help of technological advancements. Technology-intensive firms such as Sony require that strategy be a blend of technological innovation and commercial viability in an increasingly complex global environment. Ultimately, a well-executed strategy in the digital age enables companies like Sony to not only navigate market complexities but also to unlock new revenue streams, enhance customer loyalty, and achieve sustainable competitive advantage, driving long-term business success (Begum and Chowdary, 2024)</w:t>
          </w:r>
        </w:p>
        <w:p w14:paraId="0F578566" w14:textId="77777777" w:rsidR="002C6676" w:rsidRDefault="002C6676" w:rsidP="00054C16">
          <w:pPr>
            <w:spacing w:line="360" w:lineRule="auto"/>
            <w:jc w:val="both"/>
            <w:rPr>
              <w:rFonts w:ascii="Times New Roman" w:hAnsi="Times New Roman" w:cs="Times New Roman"/>
              <w:sz w:val="24"/>
              <w:szCs w:val="24"/>
            </w:rPr>
          </w:pPr>
        </w:p>
        <w:p w14:paraId="5BFC62ED" w14:textId="77777777" w:rsidR="002C6676" w:rsidRPr="00054C16" w:rsidRDefault="002C6676" w:rsidP="00054C16">
          <w:pPr>
            <w:spacing w:line="360" w:lineRule="auto"/>
            <w:jc w:val="both"/>
            <w:rPr>
              <w:rFonts w:ascii="Times New Roman" w:hAnsi="Times New Roman" w:cs="Times New Roman"/>
              <w:sz w:val="24"/>
              <w:szCs w:val="24"/>
            </w:rPr>
          </w:pPr>
        </w:p>
        <w:p w14:paraId="51A2A167" w14:textId="77777777" w:rsidR="00054C16" w:rsidRPr="00054C16" w:rsidRDefault="00054C16" w:rsidP="002C6676">
          <w:pPr>
            <w:pStyle w:val="Heading3"/>
            <w:jc w:val="center"/>
          </w:pPr>
          <w:bookmarkStart w:id="7" w:name="_Toc198475593"/>
          <w:r w:rsidRPr="00054C16">
            <w:t>External Environment</w:t>
          </w:r>
          <w:bookmarkEnd w:id="7"/>
        </w:p>
        <w:p w14:paraId="0A021F9C" w14:textId="0E835341" w:rsidR="002C6676" w:rsidRDefault="00054C16" w:rsidP="002C6676">
          <w:pPr>
            <w:pStyle w:val="Heading3"/>
            <w:jc w:val="center"/>
          </w:pPr>
          <w:bookmarkStart w:id="8" w:name="_Toc198475594"/>
          <w:r w:rsidRPr="00054C16">
            <w:t>PESTLE Analysis</w:t>
          </w:r>
          <w:bookmarkEnd w:id="8"/>
        </w:p>
        <w:p w14:paraId="00B2FF8A" w14:textId="77777777" w:rsidR="002C6676" w:rsidRPr="002C6676" w:rsidRDefault="002C6676" w:rsidP="002C6676"/>
        <w:p w14:paraId="6EEECD16"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Political Factors</w:t>
          </w:r>
          <w:r w:rsidRPr="00054C16">
            <w:rPr>
              <w:rFonts w:ascii="Times New Roman" w:hAnsi="Times New Roman" w:cs="Times New Roman"/>
              <w:sz w:val="24"/>
              <w:szCs w:val="24"/>
            </w:rPr>
            <w:t xml:space="preserve"> The complex global political environment in which Sony operates is marked by growing trade tensions, regulatory fragmentation, and geopolitical uncertainty. Trade wars have deranged the global supply chains and left multinational electronics manufacturers uncertain. Government policies facilitating digital transformation and innovation offer support, but strict regulations, especially on data protection and digital services, pose a compliance challenge for connected products and services. Moreover, the different content regulations in different markets influence entertainment businesses, meriting region-based strategies (Niu, 2021).</w:t>
          </w:r>
        </w:p>
        <w:p w14:paraId="5A3EBEAD"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lastRenderedPageBreak/>
            <w:t>Economic Factors</w:t>
          </w:r>
          <w:r w:rsidRPr="00054C16">
            <w:rPr>
              <w:rFonts w:ascii="Times New Roman" w:hAnsi="Times New Roman" w:cs="Times New Roman"/>
              <w:sz w:val="24"/>
              <w:szCs w:val="24"/>
            </w:rPr>
            <w:t xml:space="preserve"> The global economy faces significant headwinds, including persistent inflation, rising interest rates, and supply chain disruptions that affect consumer spending patterns and production costs. Currency fluctuations significantly impact financial performance due to global operations and an export-oriented business model (Ruybalid, 2024).</w:t>
          </w:r>
        </w:p>
        <w:p w14:paraId="3425CC17"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Social Factors</w:t>
          </w:r>
          <w:r w:rsidRPr="00054C16">
            <w:rPr>
              <w:rFonts w:ascii="Times New Roman" w:hAnsi="Times New Roman" w:cs="Times New Roman"/>
              <w:sz w:val="24"/>
              <w:szCs w:val="24"/>
            </w:rPr>
            <w:t xml:space="preserve"> Changing consumer behaviours and demographics profoundly influence Sony's markets. The growth of digital natives prioritizing experiences over ownership has accelerated the shift from physical to streaming content consumption, directly impacting music and film businesses. Gaming demographics have diversified beyond traditional young male audiences, creating more inclusive content development opportunities. Additionally, increasing environmental consciousness among consumers drives demand for sustainable products and transparent corporate practices (Li et al., 2023).</w:t>
          </w:r>
        </w:p>
        <w:p w14:paraId="29134EA5"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Technological Factors</w:t>
          </w:r>
          <w:r w:rsidRPr="00054C16">
            <w:rPr>
              <w:rFonts w:ascii="Times New Roman" w:hAnsi="Times New Roman" w:cs="Times New Roman"/>
              <w:sz w:val="24"/>
              <w:szCs w:val="24"/>
            </w:rPr>
            <w:t xml:space="preserve"> The technological landscape is characterised by accelerating innovation cycles and convergence across previously distinct domains. Artificial intelligence and machine learning transform product capabilities across Sony's portfolio, from intelligent cameras to personalised entertainment recommendations (Sony Corporation, 2024). The proliferation of IoT devices creates opportunities for the sensor business while enabling new connected experiences across product categories. Cloud computing and edge processing capabilities are critical infrastructure components for seamless digital experiences. The advent of Web3 technologies, including blockchain and decentralised networks, presents opportunities and threats to traditional content distribution models in entertainment businesses (Niu, 2021).</w:t>
          </w:r>
        </w:p>
        <w:p w14:paraId="64BCE3EF"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Legal Factors</w:t>
          </w:r>
          <w:r w:rsidRPr="00054C16">
            <w:rPr>
              <w:rFonts w:ascii="Times New Roman" w:hAnsi="Times New Roman" w:cs="Times New Roman"/>
              <w:sz w:val="24"/>
              <w:szCs w:val="24"/>
            </w:rPr>
            <w:t xml:space="preserve"> Sony navigates a complex legal environment spanning intellectual property protection, content licensing, data privacy regulations, and antitrust concerns. Strengthening intellectual property regimes helps combat piracy in content businesses, while patent litigation remains a constant challenge in technology. Data privacy regulations continue to evolve globally, with fragmented approaches creating compliance challenges for the connected device ecosystem and digital services. Antitrust scrutiny is increasing for large technology platforms, potentially affecting relationships with distribution partners (Ruybalid, 2024).</w:t>
          </w:r>
        </w:p>
        <w:p w14:paraId="3D81396A" w14:textId="6D975645"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Environmental Factors</w:t>
          </w:r>
          <w:r w:rsidRPr="00054C16">
            <w:rPr>
              <w:rFonts w:ascii="Times New Roman" w:hAnsi="Times New Roman" w:cs="Times New Roman"/>
              <w:sz w:val="24"/>
              <w:szCs w:val="24"/>
            </w:rPr>
            <w:t xml:space="preserve"> Environmental sustainability has become a strategic imperative, with increasing regulatory pressures and stakeholder expectations. Extended Producer Responsibility legislation imposes recycling and waste management obligations for electronics manufacturers. Carbon pricing mechanisms and emissions regulations affect manufacturing costs and supply chain decisions. Climate change impacts supply chains, creating operational </w:t>
          </w:r>
          <w:r w:rsidRPr="00054C16">
            <w:rPr>
              <w:rFonts w:ascii="Times New Roman" w:hAnsi="Times New Roman" w:cs="Times New Roman"/>
              <w:sz w:val="24"/>
              <w:szCs w:val="24"/>
            </w:rPr>
            <w:lastRenderedPageBreak/>
            <w:t xml:space="preserve">risks, while water scarcity affects semiconductor production, which is critical to the components </w:t>
          </w:r>
          <w:r w:rsidR="002C6676" w:rsidRPr="00054C16">
            <w:rPr>
              <w:rFonts w:ascii="Times New Roman" w:hAnsi="Times New Roman" w:cs="Times New Roman"/>
              <w:sz w:val="24"/>
              <w:szCs w:val="24"/>
            </w:rPr>
            <w:t>business (</w:t>
          </w:r>
          <w:r w:rsidRPr="00054C16">
            <w:rPr>
              <w:rFonts w:ascii="Times New Roman" w:hAnsi="Times New Roman" w:cs="Times New Roman"/>
              <w:sz w:val="24"/>
              <w:szCs w:val="24"/>
            </w:rPr>
            <w:t>Begum and Chowdary, 2024).</w:t>
          </w:r>
        </w:p>
        <w:p w14:paraId="21847F6F" w14:textId="77777777" w:rsidR="00054C16" w:rsidRDefault="00054C16" w:rsidP="002C6676">
          <w:pPr>
            <w:pStyle w:val="Heading3"/>
            <w:jc w:val="center"/>
          </w:pPr>
          <w:bookmarkStart w:id="9" w:name="_Toc198475595"/>
          <w:r w:rsidRPr="00054C16">
            <w:t>Porter's Five Forces Analysis</w:t>
          </w:r>
          <w:bookmarkEnd w:id="9"/>
        </w:p>
        <w:p w14:paraId="6FD9DDD5" w14:textId="77777777" w:rsidR="002C6676" w:rsidRPr="002C6676" w:rsidRDefault="002C6676" w:rsidP="002C6676"/>
        <w:p w14:paraId="73199CB0"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Threat of New Entrants: Moderate to High</w:t>
          </w:r>
        </w:p>
        <w:p w14:paraId="389D0433"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The consumer electronics and digital services industry presents varying entry barriers and economies of scale. Hardware manufacturing requires high capital investment and specialized expertise, benefiting from economies of scale. Digital services face lower barriers, especially in software and content. Sony's brand and distribution offer advantages, but venture-backed start-ups pose threats in niche areas. Platform companies expand horizontally, challenging established players like Sony with their vast resources (Sony Corporation, 2024).</w:t>
          </w:r>
        </w:p>
        <w:p w14:paraId="7AB6E088"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Bargaining Power of Suppliers: Moderate</w:t>
          </w:r>
        </w:p>
        <w:p w14:paraId="54D0B099"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Sony depends on specialized component suppliers, particularly for semiconductors and display technologies, which initially suggests high supplier power. Recent global semiconductor shortages highlighted this vulnerability, affecting production capacity and demonstrating the potential impact of supplier constraints. However, Sony's significant scale and diversification across multiple business units provide countervailing bargaining leverage with most suppliers, as Sony represents a major customer (Maxim, 2021).</w:t>
          </w:r>
        </w:p>
        <w:p w14:paraId="6513CCB3"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Bargaining Power of Buyers: Moderate to High</w:t>
          </w:r>
        </w:p>
        <w:p w14:paraId="43A0D72E"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In consumer electronics, informed buyers face low switching costs, increasing their power. Distribution platforms in content businesses have a significant influence. Enterprise B2B customers also have strong bargaining positions. This "Moderate to High" rating reflects varying buyer power: consumers have moderate power, but distribution platforms and enterprise clients elevate the overall bargaining power (Li et al., 2023).</w:t>
          </w:r>
        </w:p>
        <w:p w14:paraId="0C6BC59F"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Threat of Substitutes: High</w:t>
          </w:r>
        </w:p>
        <w:p w14:paraId="542A4D6B" w14:textId="310FBB2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Technological convergence creates numerous substitution threats. Smartphones have substituted dedicated devices, including cameras, music players, and portable gaming systems. Cloud gaming services threaten traditional console gaming models, while user-generated content competes for attention with professional productions in entertainment businesses. </w:t>
          </w:r>
          <w:r w:rsidRPr="00054C16">
            <w:rPr>
              <w:rFonts w:ascii="Times New Roman" w:hAnsi="Times New Roman" w:cs="Times New Roman"/>
              <w:sz w:val="24"/>
              <w:szCs w:val="24"/>
            </w:rPr>
            <w:lastRenderedPageBreak/>
            <w:t>Emerging XR (extended reality) technologies potentially represent opportunities and substitution threats to traditional entertainment consumption (Sony Corporation, 2024).</w:t>
          </w:r>
        </w:p>
        <w:p w14:paraId="75E8DDA8"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Competitive Rivalry: Intense</w:t>
          </w:r>
        </w:p>
        <w:p w14:paraId="018C636E"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Sony faces intense competition from specialised players and diversified technology giants across all business segments. In consumer electronics, competitors compete on price and innovation cycles. Gaming faces competition from competitors and emerging cloud platforms. Entertainment businesses compete with major players and streaming-native producers. This competitive intensity drives continuous innovation requirements and margin pressure (Sony Corporation, 2024).</w:t>
          </w:r>
        </w:p>
        <w:p w14:paraId="01CF2DEF" w14:textId="77777777" w:rsidR="00054C16" w:rsidRPr="00054C16" w:rsidRDefault="00054C16" w:rsidP="00461B28">
          <w:pPr>
            <w:pStyle w:val="Heading2"/>
            <w:jc w:val="center"/>
          </w:pPr>
          <w:bookmarkStart w:id="10" w:name="_Toc198475596"/>
          <w:r w:rsidRPr="00054C16">
            <w:t>Internal Environment</w:t>
          </w:r>
          <w:bookmarkEnd w:id="10"/>
        </w:p>
        <w:p w14:paraId="0421DB6F" w14:textId="77777777" w:rsidR="00054C16" w:rsidRDefault="00054C16" w:rsidP="00461B28">
          <w:pPr>
            <w:pStyle w:val="Heading3"/>
            <w:jc w:val="center"/>
          </w:pPr>
          <w:bookmarkStart w:id="11" w:name="_Toc198475597"/>
          <w:r w:rsidRPr="00054C16">
            <w:t>Value Chain Analysis</w:t>
          </w:r>
          <w:bookmarkEnd w:id="11"/>
        </w:p>
        <w:p w14:paraId="78C40119" w14:textId="330084A5" w:rsidR="00461B28" w:rsidRPr="00461B28" w:rsidRDefault="00461B28" w:rsidP="00461B28"/>
        <w:p w14:paraId="21EBD361"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Sony's value chain presents a mixed picture in the digital era. Strong inbound logistics and manufacturing expertise underpin its operations, particularly in high-precision components like image sensors. Marketing and sales benefit from strong brand recognition, but digital customer acquisition lags. Service, while improved digitally, remains fragmented. Firm infrastructure varies in digital maturity, with entertainment and gaming divisions leading. Human resource management faces challenges in attracting digital talent outside Japan. Procurement leverages digital tools but struggles with sustainable sourcing verification. While Sony demonstrates strengths in core manufacturing and brand, improvements are needed in digital customer engagement, service integration, supply chain resilience, and talent acquisition to optimize its value chain fully (Jurevicius, 2021). </w:t>
          </w:r>
        </w:p>
        <w:p w14:paraId="6F18F537" w14:textId="77777777" w:rsidR="00054C16" w:rsidRDefault="00054C16" w:rsidP="00461B28">
          <w:pPr>
            <w:pStyle w:val="Heading3"/>
            <w:jc w:val="center"/>
          </w:pPr>
          <w:bookmarkStart w:id="12" w:name="_Toc198475598"/>
          <w:r w:rsidRPr="00054C16">
            <w:t>Organisational Culture and Leadership Analysis</w:t>
          </w:r>
          <w:bookmarkEnd w:id="12"/>
        </w:p>
        <w:p w14:paraId="3FB6625C" w14:textId="77777777" w:rsidR="00461B28" w:rsidRPr="00461B28" w:rsidRDefault="00461B28" w:rsidP="00461B28"/>
        <w:p w14:paraId="2B8442EE"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Sony's organisational culture has historically balanced innovation with precision engineering discipline, though cultural differences exist between Japanese headquarters and global operations. The company's leadership history demonstrates periods of visionary direction alternating with more operational focus, with founder Akio Morita establishing a culture of "doing what has never been done before" that continues to influence corporate values (Sony Corporation, 2024). Current leadership under CEO Kenichiro Yoshida has emphasised portfolio rationalisation and profitability while maintaining an innovation focus in strategic </w:t>
          </w:r>
          <w:r w:rsidRPr="00054C16">
            <w:rPr>
              <w:rFonts w:ascii="Times New Roman" w:hAnsi="Times New Roman" w:cs="Times New Roman"/>
              <w:sz w:val="24"/>
              <w:szCs w:val="24"/>
            </w:rPr>
            <w:lastRenderedPageBreak/>
            <w:t>growth areas. Digital transformation initiatives have progressed unevenly across business units, with gaming and entertainment divisions demonstrating greater digital maturity than traditional electronics operations. The organisational structure combines product-based divisions with geographic market responsibilities, creating coordination challenges for integrated digital initiatives. Recent restructuring has aimed to improve cross-business collaboration, particularly leveraging entertainment content across platforms (Sekar, 2024).</w:t>
          </w:r>
        </w:p>
        <w:p w14:paraId="0C08795C" w14:textId="77777777" w:rsidR="00054C16" w:rsidRDefault="00054C16" w:rsidP="00461B28">
          <w:pPr>
            <w:pStyle w:val="Heading3"/>
            <w:jc w:val="center"/>
          </w:pPr>
          <w:bookmarkStart w:id="13" w:name="_Toc198475599"/>
          <w:r w:rsidRPr="00054C16">
            <w:t>Evaluation of Current Strategy and Impact of Digital Developments</w:t>
          </w:r>
          <w:bookmarkEnd w:id="13"/>
        </w:p>
        <w:p w14:paraId="4A91E446" w14:textId="77777777" w:rsidR="00461B28" w:rsidRPr="00461B28" w:rsidRDefault="00461B28" w:rsidP="00461B28"/>
        <w:p w14:paraId="3C246A2E" w14:textId="77777777" w:rsidR="00054C16" w:rsidRPr="00054C16" w:rsidRDefault="00054C16" w:rsidP="00054C16">
          <w:pPr>
            <w:spacing w:line="360" w:lineRule="auto"/>
            <w:jc w:val="both"/>
            <w:rPr>
              <w:rFonts w:ascii="Times New Roman" w:hAnsi="Times New Roman" w:cs="Times New Roman"/>
              <w:b/>
              <w:bCs/>
              <w:sz w:val="24"/>
              <w:szCs w:val="24"/>
            </w:rPr>
          </w:pPr>
          <w:r w:rsidRPr="00054C16">
            <w:rPr>
              <w:rFonts w:ascii="Times New Roman" w:hAnsi="Times New Roman" w:cs="Times New Roman"/>
              <w:b/>
              <w:bCs/>
              <w:sz w:val="24"/>
              <w:szCs w:val="24"/>
            </w:rPr>
            <w:t>Current Strategy Analysis</w:t>
          </w:r>
        </w:p>
        <w:p w14:paraId="5C0A438C" w14:textId="77777777" w:rsid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Sony's corporate strategy, emphasizing Game &amp; Network Services, Entertainment, and Imaging &amp; Sensing Solutions, aligns primarily with Porter's Generic Differentiation Strategy. Rather than competing on cost, Sony focuses on offering unique and premium products and services. This is evident in Game &amp; Network Services through exclusive game titles and network services. In Entertainment, differentiation is achieved through high-quality music and film content. The Imaging &amp; Sensing Solutions business leverages technological innovation to create superior products. While Sony maintains a diversified portfolio, the core strategic thrust is to differentiate itself through technological innovation and premium offerings, moving away from a cost leadership approach. This differentiation strategy is further supported by a shift towards an ecosystem model focused on recurring revenue and customer lifetime value, reinforcing the premium positioning (Frater, 2023).</w:t>
          </w:r>
        </w:p>
        <w:p w14:paraId="4A52A599" w14:textId="77777777" w:rsidR="00461B28" w:rsidRPr="00054C16" w:rsidRDefault="00461B28" w:rsidP="00054C16">
          <w:pPr>
            <w:spacing w:line="360" w:lineRule="auto"/>
            <w:jc w:val="both"/>
            <w:rPr>
              <w:rFonts w:ascii="Times New Roman" w:hAnsi="Times New Roman" w:cs="Times New Roman"/>
              <w:sz w:val="24"/>
              <w:szCs w:val="24"/>
            </w:rPr>
          </w:pPr>
        </w:p>
        <w:p w14:paraId="10CE2DBA" w14:textId="77777777" w:rsidR="00054C16" w:rsidRPr="00054C16" w:rsidRDefault="00054C16" w:rsidP="00054C16">
          <w:pPr>
            <w:spacing w:line="360" w:lineRule="auto"/>
            <w:jc w:val="both"/>
            <w:rPr>
              <w:rFonts w:ascii="Times New Roman" w:hAnsi="Times New Roman" w:cs="Times New Roman"/>
              <w:b/>
              <w:bCs/>
              <w:sz w:val="24"/>
              <w:szCs w:val="24"/>
            </w:rPr>
          </w:pPr>
          <w:r w:rsidRPr="00054C16">
            <w:rPr>
              <w:rFonts w:ascii="Times New Roman" w:hAnsi="Times New Roman" w:cs="Times New Roman"/>
              <w:b/>
              <w:bCs/>
              <w:sz w:val="24"/>
              <w:szCs w:val="24"/>
            </w:rPr>
            <w:t>Impact of Digital Developments</w:t>
          </w:r>
        </w:p>
        <w:p w14:paraId="50BCE035" w14:textId="77777777" w:rsid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Emerging digital technologies have revolutionised Sony’s market standing and its operations. Artificial intelligence and machine learning have improved product capabilities in various categories, such as camera-based intelligent image processing and content recommendation services in entertainment services. Data analytics capabilities empower a more tailored customer experience and inform content investment decisions in the entertainment venture. Gaming has changed because of cloud computing for PlayStation Network services and has allowed more manageable content production workflows in film and music operations (Li et al., 2023). The digital evolution of these technologies has sped up the change in Sony’s business models from thriving through hardware product focus to more service-based models </w:t>
          </w:r>
          <w:r w:rsidRPr="00054C16">
            <w:rPr>
              <w:rFonts w:ascii="Times New Roman" w:hAnsi="Times New Roman" w:cs="Times New Roman"/>
              <w:sz w:val="24"/>
              <w:szCs w:val="24"/>
            </w:rPr>
            <w:lastRenderedPageBreak/>
            <w:t>with recurring revenues. The company is shifting its focus towards direct-to-consumer relationships through subscription services such as PlayStation Plus and Sony’s Entertainment Network, thus reducing its reliance on conventional retail channels. However, this switch poses challenges in organisational capabilities that need other profiles of talent and performance measures different from traditional product businesses (Sony Corporation, 2024).</w:t>
          </w:r>
        </w:p>
        <w:p w14:paraId="36BA52C2" w14:textId="77777777" w:rsidR="00461B28" w:rsidRPr="00054C16" w:rsidRDefault="00461B28" w:rsidP="00054C16">
          <w:pPr>
            <w:spacing w:line="360" w:lineRule="auto"/>
            <w:jc w:val="both"/>
            <w:rPr>
              <w:rFonts w:ascii="Times New Roman" w:hAnsi="Times New Roman" w:cs="Times New Roman"/>
              <w:sz w:val="24"/>
              <w:szCs w:val="24"/>
            </w:rPr>
          </w:pPr>
        </w:p>
        <w:p w14:paraId="209358C4" w14:textId="4FC12D72" w:rsidR="00461B28" w:rsidRPr="00461B28" w:rsidRDefault="00054C16" w:rsidP="00461B28">
          <w:pPr>
            <w:pStyle w:val="Heading3"/>
            <w:jc w:val="center"/>
          </w:pPr>
          <w:bookmarkStart w:id="14" w:name="_Toc198475600"/>
          <w:r w:rsidRPr="00054C16">
            <w:t>SWOT Analysis</w:t>
          </w:r>
          <w:bookmarkEnd w:id="14"/>
        </w:p>
        <w:p w14:paraId="7DED6391" w14:textId="77777777" w:rsidR="00054C16" w:rsidRPr="00054C16" w:rsidRDefault="00054C16" w:rsidP="00054C16">
          <w:pPr>
            <w:spacing w:line="360" w:lineRule="auto"/>
            <w:jc w:val="both"/>
            <w:rPr>
              <w:rFonts w:ascii="Times New Roman" w:hAnsi="Times New Roman" w:cs="Times New Roman"/>
              <w:b/>
              <w:bCs/>
              <w:sz w:val="24"/>
              <w:szCs w:val="24"/>
            </w:rPr>
          </w:pPr>
          <w:r w:rsidRPr="00054C16">
            <w:rPr>
              <w:rFonts w:ascii="Times New Roman" w:hAnsi="Times New Roman" w:cs="Times New Roman"/>
              <w:sz w:val="24"/>
              <w:szCs w:val="24"/>
              <w:lang w:val="en-US"/>
            </w:rPr>
            <w:drawing>
              <wp:inline distT="0" distB="0" distL="0" distR="0" wp14:anchorId="756E6A29" wp14:editId="27EBA53A">
                <wp:extent cx="4714875" cy="4381500"/>
                <wp:effectExtent l="0" t="0" r="0" b="0"/>
                <wp:docPr id="1" name="Diagram 1">
                  <a:extLst xmlns:a="http://schemas.openxmlformats.org/drawingml/2006/main">
                    <a:ext uri="{FF2B5EF4-FFF2-40B4-BE49-F238E27FC236}">
                      <a16:creationId xmlns:a16="http://schemas.microsoft.com/office/drawing/2014/main" id="{D9CD9BF8-AF9F-4E7F-9FF3-C7D6E470CB2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711B7E0" w14:textId="77777777" w:rsidR="00054C16" w:rsidRDefault="00054C16" w:rsidP="00461B28">
          <w:pPr>
            <w:pStyle w:val="Heading3"/>
            <w:jc w:val="center"/>
          </w:pPr>
          <w:bookmarkStart w:id="15" w:name="_Toc198475601"/>
          <w:r w:rsidRPr="00054C16">
            <w:t>Strategic Options</w:t>
          </w:r>
          <w:bookmarkEnd w:id="15"/>
        </w:p>
        <w:p w14:paraId="0A9F5051" w14:textId="77777777" w:rsidR="00461B28" w:rsidRPr="00461B28" w:rsidRDefault="00461B28" w:rsidP="00461B28"/>
        <w:p w14:paraId="1DC7CC24"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Based on the preceding analysis, three strategic options emerge for Sony to explore </w:t>
          </w:r>
          <w:proofErr w:type="gramStart"/>
          <w:r w:rsidRPr="00054C16">
            <w:rPr>
              <w:rFonts w:ascii="Times New Roman" w:hAnsi="Times New Roman" w:cs="Times New Roman"/>
              <w:sz w:val="24"/>
              <w:szCs w:val="24"/>
            </w:rPr>
            <w:t>in light of</w:t>
          </w:r>
          <w:proofErr w:type="gramEnd"/>
          <w:r w:rsidRPr="00054C16">
            <w:rPr>
              <w:rFonts w:ascii="Times New Roman" w:hAnsi="Times New Roman" w:cs="Times New Roman"/>
              <w:sz w:val="24"/>
              <w:szCs w:val="24"/>
            </w:rPr>
            <w:t xml:space="preserve"> digital transformation:</w:t>
          </w:r>
        </w:p>
        <w:p w14:paraId="14EF4AA9"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Option 1: Integrated Digital Entertainment Ecosystem.</w:t>
          </w:r>
          <w:r w:rsidRPr="00054C16">
            <w:rPr>
              <w:rFonts w:ascii="Times New Roman" w:hAnsi="Times New Roman" w:cs="Times New Roman"/>
              <w:sz w:val="24"/>
              <w:szCs w:val="24"/>
            </w:rPr>
            <w:t xml:space="preserve"> This option focuses on a cohesive cross-platform ecosystem leveraging Sony's gaming, music, film, and hardware strengths. It involves a unified customer identity system, integrated subscription offerings, and exclusive cross-media franchises. Justification: The current strategy analysis identified Sony's focus on </w:t>
          </w:r>
          <w:r w:rsidRPr="00054C16">
            <w:rPr>
              <w:rFonts w:ascii="Times New Roman" w:hAnsi="Times New Roman" w:cs="Times New Roman"/>
              <w:sz w:val="24"/>
              <w:szCs w:val="24"/>
            </w:rPr>
            <w:lastRenderedPageBreak/>
            <w:t>differentiation and the shift towards an ecosystem model. However, the value chain analysis revealed fragmentation in service activities and varying digital maturity across business units. This option directly addresses these weaknesses by creating a unified ecosystem. The strategic intent is to increase customer lifetime value through deeper engagement across multiple Sony touchpoints, creating differentiation through unique content-hardware integrations difficult for competitors to replicate. This builds on Sony's existing content strengths while addressing weaknesses in cross-business unit integration (</w:t>
          </w:r>
          <w:proofErr w:type="spellStart"/>
          <w:r w:rsidRPr="00054C16">
            <w:rPr>
              <w:rFonts w:ascii="Times New Roman" w:hAnsi="Times New Roman" w:cs="Times New Roman"/>
              <w:sz w:val="24"/>
              <w:szCs w:val="24"/>
            </w:rPr>
            <w:t>Bynder</w:t>
          </w:r>
          <w:proofErr w:type="spellEnd"/>
          <w:r w:rsidRPr="00054C16">
            <w:rPr>
              <w:rFonts w:ascii="Times New Roman" w:hAnsi="Times New Roman" w:cs="Times New Roman"/>
              <w:sz w:val="24"/>
              <w:szCs w:val="24"/>
            </w:rPr>
            <w:t>, 2024). This option is justified because it leverages Sony's differentiation strategy, addresses value chain weaknesses, and aligns with the shift towards an ecosystem model.</w:t>
          </w:r>
        </w:p>
        <w:p w14:paraId="3B0FF71B"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Option 2: AI-Powered Product and Content Innovation.</w:t>
          </w:r>
          <w:r w:rsidRPr="00054C16">
            <w:rPr>
              <w:rFonts w:ascii="Times New Roman" w:hAnsi="Times New Roman" w:cs="Times New Roman"/>
              <w:sz w:val="24"/>
              <w:szCs w:val="24"/>
            </w:rPr>
            <w:t xml:space="preserve"> This option would position Sony as a leader in applying artificial intelligence to hardware products and content creation. It would accelerate the integration of AI capabilities in cameras, audio equipment, and gaming experiences while developing proprietary AI tools for music production, visual effects, and game development. Strategic partnerships with AI research institutions and targeted acquisitions of AI start-ups would complement internal R&amp;D efforts. This approach leverages Sony's technical expertise and creative businesses while addressing the threat of technological disruption through proactive innovation (Lukan, 2024). This option is justified because it reinforces Sony's differentiation strategy through technological innovation, addresses the need for digital talent, and mitigates the risk of disruption.</w:t>
          </w:r>
        </w:p>
        <w:p w14:paraId="6E87AC1C"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Option 3: Sensing Solutions Platform for the IoT Era</w:t>
          </w:r>
          <w:r w:rsidRPr="00054C16">
            <w:rPr>
              <w:rFonts w:ascii="Times New Roman" w:hAnsi="Times New Roman" w:cs="Times New Roman"/>
              <w:sz w:val="24"/>
              <w:szCs w:val="24"/>
            </w:rPr>
            <w:t>. This option would expand Sony's successful image sensor business into a broader sensing platform serving multiple high-growth markets, including autonomous vehicles, smart cities, industrial automation, and healthcare. It would involve developing comprehensive sensing solutions combining hardware, software, and analytics capabilities, potentially encouraging third-party development through an open platform approach. This strategy focuses on Sony's acknowledged technical strengths while creating new growth vectors that are less vulnerable to consumer market volatility (Kumar et al., 2024). This option is justified because it leverages Sony's core operational strength in image sensors, aligns with the strategic emphasis on Imaging &amp; Sensing Solutions, and reduces vulnerability to consumer market fluctuations.</w:t>
          </w:r>
        </w:p>
        <w:p w14:paraId="65E29E30" w14:textId="77777777" w:rsid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Each strategic option offers distinct advantages and challenges, requiring different capability development and resource allocation decisions. The optimal approach likely involves elements from multiple possibilities, sequenced appropriately based on organisational readiness and </w:t>
          </w:r>
          <w:r w:rsidRPr="00054C16">
            <w:rPr>
              <w:rFonts w:ascii="Times New Roman" w:hAnsi="Times New Roman" w:cs="Times New Roman"/>
              <w:sz w:val="24"/>
              <w:szCs w:val="24"/>
            </w:rPr>
            <w:lastRenderedPageBreak/>
            <w:t>market timing. The following section will examine leadership approaches critical for successfully implementing these strategic directions (Sony Corporation, 2024).</w:t>
          </w:r>
        </w:p>
        <w:p w14:paraId="0CBA1EA0" w14:textId="77777777" w:rsidR="00461B28" w:rsidRDefault="00461B28" w:rsidP="00054C16">
          <w:pPr>
            <w:spacing w:line="360" w:lineRule="auto"/>
            <w:jc w:val="both"/>
            <w:rPr>
              <w:rFonts w:ascii="Times New Roman" w:hAnsi="Times New Roman" w:cs="Times New Roman"/>
              <w:sz w:val="24"/>
              <w:szCs w:val="24"/>
            </w:rPr>
          </w:pPr>
        </w:p>
        <w:p w14:paraId="6F556393" w14:textId="77777777" w:rsidR="00461B28" w:rsidRDefault="00461B28" w:rsidP="00054C16">
          <w:pPr>
            <w:spacing w:line="360" w:lineRule="auto"/>
            <w:jc w:val="both"/>
            <w:rPr>
              <w:rFonts w:ascii="Times New Roman" w:hAnsi="Times New Roman" w:cs="Times New Roman"/>
              <w:sz w:val="24"/>
              <w:szCs w:val="24"/>
            </w:rPr>
          </w:pPr>
        </w:p>
        <w:p w14:paraId="3094DBA5" w14:textId="77777777" w:rsidR="00461B28" w:rsidRPr="00054C16" w:rsidRDefault="00461B28" w:rsidP="00054C16">
          <w:pPr>
            <w:spacing w:line="360" w:lineRule="auto"/>
            <w:jc w:val="both"/>
            <w:rPr>
              <w:rFonts w:ascii="Times New Roman" w:hAnsi="Times New Roman" w:cs="Times New Roman"/>
              <w:sz w:val="24"/>
              <w:szCs w:val="24"/>
            </w:rPr>
          </w:pPr>
        </w:p>
        <w:p w14:paraId="41DB868E" w14:textId="34BEC6A0" w:rsidR="00054C16" w:rsidRDefault="00461B28" w:rsidP="00461B28">
          <w:pPr>
            <w:pStyle w:val="Heading2"/>
            <w:jc w:val="center"/>
          </w:pPr>
          <w:bookmarkStart w:id="16" w:name="_Hlk194017208"/>
          <w:bookmarkStart w:id="17" w:name="_Toc198475602"/>
          <w:r w:rsidRPr="00054C16">
            <w:t>2</w:t>
          </w:r>
          <w:r>
            <w:t>.1</w:t>
          </w:r>
          <w:r w:rsidRPr="00054C16">
            <w:t>:</w:t>
          </w:r>
          <w:r w:rsidR="00054C16" w:rsidRPr="00054C16">
            <w:t xml:space="preserve"> Leadership Theories and Evaluation of Success Likelihood</w:t>
          </w:r>
          <w:bookmarkEnd w:id="17"/>
        </w:p>
        <w:p w14:paraId="6A0A1BD7" w14:textId="77777777" w:rsidR="00461B28" w:rsidRPr="00461B28" w:rsidRDefault="00461B28" w:rsidP="00461B28"/>
        <w:bookmarkEnd w:id="16"/>
        <w:p w14:paraId="1DC5DDBD"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Effective leadership is crucial for organisations undergoing digital transformations. Change initiatives often fail due to leadership deficiencies. Digital transformation's complexity demands technological vision and human-centred change management. Contemporary leadership should build trust and create meaning while balancing innovation and efficiency. Transformational and adaptive leadership are particularly relevant for Sony's digital transformation (Akin Akinpelu, 2024).</w:t>
          </w:r>
        </w:p>
        <w:p w14:paraId="4AD86191" w14:textId="51F4CA3A" w:rsidR="00054C16" w:rsidRDefault="00054C16" w:rsidP="00461B28">
          <w:pPr>
            <w:pStyle w:val="Heading3"/>
            <w:jc w:val="center"/>
          </w:pPr>
          <w:bookmarkStart w:id="18" w:name="_Toc198475603"/>
          <w:r w:rsidRPr="00054C16">
            <w:t>Application of Leadership Theory 1: Transformational Leadership</w:t>
          </w:r>
          <w:bookmarkEnd w:id="18"/>
        </w:p>
        <w:p w14:paraId="6EF87F9D" w14:textId="77777777" w:rsidR="00461B28" w:rsidRPr="00461B28" w:rsidRDefault="00461B28" w:rsidP="00461B28"/>
        <w:p w14:paraId="6A23E392"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Theory Overview:</w:t>
          </w:r>
          <w:r w:rsidRPr="00054C16">
            <w:rPr>
              <w:rFonts w:ascii="Times New Roman" w:hAnsi="Times New Roman" w:cs="Times New Roman"/>
              <w:sz w:val="24"/>
              <w:szCs w:val="24"/>
            </w:rPr>
            <w:t xml:space="preserve"> Transformational leadership is characterised by its ability to inspire followers to achieve extraordinary outcomes. This is accomplished through four key dimensions: idealised influence (acting as a role model), inspirational motivation (providing a compelling vision), intellectual stimulation (encouraging creative problem-solving), and individualised consideration (attending to individual needs and development). Transformational leaders empower their teams, foster a sense of shared purpose, and create an environment where innovation can thrive (Akin Akinpelu, 2024).</w:t>
          </w:r>
        </w:p>
        <w:p w14:paraId="7DDE4774"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Application to Sony's Digital Transformation:</w:t>
          </w:r>
          <w:r w:rsidRPr="00054C16">
            <w:rPr>
              <w:rFonts w:ascii="Times New Roman" w:hAnsi="Times New Roman" w:cs="Times New Roman"/>
              <w:sz w:val="24"/>
              <w:szCs w:val="24"/>
            </w:rPr>
            <w:t xml:space="preserve"> This leadership approach aligns particularly well with Sony's strategic imperative to unite its diverse business units around a cohesive digital vision while preserving the creative autonomy that has been a hallmark of its success. Sony's rich history of innovation provides a strong foundation for inspiring commitment to the ambitious goals of digital transformation. Specifically, transformational leadership can be highly effective in driving the "integrated digital entertainment ecosystem" strategy, fostering seamless collaboration across its various business domains, including gaming, music, film, and electronics (Sony Corporation, 2024).</w:t>
          </w:r>
        </w:p>
        <w:p w14:paraId="5368312A"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lastRenderedPageBreak/>
            <w:t>Karimi et al. (2023) have revealed that transformational leadership contributes to increased innovation adoption in organisations. The content divisions of Sony can focus on purpose-driven leadership strategies, emphasizing the social and creative value of their efforts. Inspiring employees to commit aligns technical progress with Sony’s broader objective of “bringing emotion to the world through creativity and technology,” contributing to employee dedication and loyalty.</w:t>
          </w:r>
        </w:p>
        <w:p w14:paraId="5F32F431"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Critical Evaluation:</w:t>
          </w:r>
          <w:r w:rsidRPr="00054C16">
            <w:rPr>
              <w:rFonts w:ascii="Times New Roman" w:hAnsi="Times New Roman" w:cs="Times New Roman"/>
              <w:sz w:val="24"/>
              <w:szCs w:val="24"/>
            </w:rPr>
            <w:t xml:space="preserve"> Although transformational leadership provides many benefits, it presents certain challenges within Sony's digital transformation context. Managing a complex matrix organisation with multiple reporting lines and their inter-functionality involves significant challenges. Striking a balance between a centralised vision and decentralised action requires keen attention to organisational design and communication strategies. Transformational leadership principles could face difficulties with Sony’s multi-faceted worldwide operations and its headquarters’ culture. Also, the transformational character usually associated with transformational leaders may cause succession difficulties that will not be managed unless attended to (Akin Akinpelu, 2024).</w:t>
          </w:r>
        </w:p>
        <w:p w14:paraId="40CEF722"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To mitigate these challenges, it is essential to integrate transformational leadership with structured change management methodologies. This ensures that the vision and inspiration provided by transformational leaders are translated into concrete action plans and measurable outcomes. It is also important to recognise that the transformational leadership model may underemphasise the political aspects of organisational change. Leaders must be aware of the power dynamics within the organisation and proactively address any resistance to change that may arise (Sekar, 2024).</w:t>
          </w:r>
        </w:p>
        <w:p w14:paraId="5EEBAC71" w14:textId="600E8FC4" w:rsidR="00054C16" w:rsidRDefault="00054C16" w:rsidP="005278C4">
          <w:pPr>
            <w:pStyle w:val="Heading3"/>
            <w:jc w:val="center"/>
          </w:pPr>
          <w:bookmarkStart w:id="19" w:name="_Toc198475604"/>
          <w:r w:rsidRPr="00054C16">
            <w:t>Application of Leadership Theory 2: Adaptive Leadership</w:t>
          </w:r>
          <w:bookmarkEnd w:id="19"/>
        </w:p>
        <w:p w14:paraId="199776C6" w14:textId="77777777" w:rsidR="005278C4" w:rsidRPr="005278C4" w:rsidRDefault="005278C4" w:rsidP="005278C4"/>
        <w:p w14:paraId="124343C5"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Theory Overview:</w:t>
          </w:r>
          <w:r w:rsidRPr="00054C16">
            <w:rPr>
              <w:rFonts w:ascii="Times New Roman" w:hAnsi="Times New Roman" w:cs="Times New Roman"/>
              <w:sz w:val="24"/>
              <w:szCs w:val="24"/>
            </w:rPr>
            <w:t xml:space="preserve"> Adaptive leadership involves a set of key practices that enable organizations to navigate complex challenges. These practices include: gaining a broader perspective by "getting on the balcony" (stepping back from day-to-day activities), identifying the root causes of adaptive challenges, managing the inevitable distress and uncertainty that change creates, maintaining disciplined attention on the most critical issues, empowering stakeholders to take ownership, and protecting diverse perspectives by encouraging voices from all levels of the organization (Michaels, 2023).</w:t>
          </w:r>
        </w:p>
        <w:p w14:paraId="398B9271" w14:textId="2B0A7FD3"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lastRenderedPageBreak/>
            <w:t>Application to Sony's Digital Transformation:</w:t>
          </w:r>
          <w:r w:rsidRPr="00054C16">
            <w:rPr>
              <w:rFonts w:ascii="Times New Roman" w:hAnsi="Times New Roman" w:cs="Times New Roman"/>
              <w:sz w:val="24"/>
              <w:szCs w:val="24"/>
            </w:rPr>
            <w:t xml:space="preserve"> Adaptive leadership is particularly relevant for addressing the challenges that require fundamental mindset shifts and </w:t>
          </w:r>
          <w:r w:rsidR="005278C4" w:rsidRPr="00054C16">
            <w:rPr>
              <w:rFonts w:ascii="Times New Roman" w:hAnsi="Times New Roman" w:cs="Times New Roman"/>
              <w:sz w:val="24"/>
              <w:szCs w:val="24"/>
            </w:rPr>
            <w:t>behavioural</w:t>
          </w:r>
          <w:r w:rsidRPr="00054C16">
            <w:rPr>
              <w:rFonts w:ascii="Times New Roman" w:hAnsi="Times New Roman" w:cs="Times New Roman"/>
              <w:sz w:val="24"/>
              <w:szCs w:val="24"/>
            </w:rPr>
            <w:t xml:space="preserve"> changes within Sony. The distinction between technical and adaptive challenges helps leaders recognise when new learning and experimentation are needed instead of simply applying existing solutions. This approach aligns strongly with the "AI-powered product and content innovation" strategy, which requires a willingness to embrace new technologies and challenge traditional ways of working (Jurevicius, 2021).</w:t>
          </w:r>
        </w:p>
        <w:p w14:paraId="3A7DC388"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"Getting on the balcony" allows leaders to step back, identify systemic issues hindering progress, and understand underlying assumptions. "Regulating distress" manages anxiety during organizational change, fostering psychological safety and encouraging risk-taking. "Giving work back to the people" distributes leadership, empowering employees at all levels to contribute ideas and expertise, thus accelerating initiative relevance and speed. These practices enable leaders to address complexities, manage emotional impact, and empower employees, ensuring successful digital transformation by fostering engagement and ownership throughout the organization. (Li et al., 2023). </w:t>
          </w:r>
        </w:p>
        <w:p w14:paraId="05C30104"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Critical Evaluation:</w:t>
          </w:r>
          <w:r w:rsidRPr="00054C16">
            <w:rPr>
              <w:rFonts w:ascii="Times New Roman" w:hAnsi="Times New Roman" w:cs="Times New Roman"/>
              <w:sz w:val="24"/>
              <w:szCs w:val="24"/>
            </w:rPr>
            <w:t xml:space="preserve"> One potential challenge of adaptive leadership is that surfacing conflicts and challenging existing norms can create discomfort in organisational cultures that value harmony and consensus. Deliberative processes, while essential for fostering learning and adaptation, may also seem slow and cumbersome in fast-moving markets. Distributed leadership poses challenges for performance management, as it requires new metrics and evaluation systems that focus on collaboration, innovation, and continuous improvement (Michaels, 2023).</w:t>
          </w:r>
        </w:p>
        <w:p w14:paraId="250AAA4E" w14:textId="756E32A2" w:rsidR="00054C16" w:rsidRDefault="00054C16" w:rsidP="005278C4">
          <w:pPr>
            <w:pStyle w:val="Heading3"/>
            <w:jc w:val="center"/>
          </w:pPr>
          <w:bookmarkStart w:id="20" w:name="_Toc198475605"/>
          <w:r w:rsidRPr="00054C16">
            <w:t>Evaluation of Likelihood of Success</w:t>
          </w:r>
          <w:bookmarkEnd w:id="20"/>
        </w:p>
        <w:p w14:paraId="5D117224" w14:textId="77777777" w:rsidR="005278C4" w:rsidRPr="005278C4" w:rsidRDefault="005278C4" w:rsidP="005278C4"/>
        <w:p w14:paraId="2534407D"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Success depends on Sony's context, objectives, and environment. Transformational leadership can mobilise commitment and connect with Sony's creative heritage. It's effective for the "integrated digital entertainment ecosystem" strategy. Success relies on developing leaders with technological credibility and inspirational capabilities. Adaptive leadership helps navigate uncertainty, particularly for the "AI-powered innovation" strategy. Its emphasis on distributed leadership aligns with broad organisational participation. Implementation requires investment in adaptive leadership development (Michaels, 2023).</w:t>
          </w:r>
        </w:p>
        <w:p w14:paraId="609AC031"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lastRenderedPageBreak/>
            <w:t>An integrated model combining both theories maximises success. Transformational elements provide vision, while adaptive elements enable learning. Connecting leadership approaches to Sony's strengths in innovation reduces resistance. Leadership development programs focused on digital transformation are crucial. Phasing approaches is important. Initial emphasis on transformational elements creates a foundation for adaptive approaches. Maintaining cultural sensitivity while preserving strategic coherence is an ongoing challenge. Ultimately, success depends on governance, incentives, resource allocation, and performance measurement systems. Comprehensive programs should address leadership development alongside structural considerations (Sekar, 2024).</w:t>
          </w:r>
        </w:p>
        <w:p w14:paraId="2BCC0E44" w14:textId="60B2D5EA" w:rsidR="00054C16" w:rsidRDefault="005278C4" w:rsidP="005278C4">
          <w:pPr>
            <w:pStyle w:val="Heading2"/>
            <w:jc w:val="center"/>
          </w:pPr>
          <w:bookmarkStart w:id="21" w:name="_Toc198475606"/>
          <w:r>
            <w:t>2.</w:t>
          </w:r>
          <w:r w:rsidR="00054C16" w:rsidRPr="00054C16">
            <w:t>3 Recommendations for Reshaping Strategic Direction</w:t>
          </w:r>
          <w:bookmarkEnd w:id="21"/>
        </w:p>
        <w:p w14:paraId="7A9EEB99" w14:textId="77777777" w:rsidR="005278C4" w:rsidRPr="005278C4" w:rsidRDefault="005278C4" w:rsidP="005278C4"/>
        <w:p w14:paraId="4E4C00D9"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Based on the preceding analysis of Sony's strategic environment, internal capabilities, and leadership approaches, this section provides a comprehensive roadmap for reshaping its strategic direction to not only survive but thrive in the increasingly complex and dynamic landscape of digital transformation (Williamson, 2024). These recommendations delve into the necessary strategic shifts, detail a robust framework for change implementation, and explore the wider organizational implications that Sony must address to achieve lasting success.</w:t>
          </w:r>
        </w:p>
        <w:p w14:paraId="54C95CDF" w14:textId="77777777" w:rsidR="00054C16" w:rsidRDefault="00054C16" w:rsidP="005278C4">
          <w:pPr>
            <w:pStyle w:val="Heading3"/>
            <w:jc w:val="center"/>
          </w:pPr>
          <w:bookmarkStart w:id="22" w:name="_Toc198475607"/>
          <w:r w:rsidRPr="00054C16">
            <w:t>Reshaping Strategic Direction in the Context of Digital Change</w:t>
          </w:r>
          <w:bookmarkEnd w:id="22"/>
        </w:p>
        <w:p w14:paraId="537F0FA9" w14:textId="77777777" w:rsidR="005278C4" w:rsidRPr="005278C4" w:rsidRDefault="005278C4" w:rsidP="005278C4"/>
        <w:p w14:paraId="4BFCC142"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Strategic Shift: From Product-Centric to Customer-Centric Ecosystem Orchestrator – A Deep Dive</w:t>
          </w:r>
        </w:p>
        <w:p w14:paraId="3A8EF08C"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Sony, a company renowned for its technological innovation and iconic hardware products, stands at a critical juncture. The traditional model of prioritizing product development and sales is no longer sufficient in a world dominated by digital experiences and interconnected services. To maintain its competitive edge and unlock new avenues for growth, Sony must undergo a fundamental strategic shift, evolving from a product-centric organization to a customer-centric </w:t>
          </w:r>
          <w:r w:rsidRPr="00054C16">
            <w:rPr>
              <w:rFonts w:ascii="Times New Roman" w:hAnsi="Times New Roman" w:cs="Times New Roman"/>
              <w:b/>
              <w:bCs/>
              <w:sz w:val="24"/>
              <w:szCs w:val="24"/>
            </w:rPr>
            <w:t>Ecosystem Orchestrator</w:t>
          </w:r>
          <w:r w:rsidRPr="00054C16">
            <w:rPr>
              <w:rFonts w:ascii="Times New Roman" w:hAnsi="Times New Roman" w:cs="Times New Roman"/>
              <w:sz w:val="24"/>
              <w:szCs w:val="24"/>
            </w:rPr>
            <w:t>. This transformation requires a complete re-evaluation of how Sony interacts with its customers, delivers value, and builds lasting relationships (Tidrick, 2023).</w:t>
          </w:r>
        </w:p>
        <w:p w14:paraId="18AEF019"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At the core of this strategic transformation lies the understanding that customers actively interact with the brand going beyond purchases themselves. They now have an active role in the digital ecosystem as involved participants. Customers today require personally customised experience, seamless interaction between devices, and residual benefits after the transaction is </w:t>
          </w:r>
          <w:r w:rsidRPr="00054C16">
            <w:rPr>
              <w:rFonts w:ascii="Times New Roman" w:hAnsi="Times New Roman" w:cs="Times New Roman"/>
              <w:sz w:val="24"/>
              <w:szCs w:val="24"/>
            </w:rPr>
            <w:lastRenderedPageBreak/>
            <w:t>over. To meet these evolving expectations, Sony should provide customized experiences on all its product and services providing a consistent and compelling ecosystem that fosters repeated visits from customers (Chung et al., 2020).</w:t>
          </w:r>
        </w:p>
        <w:p w14:paraId="0A3D9C44"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To bring about this transformative shift, there is need for the recognition of the various essential strategic priorities. To begin with, Sony should specialise in gathering and applying data-driven customer insights. This means Sony needs to develop a strong data analytics infrastructure to understand how customers engage with its products and services at each stage of their journey. This goes way beyond mere demographic detail; It is imperative to have an in-depth understanding of customers' interactions with Sony’s offerings, incentives for their purchase decisions, and latent needs. For this purpose, Sony must utilize AI analytics to tailor content, optimize product offerings and provide exact marketing collateral. </w:t>
          </w:r>
        </w:p>
        <w:p w14:paraId="78A0A47B"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Secondly, there is a need to prioritize seamless and integrated customer experience. Sony must be very diligent about overcoming the divide between its various business divisions, encouraging collaboration and merging all aspects for a united effort. For this, consistent and unified experiences need to be given to Sony’s gaming, music, film, electronics, and financial services divisions.  This can be achieved by developing a unified customer identity system, allowing customers to seamlessly access and manage their accounts across all Sony platforms. Integrated subscription offerings, combining content and services from different business units, can further enhance the customer experience and drive loyalty (Enochs, 2021).</w:t>
          </w:r>
        </w:p>
        <w:p w14:paraId="45D30356"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Thirdly, Sony must embrace service-oriented business models. This involves expanding beyond the traditional model of relying solely on hardware sales and actively developing value-added services and subscription models that generate recurring revenue and foster long-term customer loyalty. This includes expanding existing subscription services like PlayStation Plus and Sony Entertainment Network, enriching them with exclusive content, personalized recommendations, and robust community features. By offering a compelling suite of services, Sony can create a sticky ecosystem that keeps customers engaged and provides a steady stream of revenue (Du et al., 2022).</w:t>
          </w:r>
        </w:p>
        <w:p w14:paraId="4B33CF6F"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Alignment with Strategic Options:</w:t>
          </w:r>
        </w:p>
        <w:p w14:paraId="1DA9C352" w14:textId="77777777" w:rsid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This strategic shift is aligned with Option 1 (Integrated Digital Entertainment Ecosystem), directly addressing its core principles by emphasizing cross-platform integration, a unified customer experience, and maximizing customer lifetime value. It also supports Option 2 (AI-Powered Product and Content Innovation) by creating a fertile ground for deploying AI-driven </w:t>
          </w:r>
          <w:r w:rsidRPr="00054C16">
            <w:rPr>
              <w:rFonts w:ascii="Times New Roman" w:hAnsi="Times New Roman" w:cs="Times New Roman"/>
              <w:sz w:val="24"/>
              <w:szCs w:val="24"/>
            </w:rPr>
            <w:lastRenderedPageBreak/>
            <w:t>personalization and content enhancement strategies. Furthermore, it harmoniously complements Option 3 (Sensing Solutions Platform for the IoT Era) by providing a framework for delivering value-added services and solutions derived from the rich data streams generated by sensor technologies (</w:t>
          </w:r>
          <w:proofErr w:type="spellStart"/>
          <w:r w:rsidRPr="00054C16">
            <w:rPr>
              <w:rFonts w:ascii="Times New Roman" w:hAnsi="Times New Roman" w:cs="Times New Roman"/>
              <w:sz w:val="24"/>
              <w:szCs w:val="24"/>
            </w:rPr>
            <w:t>Prosci</w:t>
          </w:r>
          <w:proofErr w:type="spellEnd"/>
          <w:r w:rsidRPr="00054C16">
            <w:rPr>
              <w:rFonts w:ascii="Times New Roman" w:hAnsi="Times New Roman" w:cs="Times New Roman"/>
              <w:sz w:val="24"/>
              <w:szCs w:val="24"/>
            </w:rPr>
            <w:t>, 2024).</w:t>
          </w:r>
        </w:p>
        <w:p w14:paraId="31D3BFD2" w14:textId="77777777" w:rsidR="005278C4" w:rsidRPr="00054C16" w:rsidRDefault="005278C4" w:rsidP="00054C16">
          <w:pPr>
            <w:spacing w:line="360" w:lineRule="auto"/>
            <w:jc w:val="both"/>
            <w:rPr>
              <w:rFonts w:ascii="Times New Roman" w:hAnsi="Times New Roman" w:cs="Times New Roman"/>
              <w:sz w:val="24"/>
              <w:szCs w:val="24"/>
            </w:rPr>
          </w:pPr>
        </w:p>
        <w:p w14:paraId="14B6ED25" w14:textId="77777777" w:rsidR="00054C16" w:rsidRDefault="00054C16" w:rsidP="005278C4">
          <w:pPr>
            <w:pStyle w:val="Heading3"/>
            <w:jc w:val="center"/>
          </w:pPr>
          <w:bookmarkStart w:id="23" w:name="_Toc198475608"/>
          <w:r w:rsidRPr="00054C16">
            <w:t>Leading Successful Change Implementation</w:t>
          </w:r>
          <w:bookmarkEnd w:id="23"/>
        </w:p>
        <w:p w14:paraId="02730A53" w14:textId="77777777" w:rsidR="005278C4" w:rsidRPr="005278C4" w:rsidRDefault="005278C4" w:rsidP="005278C4"/>
        <w:p w14:paraId="48B45B70" w14:textId="77777777" w:rsidR="00054C16" w:rsidRDefault="00054C16" w:rsidP="005278C4">
          <w:pPr>
            <w:pStyle w:val="Heading4"/>
            <w:jc w:val="center"/>
          </w:pPr>
          <w:r w:rsidRPr="00054C16">
            <w:t>Change Management Framework: Kotter's 8-Step Model</w:t>
          </w:r>
        </w:p>
        <w:p w14:paraId="5FFEBEDA" w14:textId="77777777" w:rsidR="005278C4" w:rsidRPr="005278C4" w:rsidRDefault="005278C4" w:rsidP="005278C4"/>
        <w:p w14:paraId="4A24BDF7"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To implement this strategic transformation effectively, Sony should adopt Kotter's 8-Step Change Model, a comprehensive approach particularly well-suited to large-scale transformations in complex organizations:</w:t>
          </w:r>
        </w:p>
        <w:p w14:paraId="7E98843E" w14:textId="77777777" w:rsidR="00054C16" w:rsidRPr="00054C16" w:rsidRDefault="00054C16" w:rsidP="00054C16">
          <w:pPr>
            <w:numPr>
              <w:ilvl w:val="0"/>
              <w:numId w:val="2"/>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Create a Sense of Urgency</w:t>
          </w:r>
          <w:r w:rsidRPr="00054C16">
            <w:rPr>
              <w:rFonts w:ascii="Times New Roman" w:hAnsi="Times New Roman" w:cs="Times New Roman"/>
              <w:sz w:val="24"/>
              <w:szCs w:val="24"/>
            </w:rPr>
            <w:t>: Sony must establish widespread understanding of the existential threats posed by platform giants and specialized competitors. The executive team should communicate that maintaining the status quo is untenable, using concrete metrics comparing Sony's digital services revenue growth with competitors and highlighting specific market share losses in key segments. Internal communications should emphasize the disruptive potential of new technologies, particularly AI, in creative industries that form Sony's core (Lukan, 2024).</w:t>
          </w:r>
        </w:p>
        <w:p w14:paraId="3C1644B8" w14:textId="77777777" w:rsidR="00054C16" w:rsidRPr="00054C16" w:rsidRDefault="00054C16" w:rsidP="00054C16">
          <w:pPr>
            <w:numPr>
              <w:ilvl w:val="0"/>
              <w:numId w:val="2"/>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Build a Guiding Coalition</w:t>
          </w:r>
          <w:r w:rsidRPr="00054C16">
            <w:rPr>
              <w:rFonts w:ascii="Times New Roman" w:hAnsi="Times New Roman" w:cs="Times New Roman"/>
              <w:sz w:val="24"/>
              <w:szCs w:val="24"/>
            </w:rPr>
            <w:t>: Sony should form a cross-functional digital transformation team representing all business units and key markets, led by a Digital Transformation Officer reporting directly to the CEO. This coalition must include respected operational leaders with implementation capacity, not just strategic advisors. Critical to success will include "digital natives" from gaming and entertainment businesses alongside experienced hardware executives from traditional electronics divisions (Chung et al., 2020).</w:t>
          </w:r>
        </w:p>
        <w:p w14:paraId="3D572CF9" w14:textId="77777777" w:rsidR="00054C16" w:rsidRPr="00054C16" w:rsidRDefault="00054C16" w:rsidP="00054C16">
          <w:pPr>
            <w:numPr>
              <w:ilvl w:val="0"/>
              <w:numId w:val="2"/>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Form a Strategic Vision</w:t>
          </w:r>
          <w:r w:rsidRPr="00054C16">
            <w:rPr>
              <w:rFonts w:ascii="Times New Roman" w:hAnsi="Times New Roman" w:cs="Times New Roman"/>
              <w:sz w:val="24"/>
              <w:szCs w:val="24"/>
            </w:rPr>
            <w:t>: The transformation vision should connect Sony's historic strengths in emotional engagement through creativity and technology with new digital possibilities. The vision statement should emphasize Sony's unique ability to combine technological excellence with creative content mastery, a combination no competitor can match. This vision must be concrete enough to guide decision-making while emotional enough to inspire commitment (Tidrick, 2023).</w:t>
          </w:r>
        </w:p>
        <w:p w14:paraId="54651609" w14:textId="77777777" w:rsidR="00054C16" w:rsidRPr="00054C16" w:rsidRDefault="00054C16" w:rsidP="00054C16">
          <w:pPr>
            <w:numPr>
              <w:ilvl w:val="0"/>
              <w:numId w:val="2"/>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lastRenderedPageBreak/>
            <w:t>Communicate the Vision</w:t>
          </w:r>
          <w:r w:rsidRPr="00054C16">
            <w:rPr>
              <w:rFonts w:ascii="Times New Roman" w:hAnsi="Times New Roman" w:cs="Times New Roman"/>
              <w:sz w:val="24"/>
              <w:szCs w:val="24"/>
            </w:rPr>
            <w:t>: Sony should leverage its media channels and creative capabilities to develop compelling communications reaching 114,000 employees across 70+ countries. Leadership communications should consistently connect tactical changes to the broader strategic vision, emphasizing rational benefits and emotional impact. Regular digital transformation updates should become standard agenda items in all-hands meetings and leadership communications (Akin Akinpelu, 2024).</w:t>
          </w:r>
        </w:p>
        <w:p w14:paraId="450B3F58" w14:textId="77777777" w:rsidR="00054C16" w:rsidRPr="00054C16" w:rsidRDefault="00054C16" w:rsidP="00054C16">
          <w:pPr>
            <w:numPr>
              <w:ilvl w:val="0"/>
              <w:numId w:val="2"/>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Sustain Acceleration</w:t>
          </w:r>
          <w:r w:rsidRPr="00054C16">
            <w:rPr>
              <w:rFonts w:ascii="Times New Roman" w:hAnsi="Times New Roman" w:cs="Times New Roman"/>
              <w:sz w:val="24"/>
              <w:szCs w:val="24"/>
            </w:rPr>
            <w:t>: As initial cross-business initiatives demonstrate success, Sony should progressively expand the scope of integration. The Digital Transformation Office should transition from directly implementing changes to enabling business units to drive their integration initiatives. Training programs should build digital capabilities across the organization, with digital literacy becoming a core competency requirement for leadership roles (Li et al., 2023).</w:t>
          </w:r>
        </w:p>
        <w:p w14:paraId="5B89F845" w14:textId="77777777" w:rsidR="00054C16" w:rsidRPr="00054C16" w:rsidRDefault="00054C16" w:rsidP="00054C16">
          <w:pPr>
            <w:numPr>
              <w:ilvl w:val="0"/>
              <w:numId w:val="2"/>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Institute Change</w:t>
          </w:r>
          <w:r w:rsidRPr="00054C16">
            <w:rPr>
              <w:rFonts w:ascii="Times New Roman" w:hAnsi="Times New Roman" w:cs="Times New Roman"/>
              <w:sz w:val="24"/>
              <w:szCs w:val="24"/>
            </w:rPr>
            <w:t>: Sony must embed ecosystem thinking into core business processes, including strategic planning, product development, and performance management. Success stories should be systematically documented and shared to reinforce the new approach. Leadership development and succession planning should prioritize executives demonstrating cross-business collaboration and digital fluency (Akin Akinpelu, 2024</w:t>
          </w:r>
          <w:proofErr w:type="gramStart"/>
          <w:r w:rsidRPr="00054C16">
            <w:rPr>
              <w:rFonts w:ascii="Times New Roman" w:hAnsi="Times New Roman" w:cs="Times New Roman"/>
              <w:sz w:val="24"/>
              <w:szCs w:val="24"/>
            </w:rPr>
            <w:t>)..</w:t>
          </w:r>
          <w:proofErr w:type="gramEnd"/>
        </w:p>
        <w:p w14:paraId="57065F15" w14:textId="77777777" w:rsidR="00054C16" w:rsidRDefault="00054C16" w:rsidP="005278C4">
          <w:pPr>
            <w:pStyle w:val="Heading3"/>
            <w:jc w:val="center"/>
          </w:pPr>
          <w:bookmarkStart w:id="24" w:name="_Toc198475609"/>
          <w:r w:rsidRPr="00054C16">
            <w:t>Digital Leadership: Visionary, Collaborative, and Agile – The Cornerstones of Transformation</w:t>
          </w:r>
          <w:bookmarkEnd w:id="24"/>
        </w:p>
        <w:p w14:paraId="391599D3" w14:textId="77777777" w:rsidR="005278C4" w:rsidRPr="005278C4" w:rsidRDefault="005278C4" w:rsidP="005278C4">
          <w:pPr>
            <w:pStyle w:val="Heading3"/>
          </w:pPr>
        </w:p>
        <w:p w14:paraId="2A7A97AD"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Successful digital transformation hinges on a new breed of leaders with unique skills and qualities. These leaders must be visionary, capable of articulating a clear and compelling vision for Sony's digital future and inspiring employees to embrace change and pursue ambitious goals. They must also be collaborative, fostering a culture of teamwork and breaking down silos between business units to encourage knowledge sharing and innovation (</w:t>
          </w:r>
          <w:proofErr w:type="spellStart"/>
          <w:r w:rsidRPr="00054C16">
            <w:rPr>
              <w:rFonts w:ascii="Times New Roman" w:hAnsi="Times New Roman" w:cs="Times New Roman"/>
              <w:sz w:val="24"/>
              <w:szCs w:val="24"/>
            </w:rPr>
            <w:t>Prosci</w:t>
          </w:r>
          <w:proofErr w:type="spellEnd"/>
          <w:r w:rsidRPr="00054C16">
            <w:rPr>
              <w:rFonts w:ascii="Times New Roman" w:hAnsi="Times New Roman" w:cs="Times New Roman"/>
              <w:sz w:val="24"/>
              <w:szCs w:val="24"/>
            </w:rPr>
            <w:t>, 2024).</w:t>
          </w:r>
        </w:p>
        <w:p w14:paraId="3C1982AB"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These digital leaders must also deeply understand data analytics, leveraging data to gain customer insights, optimize marketing campaigns, and personalize product offerings. They must be technologically savvy, staying abreast of emerging technologies and championing the adoption of new tools and platforms to enhance product capabilities and customer experiences (Li et al., 2023).</w:t>
          </w:r>
        </w:p>
        <w:p w14:paraId="39B6A427" w14:textId="77777777" w:rsidR="00054C16" w:rsidRDefault="00054C16" w:rsidP="005278C4">
          <w:pPr>
            <w:pStyle w:val="Heading3"/>
            <w:jc w:val="center"/>
          </w:pPr>
          <w:bookmarkStart w:id="25" w:name="_Toc198475610"/>
          <w:r w:rsidRPr="00054C16">
            <w:lastRenderedPageBreak/>
            <w:t>Wider Implications on the Organization</w:t>
          </w:r>
          <w:bookmarkEnd w:id="25"/>
        </w:p>
        <w:p w14:paraId="234C8AD7" w14:textId="77777777" w:rsidR="005278C4" w:rsidRPr="005278C4" w:rsidRDefault="005278C4" w:rsidP="005278C4"/>
        <w:p w14:paraId="2EC43154"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Cross-Functional Impacts: A Ripple Effect of Transformation</w:t>
          </w:r>
        </w:p>
        <w:p w14:paraId="37A53018"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Digital transformation will have a profound and far-reaching impact on every aspect of Sony's organization.</w:t>
          </w:r>
        </w:p>
        <w:p w14:paraId="5732D49F" w14:textId="77777777" w:rsidR="00054C16" w:rsidRPr="00054C16" w:rsidRDefault="00054C16" w:rsidP="00054C16">
          <w:pPr>
            <w:numPr>
              <w:ilvl w:val="0"/>
              <w:numId w:val="1"/>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IT:</w:t>
          </w:r>
          <w:r w:rsidRPr="00054C16">
            <w:rPr>
              <w:rFonts w:ascii="Times New Roman" w:hAnsi="Times New Roman" w:cs="Times New Roman"/>
              <w:sz w:val="24"/>
              <w:szCs w:val="24"/>
            </w:rPr>
            <w:t xml:space="preserve"> The IT department must undergo a significant transformation, migrating to cloud-based infrastructure, implementing robust data analytics platforms, and strengthening cybersecurity defences (Zapanta, 2025).</w:t>
          </w:r>
        </w:p>
        <w:p w14:paraId="5413B1AD" w14:textId="77777777" w:rsidR="00054C16" w:rsidRPr="00054C16" w:rsidRDefault="00054C16" w:rsidP="00054C16">
          <w:pPr>
            <w:numPr>
              <w:ilvl w:val="0"/>
              <w:numId w:val="1"/>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HR:</w:t>
          </w:r>
          <w:r w:rsidRPr="00054C16">
            <w:rPr>
              <w:rFonts w:ascii="Times New Roman" w:hAnsi="Times New Roman" w:cs="Times New Roman"/>
              <w:sz w:val="24"/>
              <w:szCs w:val="24"/>
            </w:rPr>
            <w:t xml:space="preserve"> Human Resources will be critical in managing digital talent acquisition and upskilling, attracting and retaining employees with expertise in AI, data science, and digital marketing (Tidrick, 2023).</w:t>
          </w:r>
        </w:p>
        <w:p w14:paraId="1294127E" w14:textId="2B2B1038" w:rsidR="00054C16" w:rsidRPr="00054C16" w:rsidRDefault="00054C16" w:rsidP="00054C16">
          <w:pPr>
            <w:numPr>
              <w:ilvl w:val="0"/>
              <w:numId w:val="1"/>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Marketing:</w:t>
          </w:r>
          <w:r w:rsidRPr="00054C16">
            <w:rPr>
              <w:rFonts w:ascii="Times New Roman" w:hAnsi="Times New Roman" w:cs="Times New Roman"/>
              <w:sz w:val="24"/>
              <w:szCs w:val="24"/>
            </w:rPr>
            <w:t xml:space="preserve"> The Marketing department needs to embrace new tools and approaches; AI-</w:t>
          </w:r>
          <w:r w:rsidR="005278C4" w:rsidRPr="00054C16">
            <w:rPr>
              <w:rFonts w:ascii="Times New Roman" w:hAnsi="Times New Roman" w:cs="Times New Roman"/>
              <w:sz w:val="24"/>
              <w:szCs w:val="24"/>
            </w:rPr>
            <w:t>fuelled</w:t>
          </w:r>
          <w:r w:rsidRPr="00054C16">
            <w:rPr>
              <w:rFonts w:ascii="Times New Roman" w:hAnsi="Times New Roman" w:cs="Times New Roman"/>
              <w:sz w:val="24"/>
              <w:szCs w:val="24"/>
            </w:rPr>
            <w:t xml:space="preserve"> analytics to extract useful customer truths, adopt communication in marketing, and optimize strategies for campaigns (Chung et al., 2020).</w:t>
          </w:r>
        </w:p>
        <w:p w14:paraId="55961AAD" w14:textId="77777777" w:rsidR="00054C16" w:rsidRPr="00054C16" w:rsidRDefault="00054C16" w:rsidP="00054C16">
          <w:pPr>
            <w:numPr>
              <w:ilvl w:val="0"/>
              <w:numId w:val="1"/>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Operations:</w:t>
          </w:r>
          <w:r w:rsidRPr="00054C16">
            <w:rPr>
              <w:rFonts w:ascii="Times New Roman" w:hAnsi="Times New Roman" w:cs="Times New Roman"/>
              <w:sz w:val="24"/>
              <w:szCs w:val="24"/>
            </w:rPr>
            <w:t xml:space="preserve"> Adopting automation, robotics, and IoT to streamline operations will achieve higher efficiency, cheaper prices, and a quicker manner of satisfying customer needs. (Enochs, 2021)</w:t>
          </w:r>
        </w:p>
        <w:p w14:paraId="7A8A53CF" w14:textId="77777777" w:rsidR="00054C16" w:rsidRPr="00054C16" w:rsidRDefault="00054C16" w:rsidP="00054C16">
          <w:pPr>
            <w:numPr>
              <w:ilvl w:val="0"/>
              <w:numId w:val="1"/>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R&amp;D:</w:t>
          </w:r>
          <w:r w:rsidRPr="00054C16">
            <w:rPr>
              <w:rFonts w:ascii="Times New Roman" w:hAnsi="Times New Roman" w:cs="Times New Roman"/>
              <w:sz w:val="24"/>
              <w:szCs w:val="24"/>
            </w:rPr>
            <w:t xml:space="preserve"> Research and development should focus on the development of AI-based products and services, data-driven product development, and the promotion of an innovative culture (Du et al., 2022).</w:t>
          </w:r>
        </w:p>
        <w:p w14:paraId="27BE1ACC" w14:textId="77777777" w:rsidR="00054C16" w:rsidRPr="00054C16" w:rsidRDefault="00054C16" w:rsidP="00054C16">
          <w:pPr>
            <w:numPr>
              <w:ilvl w:val="0"/>
              <w:numId w:val="1"/>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Finance:</w:t>
          </w:r>
          <w:r w:rsidRPr="00054C16">
            <w:rPr>
              <w:rFonts w:ascii="Times New Roman" w:hAnsi="Times New Roman" w:cs="Times New Roman"/>
              <w:sz w:val="24"/>
              <w:szCs w:val="24"/>
            </w:rPr>
            <w:t xml:space="preserve"> The Finance department will need to develop new financial models to support service-oriented business models, tracking customer lifetime value, and measuring the return on digital investments (Williamson, 2024).</w:t>
          </w:r>
        </w:p>
        <w:p w14:paraId="4316BB7B" w14:textId="77777777" w:rsidR="00054C16" w:rsidRDefault="00054C16" w:rsidP="00054C16">
          <w:pPr>
            <w:numPr>
              <w:ilvl w:val="0"/>
              <w:numId w:val="1"/>
            </w:num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Legal:</w:t>
          </w:r>
          <w:r w:rsidRPr="00054C16">
            <w:rPr>
              <w:rFonts w:ascii="Times New Roman" w:hAnsi="Times New Roman" w:cs="Times New Roman"/>
              <w:sz w:val="24"/>
              <w:szCs w:val="24"/>
            </w:rPr>
            <w:t xml:space="preserve"> The Legal department must navigate complex legal and regulatory issues related to data privacy, cybersecurity, and intellectual property (Zapanta, 2025).</w:t>
          </w:r>
        </w:p>
        <w:p w14:paraId="19967534" w14:textId="77777777" w:rsidR="005278C4" w:rsidRPr="00054C16" w:rsidRDefault="005278C4" w:rsidP="005278C4">
          <w:pPr>
            <w:spacing w:line="360" w:lineRule="auto"/>
            <w:jc w:val="both"/>
            <w:rPr>
              <w:rFonts w:ascii="Times New Roman" w:hAnsi="Times New Roman" w:cs="Times New Roman"/>
              <w:sz w:val="24"/>
              <w:szCs w:val="24"/>
            </w:rPr>
          </w:pPr>
        </w:p>
        <w:p w14:paraId="5A234070"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Cultural and Organizational Shifts: Embracing a New Paradigm</w:t>
          </w:r>
        </w:p>
        <w:p w14:paraId="156BF1F7"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Successful digital transformation requires significant cultural and organizational shifts, fostering an agile and innovative mindset, emphasizing customer-centricity, promoting </w:t>
          </w:r>
          <w:r w:rsidRPr="00054C16">
            <w:rPr>
              <w:rFonts w:ascii="Times New Roman" w:hAnsi="Times New Roman" w:cs="Times New Roman"/>
              <w:sz w:val="24"/>
              <w:szCs w:val="24"/>
            </w:rPr>
            <w:lastRenderedPageBreak/>
            <w:t>collaboration and communication, embracing data-driven decision-making, and building an organization adaptable to change and resilient in the face of disruption (Chung et al., 2020).</w:t>
          </w:r>
        </w:p>
        <w:p w14:paraId="692E4C12"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Organizational Structural Changes: Architecting for Agility and Collaboration</w:t>
          </w:r>
        </w:p>
        <w:p w14:paraId="30294959"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To facilitate digital transformation, Sony should consider creating cross-functional teams to drive digital initiatives, establishing a dedicated Digital Transformation Office to oversee the implementation of the change strategy, decentralizing decision-making to empower business units, and adopting agile project management methodologies to accelerate the development and deployment of digital products and services (Lukan, 2024).</w:t>
          </w:r>
        </w:p>
        <w:p w14:paraId="3AEFAA02"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b/>
              <w:bCs/>
              <w:sz w:val="24"/>
              <w:szCs w:val="24"/>
            </w:rPr>
            <w:t>Overcoming Resistance to Change: Navigating the Human Element</w:t>
          </w:r>
        </w:p>
        <w:p w14:paraId="1759DDEE" w14:textId="77777777" w:rsid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Resistance to change is a natural human reaction, and Sony must proactively address it to ensure successful digital transformation. This requires clear and transparent communication, active employee involvement, comprehensive training and support, strategic incentives and recognition, and unwavering leadership commitment. By implementing these recommendations, Sony can reshape its strategic direction, lead successful change implementation, and navigate the wider organizational implications of digital transformation. This will enable Sony to thrive in the digital age, delivering exceptional customer experiences, driving innovation, and creating long-term value for its stakeholders (Du et al., 2022).</w:t>
          </w:r>
        </w:p>
        <w:p w14:paraId="3F0D1818" w14:textId="77777777" w:rsidR="005278C4" w:rsidRDefault="005278C4" w:rsidP="00054C16">
          <w:pPr>
            <w:spacing w:line="360" w:lineRule="auto"/>
            <w:jc w:val="both"/>
            <w:rPr>
              <w:rFonts w:ascii="Times New Roman" w:hAnsi="Times New Roman" w:cs="Times New Roman"/>
              <w:sz w:val="24"/>
              <w:szCs w:val="24"/>
            </w:rPr>
          </w:pPr>
        </w:p>
        <w:p w14:paraId="738932D2" w14:textId="77777777" w:rsidR="005278C4" w:rsidRDefault="005278C4" w:rsidP="00054C16">
          <w:pPr>
            <w:spacing w:line="360" w:lineRule="auto"/>
            <w:jc w:val="both"/>
            <w:rPr>
              <w:rFonts w:ascii="Times New Roman" w:hAnsi="Times New Roman" w:cs="Times New Roman"/>
              <w:sz w:val="24"/>
              <w:szCs w:val="24"/>
            </w:rPr>
          </w:pPr>
        </w:p>
        <w:p w14:paraId="5E91FD5F" w14:textId="77777777" w:rsidR="005278C4" w:rsidRDefault="005278C4" w:rsidP="00054C16">
          <w:pPr>
            <w:spacing w:line="360" w:lineRule="auto"/>
            <w:jc w:val="both"/>
            <w:rPr>
              <w:rFonts w:ascii="Times New Roman" w:hAnsi="Times New Roman" w:cs="Times New Roman"/>
              <w:sz w:val="24"/>
              <w:szCs w:val="24"/>
            </w:rPr>
          </w:pPr>
        </w:p>
        <w:p w14:paraId="442536CD" w14:textId="77777777" w:rsidR="005278C4" w:rsidRDefault="005278C4" w:rsidP="00054C16">
          <w:pPr>
            <w:spacing w:line="360" w:lineRule="auto"/>
            <w:jc w:val="both"/>
            <w:rPr>
              <w:rFonts w:ascii="Times New Roman" w:hAnsi="Times New Roman" w:cs="Times New Roman"/>
              <w:sz w:val="24"/>
              <w:szCs w:val="24"/>
            </w:rPr>
          </w:pPr>
        </w:p>
        <w:p w14:paraId="32CE5FD8" w14:textId="77777777" w:rsidR="005278C4" w:rsidRDefault="005278C4" w:rsidP="00054C16">
          <w:pPr>
            <w:spacing w:line="360" w:lineRule="auto"/>
            <w:jc w:val="both"/>
            <w:rPr>
              <w:rFonts w:ascii="Times New Roman" w:hAnsi="Times New Roman" w:cs="Times New Roman"/>
              <w:sz w:val="24"/>
              <w:szCs w:val="24"/>
            </w:rPr>
          </w:pPr>
        </w:p>
        <w:p w14:paraId="4F107941" w14:textId="77777777" w:rsidR="005278C4" w:rsidRDefault="005278C4" w:rsidP="00054C16">
          <w:pPr>
            <w:spacing w:line="360" w:lineRule="auto"/>
            <w:jc w:val="both"/>
            <w:rPr>
              <w:rFonts w:ascii="Times New Roman" w:hAnsi="Times New Roman" w:cs="Times New Roman"/>
              <w:sz w:val="24"/>
              <w:szCs w:val="24"/>
            </w:rPr>
          </w:pPr>
        </w:p>
        <w:p w14:paraId="51C48704" w14:textId="77777777" w:rsidR="005278C4" w:rsidRDefault="005278C4" w:rsidP="00054C16">
          <w:pPr>
            <w:spacing w:line="360" w:lineRule="auto"/>
            <w:jc w:val="both"/>
            <w:rPr>
              <w:rFonts w:ascii="Times New Roman" w:hAnsi="Times New Roman" w:cs="Times New Roman"/>
              <w:sz w:val="24"/>
              <w:szCs w:val="24"/>
            </w:rPr>
          </w:pPr>
        </w:p>
        <w:p w14:paraId="75F3E7A7" w14:textId="77777777" w:rsidR="005278C4" w:rsidRDefault="005278C4" w:rsidP="00054C16">
          <w:pPr>
            <w:spacing w:line="360" w:lineRule="auto"/>
            <w:jc w:val="both"/>
            <w:rPr>
              <w:rFonts w:ascii="Times New Roman" w:hAnsi="Times New Roman" w:cs="Times New Roman"/>
              <w:sz w:val="24"/>
              <w:szCs w:val="24"/>
            </w:rPr>
          </w:pPr>
        </w:p>
        <w:p w14:paraId="206CF21C" w14:textId="77777777" w:rsidR="005278C4" w:rsidRDefault="005278C4" w:rsidP="00054C16">
          <w:pPr>
            <w:spacing w:line="360" w:lineRule="auto"/>
            <w:jc w:val="both"/>
            <w:rPr>
              <w:rFonts w:ascii="Times New Roman" w:hAnsi="Times New Roman" w:cs="Times New Roman"/>
              <w:sz w:val="24"/>
              <w:szCs w:val="24"/>
            </w:rPr>
          </w:pPr>
        </w:p>
        <w:p w14:paraId="686BD795" w14:textId="77777777" w:rsidR="005278C4" w:rsidRDefault="005278C4" w:rsidP="00054C16">
          <w:pPr>
            <w:spacing w:line="360" w:lineRule="auto"/>
            <w:jc w:val="both"/>
            <w:rPr>
              <w:rFonts w:ascii="Times New Roman" w:hAnsi="Times New Roman" w:cs="Times New Roman"/>
              <w:sz w:val="24"/>
              <w:szCs w:val="24"/>
            </w:rPr>
          </w:pPr>
        </w:p>
        <w:p w14:paraId="34AEF104" w14:textId="77777777" w:rsidR="005278C4" w:rsidRDefault="005278C4" w:rsidP="00054C16">
          <w:pPr>
            <w:spacing w:line="360" w:lineRule="auto"/>
            <w:jc w:val="both"/>
            <w:rPr>
              <w:rFonts w:ascii="Times New Roman" w:hAnsi="Times New Roman" w:cs="Times New Roman"/>
              <w:sz w:val="24"/>
              <w:szCs w:val="24"/>
            </w:rPr>
          </w:pPr>
        </w:p>
        <w:p w14:paraId="3EF3D5D8" w14:textId="77777777" w:rsidR="005278C4" w:rsidRDefault="005278C4" w:rsidP="00054C16">
          <w:pPr>
            <w:spacing w:line="360" w:lineRule="auto"/>
            <w:jc w:val="both"/>
            <w:rPr>
              <w:rFonts w:ascii="Times New Roman" w:hAnsi="Times New Roman" w:cs="Times New Roman"/>
              <w:sz w:val="24"/>
              <w:szCs w:val="24"/>
            </w:rPr>
          </w:pPr>
        </w:p>
        <w:p w14:paraId="0F638809" w14:textId="77777777" w:rsidR="005278C4" w:rsidRPr="00054C16" w:rsidRDefault="005278C4" w:rsidP="00054C16">
          <w:pPr>
            <w:spacing w:line="360" w:lineRule="auto"/>
            <w:jc w:val="both"/>
            <w:rPr>
              <w:rFonts w:ascii="Times New Roman" w:hAnsi="Times New Roman" w:cs="Times New Roman"/>
              <w:sz w:val="24"/>
              <w:szCs w:val="24"/>
            </w:rPr>
          </w:pPr>
        </w:p>
        <w:p w14:paraId="6DA3A6B6" w14:textId="6AE5384C" w:rsidR="00054C16" w:rsidRDefault="005278C4" w:rsidP="005278C4">
          <w:pPr>
            <w:pStyle w:val="Heading1"/>
            <w:jc w:val="center"/>
          </w:pPr>
          <w:bookmarkStart w:id="26" w:name="_Toc198475611"/>
          <w:r>
            <w:t xml:space="preserve">3.0 </w:t>
          </w:r>
          <w:r w:rsidR="00054C16" w:rsidRPr="00054C16">
            <w:t>Conclusion</w:t>
          </w:r>
          <w:bookmarkEnd w:id="26"/>
        </w:p>
        <w:p w14:paraId="7D25A4B1" w14:textId="77777777" w:rsidR="005278C4" w:rsidRPr="005278C4" w:rsidRDefault="005278C4" w:rsidP="005278C4"/>
        <w:p w14:paraId="3A3F773F"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Sony finds itself at a pivotal point where changing technological trends, consumer choices, and increased rivalry call for a complete strategic review. A strategic evaluation indicates that Sony enjoys significant strengths such as advanced technology, innovative content, and a highly respected international brand. Still, its performance in physical products cannot guarantee success in the market that is growing increasingly digitized and networked. A strategic examination of Sony’s surroundings reveals appetizing opportunities for growth and urgent challenges. Big Monolithic giants with significant resources are entering Sony’s key markets, while small competitors focus on specific market segments. Meanwhile, developments in emerging technologies such as artificial intelligence are creating pathways for ground-breaking innovation and creating significant threats to established business models in both the hard- and software sectors.</w:t>
          </w:r>
        </w:p>
        <w:p w14:paraId="2FCE91B7" w14:textId="77777777" w:rsid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Sony must evolve its collection of loosely coupled, unrelated product businesses into an integrated digital ecosystem, leveraging its hardware and content creation strengths. This shift is far more than a mere incremental improvement. It fundamentally changes how Sony produces and sustains value in the digital world. The proposed strategic path applies Sony's strengths and addresses poor integration in its business units. Based on leadership analysis, effectively executing this transformation requires incorporating transformational and adaptive leadership strategies. Transformational leadership motivates an overall understanding of a clear vision that energizes the organization, while adaptive leadership fosters teams to exercise coupled work to tackle complex challenges. Neither approach alone is sufficient; Sony should adjust its leadership style to accommodate transformational and adaptive elements, customized for regional/organizational realities.</w:t>
          </w:r>
        </w:p>
        <w:p w14:paraId="09F1DFB1" w14:textId="77777777" w:rsidR="008E3C36" w:rsidRDefault="008E3C36" w:rsidP="00054C16">
          <w:pPr>
            <w:spacing w:line="360" w:lineRule="auto"/>
            <w:jc w:val="both"/>
            <w:rPr>
              <w:rFonts w:ascii="Times New Roman" w:hAnsi="Times New Roman" w:cs="Times New Roman"/>
              <w:sz w:val="24"/>
              <w:szCs w:val="24"/>
            </w:rPr>
          </w:pPr>
        </w:p>
        <w:p w14:paraId="0E655935" w14:textId="77777777" w:rsidR="008E3C36" w:rsidRDefault="008E3C36" w:rsidP="00054C16">
          <w:pPr>
            <w:spacing w:line="360" w:lineRule="auto"/>
            <w:jc w:val="both"/>
            <w:rPr>
              <w:rFonts w:ascii="Times New Roman" w:hAnsi="Times New Roman" w:cs="Times New Roman"/>
              <w:sz w:val="24"/>
              <w:szCs w:val="24"/>
            </w:rPr>
          </w:pPr>
        </w:p>
        <w:p w14:paraId="09C1072D" w14:textId="77777777" w:rsidR="008E3C36" w:rsidRDefault="008E3C36" w:rsidP="00054C16">
          <w:pPr>
            <w:spacing w:line="360" w:lineRule="auto"/>
            <w:jc w:val="both"/>
            <w:rPr>
              <w:rFonts w:ascii="Times New Roman" w:hAnsi="Times New Roman" w:cs="Times New Roman"/>
              <w:sz w:val="24"/>
              <w:szCs w:val="24"/>
            </w:rPr>
          </w:pPr>
        </w:p>
        <w:p w14:paraId="68887532" w14:textId="77777777" w:rsidR="008E3C36" w:rsidRDefault="008E3C36" w:rsidP="00054C16">
          <w:pPr>
            <w:spacing w:line="360" w:lineRule="auto"/>
            <w:jc w:val="both"/>
            <w:rPr>
              <w:rFonts w:ascii="Times New Roman" w:hAnsi="Times New Roman" w:cs="Times New Roman"/>
              <w:sz w:val="24"/>
              <w:szCs w:val="24"/>
            </w:rPr>
          </w:pPr>
        </w:p>
        <w:p w14:paraId="145EBD85" w14:textId="77777777" w:rsidR="008E3C36" w:rsidRPr="00054C16" w:rsidRDefault="008E3C36" w:rsidP="00054C16">
          <w:pPr>
            <w:spacing w:line="360" w:lineRule="auto"/>
            <w:jc w:val="both"/>
            <w:rPr>
              <w:rFonts w:ascii="Times New Roman" w:hAnsi="Times New Roman" w:cs="Times New Roman"/>
              <w:sz w:val="24"/>
              <w:szCs w:val="24"/>
            </w:rPr>
          </w:pPr>
        </w:p>
        <w:p w14:paraId="22B8ED8D" w14:textId="562B4EB6" w:rsidR="00054C16" w:rsidRDefault="008E3C36" w:rsidP="008E3C36">
          <w:pPr>
            <w:pStyle w:val="Heading1"/>
            <w:jc w:val="center"/>
          </w:pPr>
          <w:bookmarkStart w:id="27" w:name="_Toc198475612"/>
          <w:r>
            <w:t xml:space="preserve">4.0 </w:t>
          </w:r>
          <w:r w:rsidR="00054C16" w:rsidRPr="00054C16">
            <w:t>Reference List</w:t>
          </w:r>
          <w:bookmarkEnd w:id="27"/>
        </w:p>
        <w:p w14:paraId="3A795CC5" w14:textId="77777777" w:rsidR="008E3C36" w:rsidRPr="008E3C36" w:rsidRDefault="008E3C36" w:rsidP="008E3C36"/>
        <w:p w14:paraId="2B7E0C6C"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Addison, S., Nadarajah, D. and Yasin, I. (2024). Digital Transformation and Business Model Innovation: Moderating Role of Digital Leadership. </w:t>
          </w:r>
          <w:r w:rsidRPr="00054C16">
            <w:rPr>
              <w:rFonts w:ascii="Times New Roman" w:hAnsi="Times New Roman" w:cs="Times New Roman"/>
              <w:i/>
              <w:iCs/>
              <w:sz w:val="24"/>
              <w:szCs w:val="24"/>
            </w:rPr>
            <w:t>International Journal of Social Science and Human Research</w:t>
          </w:r>
          <w:r w:rsidRPr="00054C16">
            <w:rPr>
              <w:rFonts w:ascii="Times New Roman" w:hAnsi="Times New Roman" w:cs="Times New Roman"/>
              <w:sz w:val="24"/>
              <w:szCs w:val="24"/>
            </w:rPr>
            <w:t xml:space="preserve">, [online] 7(08). </w:t>
          </w:r>
          <w:proofErr w:type="spellStart"/>
          <w:proofErr w:type="gramStart"/>
          <w:r w:rsidRPr="00054C16">
            <w:rPr>
              <w:rFonts w:ascii="Times New Roman" w:hAnsi="Times New Roman" w:cs="Times New Roman"/>
              <w:sz w:val="24"/>
              <w:szCs w:val="24"/>
            </w:rPr>
            <w:t>doi:https</w:t>
          </w:r>
          <w:proofErr w:type="spellEnd"/>
          <w:r w:rsidRPr="00054C16">
            <w:rPr>
              <w:rFonts w:ascii="Times New Roman" w:hAnsi="Times New Roman" w:cs="Times New Roman"/>
              <w:sz w:val="24"/>
              <w:szCs w:val="24"/>
            </w:rPr>
            <w:t>://doi.org/10.47191/</w:t>
          </w:r>
          <w:proofErr w:type="spellStart"/>
          <w:r w:rsidRPr="00054C16">
            <w:rPr>
              <w:rFonts w:ascii="Times New Roman" w:hAnsi="Times New Roman" w:cs="Times New Roman"/>
              <w:sz w:val="24"/>
              <w:szCs w:val="24"/>
            </w:rPr>
            <w:t>ijsshr</w:t>
          </w:r>
          <w:proofErr w:type="spellEnd"/>
          <w:r w:rsidRPr="00054C16">
            <w:rPr>
              <w:rFonts w:ascii="Times New Roman" w:hAnsi="Times New Roman" w:cs="Times New Roman"/>
              <w:sz w:val="24"/>
              <w:szCs w:val="24"/>
            </w:rPr>
            <w:t>/v7-i08-09</w:t>
          </w:r>
          <w:proofErr w:type="gramEnd"/>
          <w:r w:rsidRPr="00054C16">
            <w:rPr>
              <w:rFonts w:ascii="Times New Roman" w:hAnsi="Times New Roman" w:cs="Times New Roman"/>
              <w:sz w:val="24"/>
              <w:szCs w:val="24"/>
            </w:rPr>
            <w:t>.</w:t>
          </w:r>
        </w:p>
        <w:p w14:paraId="1DAF48AE"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Akin Akinpelu (2024). </w:t>
          </w:r>
          <w:r w:rsidRPr="00054C16">
            <w:rPr>
              <w:rFonts w:ascii="Times New Roman" w:hAnsi="Times New Roman" w:cs="Times New Roman"/>
              <w:i/>
              <w:iCs/>
              <w:sz w:val="24"/>
              <w:szCs w:val="24"/>
            </w:rPr>
            <w:t xml:space="preserve">Transformational Leadership: The How </w:t>
          </w:r>
          <w:proofErr w:type="gramStart"/>
          <w:r w:rsidRPr="00054C16">
            <w:rPr>
              <w:rFonts w:ascii="Times New Roman" w:hAnsi="Times New Roman" w:cs="Times New Roman"/>
              <w:i/>
              <w:iCs/>
              <w:sz w:val="24"/>
              <w:szCs w:val="24"/>
            </w:rPr>
            <w:t>And</w:t>
          </w:r>
          <w:proofErr w:type="gramEnd"/>
          <w:r w:rsidRPr="00054C16">
            <w:rPr>
              <w:rFonts w:ascii="Times New Roman" w:hAnsi="Times New Roman" w:cs="Times New Roman"/>
              <w:i/>
              <w:iCs/>
              <w:sz w:val="24"/>
              <w:szCs w:val="24"/>
            </w:rPr>
            <w:t xml:space="preserve"> Why</w:t>
          </w:r>
          <w:r w:rsidRPr="00054C16">
            <w:rPr>
              <w:rFonts w:ascii="Times New Roman" w:hAnsi="Times New Roman" w:cs="Times New Roman"/>
              <w:sz w:val="24"/>
              <w:szCs w:val="24"/>
            </w:rPr>
            <w:t>. [online] Forbes. Available at: https://www.forbes.com/councils/forbescoachescouncil/2024/08/13/transformational-leadership-the-how-and-why/ [Accessed 9 May 2025].</w:t>
          </w:r>
        </w:p>
        <w:p w14:paraId="6883EC96"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Begum, S., and Chowdary, F. (2024). Competitive Semiconductor Product Strategy. Competitive Semiconductor Product Management, 61–89. https://doi.org/10.1007/979-8-8688-0920-0_3</w:t>
          </w:r>
        </w:p>
        <w:p w14:paraId="28182B3B" w14:textId="77777777" w:rsidR="00054C16" w:rsidRPr="00054C16" w:rsidRDefault="00054C16" w:rsidP="00054C16">
          <w:pPr>
            <w:spacing w:line="360" w:lineRule="auto"/>
            <w:jc w:val="both"/>
            <w:rPr>
              <w:rFonts w:ascii="Times New Roman" w:hAnsi="Times New Roman" w:cs="Times New Roman"/>
              <w:sz w:val="24"/>
              <w:szCs w:val="24"/>
            </w:rPr>
          </w:pPr>
          <w:proofErr w:type="spellStart"/>
          <w:r w:rsidRPr="00054C16">
            <w:rPr>
              <w:rFonts w:ascii="Times New Roman" w:hAnsi="Times New Roman" w:cs="Times New Roman"/>
              <w:sz w:val="24"/>
              <w:szCs w:val="24"/>
            </w:rPr>
            <w:t>Bynder</w:t>
          </w:r>
          <w:proofErr w:type="spellEnd"/>
          <w:r w:rsidRPr="00054C16">
            <w:rPr>
              <w:rFonts w:ascii="Times New Roman" w:hAnsi="Times New Roman" w:cs="Times New Roman"/>
              <w:sz w:val="24"/>
              <w:szCs w:val="24"/>
            </w:rPr>
            <w:t xml:space="preserve"> (2024). </w:t>
          </w:r>
          <w:r w:rsidRPr="00054C16">
            <w:rPr>
              <w:rFonts w:ascii="Times New Roman" w:hAnsi="Times New Roman" w:cs="Times New Roman"/>
              <w:i/>
              <w:iCs/>
              <w:sz w:val="24"/>
              <w:szCs w:val="24"/>
            </w:rPr>
            <w:t>3 key benefits of an integrated digital ecosystem</w:t>
          </w:r>
          <w:r w:rsidRPr="00054C16">
            <w:rPr>
              <w:rFonts w:ascii="Times New Roman" w:hAnsi="Times New Roman" w:cs="Times New Roman"/>
              <w:sz w:val="24"/>
              <w:szCs w:val="24"/>
            </w:rPr>
            <w:t xml:space="preserve">. [online] </w:t>
          </w:r>
          <w:proofErr w:type="spellStart"/>
          <w:r w:rsidRPr="00054C16">
            <w:rPr>
              <w:rFonts w:ascii="Times New Roman" w:hAnsi="Times New Roman" w:cs="Times New Roman"/>
              <w:sz w:val="24"/>
              <w:szCs w:val="24"/>
            </w:rPr>
            <w:t>Bynder</w:t>
          </w:r>
          <w:proofErr w:type="spellEnd"/>
          <w:r w:rsidRPr="00054C16">
            <w:rPr>
              <w:rFonts w:ascii="Times New Roman" w:hAnsi="Times New Roman" w:cs="Times New Roman"/>
              <w:sz w:val="24"/>
              <w:szCs w:val="24"/>
            </w:rPr>
            <w:t>. Available at: https://www.bynder.com/en/blog/3-key-benefits-of-an-integrated-digital-ecosystem/.</w:t>
          </w:r>
        </w:p>
        <w:p w14:paraId="423F501F"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‌Chung, V., Dietz, M., Rab, I. and Townsend, Z. (2020). </w:t>
          </w:r>
          <w:r w:rsidRPr="00054C16">
            <w:rPr>
              <w:rFonts w:ascii="Times New Roman" w:hAnsi="Times New Roman" w:cs="Times New Roman"/>
              <w:i/>
              <w:iCs/>
              <w:sz w:val="24"/>
              <w:szCs w:val="24"/>
            </w:rPr>
            <w:t>Ecosystem 2.0: Climbing to the next level</w:t>
          </w:r>
          <w:r w:rsidRPr="00054C16">
            <w:rPr>
              <w:rFonts w:ascii="Times New Roman" w:hAnsi="Times New Roman" w:cs="Times New Roman"/>
              <w:sz w:val="24"/>
              <w:szCs w:val="24"/>
            </w:rPr>
            <w:t>. [online] McKinsey &amp; Company. Available at: https://www.mckinsey.com/capabilities/mckinsey-digital/our-insights/ecosystem-2-point-0-climbing-to-the-next-level [Accessed 10 May 2025].</w:t>
          </w:r>
        </w:p>
        <w:p w14:paraId="11F19F5D"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Du, H., Teng, Y., Ma, Z. and Guo, X. (2022). Value Creation in Platform Enterprises: A Fuzzy-Set Qualitative Comparative Analysis. </w:t>
          </w:r>
          <w:r w:rsidRPr="00054C16">
            <w:rPr>
              <w:rFonts w:ascii="Times New Roman" w:hAnsi="Times New Roman" w:cs="Times New Roman"/>
              <w:i/>
              <w:iCs/>
              <w:sz w:val="24"/>
              <w:szCs w:val="24"/>
            </w:rPr>
            <w:t>Sustainability</w:t>
          </w:r>
          <w:r w:rsidRPr="00054C16">
            <w:rPr>
              <w:rFonts w:ascii="Times New Roman" w:hAnsi="Times New Roman" w:cs="Times New Roman"/>
              <w:sz w:val="24"/>
              <w:szCs w:val="24"/>
            </w:rPr>
            <w:t xml:space="preserve">, [online] 14(9), p.5331. </w:t>
          </w:r>
          <w:proofErr w:type="spellStart"/>
          <w:proofErr w:type="gramStart"/>
          <w:r w:rsidRPr="00054C16">
            <w:rPr>
              <w:rFonts w:ascii="Times New Roman" w:hAnsi="Times New Roman" w:cs="Times New Roman"/>
              <w:sz w:val="24"/>
              <w:szCs w:val="24"/>
            </w:rPr>
            <w:t>doi:https</w:t>
          </w:r>
          <w:proofErr w:type="spellEnd"/>
          <w:r w:rsidRPr="00054C16">
            <w:rPr>
              <w:rFonts w:ascii="Times New Roman" w:hAnsi="Times New Roman" w:cs="Times New Roman"/>
              <w:sz w:val="24"/>
              <w:szCs w:val="24"/>
            </w:rPr>
            <w:t>://doi.org/10.3390/su14095331</w:t>
          </w:r>
          <w:proofErr w:type="gramEnd"/>
          <w:r w:rsidRPr="00054C16">
            <w:rPr>
              <w:rFonts w:ascii="Times New Roman" w:hAnsi="Times New Roman" w:cs="Times New Roman"/>
              <w:sz w:val="24"/>
              <w:szCs w:val="24"/>
            </w:rPr>
            <w:t>.</w:t>
          </w:r>
        </w:p>
        <w:p w14:paraId="7D7B6E0D"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Enochs, M. (2021). </w:t>
          </w:r>
          <w:r w:rsidRPr="00054C16">
            <w:rPr>
              <w:rFonts w:ascii="Times New Roman" w:hAnsi="Times New Roman" w:cs="Times New Roman"/>
              <w:i/>
              <w:iCs/>
              <w:sz w:val="24"/>
              <w:szCs w:val="24"/>
            </w:rPr>
            <w:t>Break Down the Silos or Break Your Customer Experience</w:t>
          </w:r>
          <w:r w:rsidRPr="00054C16">
            <w:rPr>
              <w:rFonts w:ascii="Times New Roman" w:hAnsi="Times New Roman" w:cs="Times New Roman"/>
              <w:sz w:val="24"/>
              <w:szCs w:val="24"/>
            </w:rPr>
            <w:t xml:space="preserve">. [online] SAP </w:t>
          </w:r>
          <w:proofErr w:type="spellStart"/>
          <w:r w:rsidRPr="00054C16">
            <w:rPr>
              <w:rFonts w:ascii="Times New Roman" w:hAnsi="Times New Roman" w:cs="Times New Roman"/>
              <w:sz w:val="24"/>
              <w:szCs w:val="24"/>
            </w:rPr>
            <w:t>Emarsys</w:t>
          </w:r>
          <w:proofErr w:type="spellEnd"/>
          <w:r w:rsidRPr="00054C16">
            <w:rPr>
              <w:rFonts w:ascii="Times New Roman" w:hAnsi="Times New Roman" w:cs="Times New Roman"/>
              <w:sz w:val="24"/>
              <w:szCs w:val="24"/>
            </w:rPr>
            <w:t>. Available at: https://emarsys.com/learn/blog/break-down-the-silos-or-break-your-customer-experience/ [Accessed 10 May 2025].</w:t>
          </w:r>
        </w:p>
        <w:p w14:paraId="0339DC91"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Florian Tagscherer and Carbon, C.-C. (2023). Leadership for successful digitalisation: A literature review on companies’ internal and external aspects of digitalisation. </w:t>
          </w:r>
          <w:r w:rsidRPr="00054C16">
            <w:rPr>
              <w:rFonts w:ascii="Times New Roman" w:hAnsi="Times New Roman" w:cs="Times New Roman"/>
              <w:i/>
              <w:iCs/>
              <w:sz w:val="24"/>
              <w:szCs w:val="24"/>
            </w:rPr>
            <w:t>Sustainable Technology and Entrepreneurship</w:t>
          </w:r>
          <w:r w:rsidRPr="00054C16">
            <w:rPr>
              <w:rFonts w:ascii="Times New Roman" w:hAnsi="Times New Roman" w:cs="Times New Roman"/>
              <w:sz w:val="24"/>
              <w:szCs w:val="24"/>
            </w:rPr>
            <w:t xml:space="preserve">, [online] 2(2), pp.100039–100039. </w:t>
          </w:r>
          <w:proofErr w:type="spellStart"/>
          <w:proofErr w:type="gramStart"/>
          <w:r w:rsidRPr="00054C16">
            <w:rPr>
              <w:rFonts w:ascii="Times New Roman" w:hAnsi="Times New Roman" w:cs="Times New Roman"/>
              <w:sz w:val="24"/>
              <w:szCs w:val="24"/>
            </w:rPr>
            <w:t>doi:https</w:t>
          </w:r>
          <w:proofErr w:type="spellEnd"/>
          <w:r w:rsidRPr="00054C16">
            <w:rPr>
              <w:rFonts w:ascii="Times New Roman" w:hAnsi="Times New Roman" w:cs="Times New Roman"/>
              <w:sz w:val="24"/>
              <w:szCs w:val="24"/>
            </w:rPr>
            <w:t>://doi.org/10.1016/j.stae.2023.100039</w:t>
          </w:r>
          <w:proofErr w:type="gramEnd"/>
          <w:r w:rsidRPr="00054C16">
            <w:rPr>
              <w:rFonts w:ascii="Times New Roman" w:hAnsi="Times New Roman" w:cs="Times New Roman"/>
              <w:sz w:val="24"/>
              <w:szCs w:val="24"/>
            </w:rPr>
            <w:t>.</w:t>
          </w:r>
        </w:p>
        <w:p w14:paraId="5DCF5342"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lastRenderedPageBreak/>
            <w:t>Frater, P. (2023). </w:t>
          </w:r>
          <w:r w:rsidRPr="00054C16">
            <w:rPr>
              <w:rFonts w:ascii="Times New Roman" w:hAnsi="Times New Roman" w:cs="Times New Roman"/>
              <w:i/>
              <w:iCs/>
              <w:sz w:val="24"/>
              <w:szCs w:val="24"/>
            </w:rPr>
            <w:t>Sony Strategy: Group Seeks Expansion in Music, Games, Anime and India</w:t>
          </w:r>
          <w:r w:rsidRPr="00054C16">
            <w:rPr>
              <w:rFonts w:ascii="Times New Roman" w:hAnsi="Times New Roman" w:cs="Times New Roman"/>
              <w:sz w:val="24"/>
              <w:szCs w:val="24"/>
            </w:rPr>
            <w:t>. [online] Variety. Available at: https://variety.com/2023/film/news/sony-strategic-plans-music-games-anime-india-1235617171/ [Accessed 9 May 2025].</w:t>
          </w:r>
        </w:p>
        <w:p w14:paraId="75B9E7BD"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Fuertes, G., Alfaro, M., Vargas, M., Gutierrez, S., </w:t>
          </w:r>
          <w:proofErr w:type="spellStart"/>
          <w:r w:rsidRPr="00054C16">
            <w:rPr>
              <w:rFonts w:ascii="Times New Roman" w:hAnsi="Times New Roman" w:cs="Times New Roman"/>
              <w:sz w:val="24"/>
              <w:szCs w:val="24"/>
            </w:rPr>
            <w:t>Ternero</w:t>
          </w:r>
          <w:proofErr w:type="spellEnd"/>
          <w:r w:rsidRPr="00054C16">
            <w:rPr>
              <w:rFonts w:ascii="Times New Roman" w:hAnsi="Times New Roman" w:cs="Times New Roman"/>
              <w:sz w:val="24"/>
              <w:szCs w:val="24"/>
            </w:rPr>
            <w:t xml:space="preserve">, R. and </w:t>
          </w:r>
          <w:proofErr w:type="spellStart"/>
          <w:r w:rsidRPr="00054C16">
            <w:rPr>
              <w:rFonts w:ascii="Times New Roman" w:hAnsi="Times New Roman" w:cs="Times New Roman"/>
              <w:sz w:val="24"/>
              <w:szCs w:val="24"/>
            </w:rPr>
            <w:t>Sabattin</w:t>
          </w:r>
          <w:proofErr w:type="spellEnd"/>
          <w:r w:rsidRPr="00054C16">
            <w:rPr>
              <w:rFonts w:ascii="Times New Roman" w:hAnsi="Times New Roman" w:cs="Times New Roman"/>
              <w:sz w:val="24"/>
              <w:szCs w:val="24"/>
            </w:rPr>
            <w:t>, J. (2020). Conceptual Framework for the Strategic Management: A Literature Review—Descriptive. </w:t>
          </w:r>
          <w:r w:rsidRPr="00054C16">
            <w:rPr>
              <w:rFonts w:ascii="Times New Roman" w:hAnsi="Times New Roman" w:cs="Times New Roman"/>
              <w:i/>
              <w:iCs/>
              <w:sz w:val="24"/>
              <w:szCs w:val="24"/>
            </w:rPr>
            <w:t>Journal of Engineering</w:t>
          </w:r>
          <w:r w:rsidRPr="00054C16">
            <w:rPr>
              <w:rFonts w:ascii="Times New Roman" w:hAnsi="Times New Roman" w:cs="Times New Roman"/>
              <w:sz w:val="24"/>
              <w:szCs w:val="24"/>
            </w:rPr>
            <w:t xml:space="preserve">, [online] 2020, pp.1–21. </w:t>
          </w:r>
          <w:proofErr w:type="spellStart"/>
          <w:proofErr w:type="gramStart"/>
          <w:r w:rsidRPr="00054C16">
            <w:rPr>
              <w:rFonts w:ascii="Times New Roman" w:hAnsi="Times New Roman" w:cs="Times New Roman"/>
              <w:sz w:val="24"/>
              <w:szCs w:val="24"/>
            </w:rPr>
            <w:t>doi:https</w:t>
          </w:r>
          <w:proofErr w:type="spellEnd"/>
          <w:r w:rsidRPr="00054C16">
            <w:rPr>
              <w:rFonts w:ascii="Times New Roman" w:hAnsi="Times New Roman" w:cs="Times New Roman"/>
              <w:sz w:val="24"/>
              <w:szCs w:val="24"/>
            </w:rPr>
            <w:t>://doi.org/10.1155/2020/6253013</w:t>
          </w:r>
          <w:proofErr w:type="gramEnd"/>
          <w:r w:rsidRPr="00054C16">
            <w:rPr>
              <w:rFonts w:ascii="Times New Roman" w:hAnsi="Times New Roman" w:cs="Times New Roman"/>
              <w:sz w:val="24"/>
              <w:szCs w:val="24"/>
            </w:rPr>
            <w:t>.</w:t>
          </w:r>
        </w:p>
        <w:p w14:paraId="77FC298E"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Karimi, S., Malek, F.A., Farani, A.Y. and Genovaitė </w:t>
          </w:r>
          <w:proofErr w:type="spellStart"/>
          <w:r w:rsidRPr="00054C16">
            <w:rPr>
              <w:rFonts w:ascii="Times New Roman" w:hAnsi="Times New Roman" w:cs="Times New Roman"/>
              <w:sz w:val="24"/>
              <w:szCs w:val="24"/>
            </w:rPr>
            <w:t>Liobikienė</w:t>
          </w:r>
          <w:proofErr w:type="spellEnd"/>
          <w:r w:rsidRPr="00054C16">
            <w:rPr>
              <w:rFonts w:ascii="Times New Roman" w:hAnsi="Times New Roman" w:cs="Times New Roman"/>
              <w:sz w:val="24"/>
              <w:szCs w:val="24"/>
            </w:rPr>
            <w:t xml:space="preserve"> (2023). The Role of Transformational Leadership in Developing Innovative Work </w:t>
          </w:r>
          <w:proofErr w:type="spellStart"/>
          <w:r w:rsidRPr="00054C16">
            <w:rPr>
              <w:rFonts w:ascii="Times New Roman" w:hAnsi="Times New Roman" w:cs="Times New Roman"/>
              <w:sz w:val="24"/>
              <w:szCs w:val="24"/>
            </w:rPr>
            <w:t>Behaviors</w:t>
          </w:r>
          <w:proofErr w:type="spellEnd"/>
          <w:r w:rsidRPr="00054C16">
            <w:rPr>
              <w:rFonts w:ascii="Times New Roman" w:hAnsi="Times New Roman" w:cs="Times New Roman"/>
              <w:sz w:val="24"/>
              <w:szCs w:val="24"/>
            </w:rPr>
            <w:t>: The Mediating Role of Employees’ Psychological Capital. </w:t>
          </w:r>
          <w:r w:rsidRPr="00054C16">
            <w:rPr>
              <w:rFonts w:ascii="Times New Roman" w:hAnsi="Times New Roman" w:cs="Times New Roman"/>
              <w:i/>
              <w:iCs/>
              <w:sz w:val="24"/>
              <w:szCs w:val="24"/>
            </w:rPr>
            <w:t>Sustainability</w:t>
          </w:r>
          <w:r w:rsidRPr="00054C16">
            <w:rPr>
              <w:rFonts w:ascii="Times New Roman" w:hAnsi="Times New Roman" w:cs="Times New Roman"/>
              <w:sz w:val="24"/>
              <w:szCs w:val="24"/>
            </w:rPr>
            <w:t xml:space="preserve">, [online] 15(2), pp.1267–1267. </w:t>
          </w:r>
          <w:proofErr w:type="spellStart"/>
          <w:proofErr w:type="gramStart"/>
          <w:r w:rsidRPr="00054C16">
            <w:rPr>
              <w:rFonts w:ascii="Times New Roman" w:hAnsi="Times New Roman" w:cs="Times New Roman"/>
              <w:sz w:val="24"/>
              <w:szCs w:val="24"/>
            </w:rPr>
            <w:t>doi:https</w:t>
          </w:r>
          <w:proofErr w:type="spellEnd"/>
          <w:r w:rsidRPr="00054C16">
            <w:rPr>
              <w:rFonts w:ascii="Times New Roman" w:hAnsi="Times New Roman" w:cs="Times New Roman"/>
              <w:sz w:val="24"/>
              <w:szCs w:val="24"/>
            </w:rPr>
            <w:t>://doi.org/10.3390/su15021267</w:t>
          </w:r>
          <w:proofErr w:type="gramEnd"/>
          <w:r w:rsidRPr="00054C16">
            <w:rPr>
              <w:rFonts w:ascii="Times New Roman" w:hAnsi="Times New Roman" w:cs="Times New Roman"/>
              <w:sz w:val="24"/>
              <w:szCs w:val="24"/>
            </w:rPr>
            <w:t>.</w:t>
          </w:r>
        </w:p>
        <w:p w14:paraId="1FD31C02"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 xml:space="preserve">Kumar, S., Yadav, M., Saini, A. and Kumar, K. (2024). Smart Sensing in the IoT Era: A Comprehensive Review of Sensor Types and Applications. [online] </w:t>
          </w:r>
          <w:proofErr w:type="spellStart"/>
          <w:proofErr w:type="gramStart"/>
          <w:r w:rsidRPr="00054C16">
            <w:rPr>
              <w:rFonts w:ascii="Times New Roman" w:hAnsi="Times New Roman" w:cs="Times New Roman"/>
              <w:sz w:val="24"/>
              <w:szCs w:val="24"/>
            </w:rPr>
            <w:t>doi:https</w:t>
          </w:r>
          <w:proofErr w:type="spellEnd"/>
          <w:r w:rsidRPr="00054C16">
            <w:rPr>
              <w:rFonts w:ascii="Times New Roman" w:hAnsi="Times New Roman" w:cs="Times New Roman"/>
              <w:sz w:val="24"/>
              <w:szCs w:val="24"/>
            </w:rPr>
            <w:t>://doi.org/10.62919/chjx2321</w:t>
          </w:r>
          <w:proofErr w:type="gramEnd"/>
          <w:r w:rsidRPr="00054C16">
            <w:rPr>
              <w:rFonts w:ascii="Times New Roman" w:hAnsi="Times New Roman" w:cs="Times New Roman"/>
              <w:sz w:val="24"/>
              <w:szCs w:val="24"/>
            </w:rPr>
            <w:t>.</w:t>
          </w:r>
        </w:p>
        <w:p w14:paraId="00E6301A"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‌Li, Z., Ren, L., Li, Z., Chen, J., Tian, X. and Zhang, Y. (2023). Price Dispersion, Bargaining Power, and Consumers’ Online Shopping Experience in e‐Commerce: Evidence from Online Transactions. </w:t>
          </w:r>
          <w:r w:rsidRPr="00054C16">
            <w:rPr>
              <w:rFonts w:ascii="Times New Roman" w:hAnsi="Times New Roman" w:cs="Times New Roman"/>
              <w:i/>
              <w:iCs/>
              <w:sz w:val="24"/>
              <w:szCs w:val="24"/>
            </w:rPr>
            <w:t>Mathematical Problems in Engineering</w:t>
          </w:r>
          <w:r w:rsidRPr="00054C16">
            <w:rPr>
              <w:rFonts w:ascii="Times New Roman" w:hAnsi="Times New Roman" w:cs="Times New Roman"/>
              <w:sz w:val="24"/>
              <w:szCs w:val="24"/>
            </w:rPr>
            <w:t xml:space="preserve">, [online] 2023(1). </w:t>
          </w:r>
          <w:proofErr w:type="spellStart"/>
          <w:proofErr w:type="gramStart"/>
          <w:r w:rsidRPr="00054C16">
            <w:rPr>
              <w:rFonts w:ascii="Times New Roman" w:hAnsi="Times New Roman" w:cs="Times New Roman"/>
              <w:sz w:val="24"/>
              <w:szCs w:val="24"/>
            </w:rPr>
            <w:t>doi:https</w:t>
          </w:r>
          <w:proofErr w:type="spellEnd"/>
          <w:r w:rsidRPr="00054C16">
            <w:rPr>
              <w:rFonts w:ascii="Times New Roman" w:hAnsi="Times New Roman" w:cs="Times New Roman"/>
              <w:sz w:val="24"/>
              <w:szCs w:val="24"/>
            </w:rPr>
            <w:t>://doi.org/10.1155/2023/6638665</w:t>
          </w:r>
          <w:proofErr w:type="gramEnd"/>
          <w:r w:rsidRPr="00054C16">
            <w:rPr>
              <w:rFonts w:ascii="Times New Roman" w:hAnsi="Times New Roman" w:cs="Times New Roman"/>
              <w:sz w:val="24"/>
              <w:szCs w:val="24"/>
            </w:rPr>
            <w:t>.</w:t>
          </w:r>
        </w:p>
        <w:p w14:paraId="19D011D7"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Litton, C. (2025). </w:t>
          </w:r>
          <w:r w:rsidRPr="00054C16">
            <w:rPr>
              <w:rFonts w:ascii="Times New Roman" w:hAnsi="Times New Roman" w:cs="Times New Roman"/>
              <w:i/>
              <w:iCs/>
              <w:sz w:val="24"/>
              <w:szCs w:val="24"/>
            </w:rPr>
            <w:t>Sony drives innovation and leadership with the expansion of its global partner network</w:t>
          </w:r>
          <w:r w:rsidRPr="00054C16">
            <w:rPr>
              <w:rFonts w:ascii="Times New Roman" w:hAnsi="Times New Roman" w:cs="Times New Roman"/>
              <w:sz w:val="24"/>
              <w:szCs w:val="24"/>
            </w:rPr>
            <w:t>. [online] Sony Europe. Available at: https://www.sony.eu/presscentre/sony-drives-innovation-and-leadership-with-the-expansion-of-its-global-partner-network [Accessed 9 May 2025].</w:t>
          </w:r>
        </w:p>
        <w:p w14:paraId="5E492804"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Lukan, E. (2024). </w:t>
          </w:r>
          <w:r w:rsidRPr="00054C16">
            <w:rPr>
              <w:rFonts w:ascii="Times New Roman" w:hAnsi="Times New Roman" w:cs="Times New Roman"/>
              <w:i/>
              <w:iCs/>
              <w:sz w:val="24"/>
              <w:szCs w:val="24"/>
            </w:rPr>
            <w:t>The 55 Best AI Tools for 2025 (Tried and Tested)</w:t>
          </w:r>
          <w:r w:rsidRPr="00054C16">
            <w:rPr>
              <w:rFonts w:ascii="Times New Roman" w:hAnsi="Times New Roman" w:cs="Times New Roman"/>
              <w:sz w:val="24"/>
              <w:szCs w:val="24"/>
            </w:rPr>
            <w:t>. [online] Synthesia.io. Available at: https://www.synthesia.io/post/ai-tools [Accessed 9 May 2025].</w:t>
          </w:r>
        </w:p>
        <w:p w14:paraId="37910EA9"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Mao, C., Cheng, M., Cai, X., and Liu, Z. (2022). Sony’s Today and Future Target. </w:t>
          </w:r>
          <w:r w:rsidRPr="00054C16">
            <w:rPr>
              <w:rFonts w:ascii="Times New Roman" w:hAnsi="Times New Roman" w:cs="Times New Roman"/>
              <w:i/>
              <w:iCs/>
              <w:sz w:val="24"/>
              <w:szCs w:val="24"/>
            </w:rPr>
            <w:t>BCP Business &amp; Management</w:t>
          </w:r>
          <w:r w:rsidRPr="00054C16">
            <w:rPr>
              <w:rFonts w:ascii="Times New Roman" w:hAnsi="Times New Roman" w:cs="Times New Roman"/>
              <w:sz w:val="24"/>
              <w:szCs w:val="24"/>
            </w:rPr>
            <w:t>, </w:t>
          </w:r>
          <w:r w:rsidRPr="00054C16">
            <w:rPr>
              <w:rFonts w:ascii="Times New Roman" w:hAnsi="Times New Roman" w:cs="Times New Roman"/>
              <w:i/>
              <w:iCs/>
              <w:sz w:val="24"/>
              <w:szCs w:val="24"/>
            </w:rPr>
            <w:t>17</w:t>
          </w:r>
          <w:r w:rsidRPr="00054C16">
            <w:rPr>
              <w:rFonts w:ascii="Times New Roman" w:hAnsi="Times New Roman" w:cs="Times New Roman"/>
              <w:sz w:val="24"/>
              <w:szCs w:val="24"/>
            </w:rPr>
            <w:t>, 249–257. https://doi.org/10.54691/bcpbm.v17i.398</w:t>
          </w:r>
        </w:p>
        <w:p w14:paraId="52EC4C73"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Maxim, L.G. (2021). STRATEGIC ANALYSIS MODEL. PORTER’S 5 FORCES MODEL: CASE STUDY. </w:t>
          </w:r>
          <w:r w:rsidRPr="00054C16">
            <w:rPr>
              <w:rFonts w:ascii="Times New Roman" w:hAnsi="Times New Roman" w:cs="Times New Roman"/>
              <w:i/>
              <w:iCs/>
              <w:sz w:val="24"/>
              <w:szCs w:val="24"/>
            </w:rPr>
            <w:t xml:space="preserve">Turkuaz </w:t>
          </w:r>
          <w:proofErr w:type="spellStart"/>
          <w:r w:rsidRPr="00054C16">
            <w:rPr>
              <w:rFonts w:ascii="Times New Roman" w:hAnsi="Times New Roman" w:cs="Times New Roman"/>
              <w:i/>
              <w:iCs/>
              <w:sz w:val="24"/>
              <w:szCs w:val="24"/>
            </w:rPr>
            <w:t>Uluslararası</w:t>
          </w:r>
          <w:proofErr w:type="spellEnd"/>
          <w:r w:rsidRPr="00054C16">
            <w:rPr>
              <w:rFonts w:ascii="Times New Roman" w:hAnsi="Times New Roman" w:cs="Times New Roman"/>
              <w:i/>
              <w:iCs/>
              <w:sz w:val="24"/>
              <w:szCs w:val="24"/>
            </w:rPr>
            <w:t xml:space="preserve"> </w:t>
          </w:r>
          <w:proofErr w:type="spellStart"/>
          <w:r w:rsidRPr="00054C16">
            <w:rPr>
              <w:rFonts w:ascii="Times New Roman" w:hAnsi="Times New Roman" w:cs="Times New Roman"/>
              <w:i/>
              <w:iCs/>
              <w:sz w:val="24"/>
              <w:szCs w:val="24"/>
            </w:rPr>
            <w:t>Sosyo-Ekonomik</w:t>
          </w:r>
          <w:proofErr w:type="spellEnd"/>
          <w:r w:rsidRPr="00054C16">
            <w:rPr>
              <w:rFonts w:ascii="Times New Roman" w:hAnsi="Times New Roman" w:cs="Times New Roman"/>
              <w:i/>
              <w:iCs/>
              <w:sz w:val="24"/>
              <w:szCs w:val="24"/>
            </w:rPr>
            <w:t xml:space="preserve"> </w:t>
          </w:r>
          <w:proofErr w:type="spellStart"/>
          <w:r w:rsidRPr="00054C16">
            <w:rPr>
              <w:rFonts w:ascii="Times New Roman" w:hAnsi="Times New Roman" w:cs="Times New Roman"/>
              <w:i/>
              <w:iCs/>
              <w:sz w:val="24"/>
              <w:szCs w:val="24"/>
            </w:rPr>
            <w:t>Stratejik</w:t>
          </w:r>
          <w:proofErr w:type="spellEnd"/>
          <w:r w:rsidRPr="00054C16">
            <w:rPr>
              <w:rFonts w:ascii="Times New Roman" w:hAnsi="Times New Roman" w:cs="Times New Roman"/>
              <w:i/>
              <w:iCs/>
              <w:sz w:val="24"/>
              <w:szCs w:val="24"/>
            </w:rPr>
            <w:t xml:space="preserve"> </w:t>
          </w:r>
          <w:proofErr w:type="spellStart"/>
          <w:r w:rsidRPr="00054C16">
            <w:rPr>
              <w:rFonts w:ascii="Times New Roman" w:hAnsi="Times New Roman" w:cs="Times New Roman"/>
              <w:i/>
              <w:iCs/>
              <w:sz w:val="24"/>
              <w:szCs w:val="24"/>
            </w:rPr>
            <w:t>Araştırmalar</w:t>
          </w:r>
          <w:proofErr w:type="spellEnd"/>
          <w:r w:rsidRPr="00054C16">
            <w:rPr>
              <w:rFonts w:ascii="Times New Roman" w:hAnsi="Times New Roman" w:cs="Times New Roman"/>
              <w:i/>
              <w:iCs/>
              <w:sz w:val="24"/>
              <w:szCs w:val="24"/>
            </w:rPr>
            <w:t xml:space="preserve"> </w:t>
          </w:r>
          <w:proofErr w:type="spellStart"/>
          <w:r w:rsidRPr="00054C16">
            <w:rPr>
              <w:rFonts w:ascii="Times New Roman" w:hAnsi="Times New Roman" w:cs="Times New Roman"/>
              <w:i/>
              <w:iCs/>
              <w:sz w:val="24"/>
              <w:szCs w:val="24"/>
            </w:rPr>
            <w:t>Dergisi</w:t>
          </w:r>
          <w:proofErr w:type="spellEnd"/>
          <w:r w:rsidRPr="00054C16">
            <w:rPr>
              <w:rFonts w:ascii="Times New Roman" w:hAnsi="Times New Roman" w:cs="Times New Roman"/>
              <w:sz w:val="24"/>
              <w:szCs w:val="24"/>
            </w:rPr>
            <w:t>, [online] 3(2), pp.1–7. Available at: https://dergipark.org.tr/en/pub/eisrcdergi/issue/73688/1214340 [Accessed 11 May 2025].</w:t>
          </w:r>
        </w:p>
        <w:p w14:paraId="4E3DB690"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lastRenderedPageBreak/>
            <w:t>Michaels, G. (2023). </w:t>
          </w:r>
          <w:r w:rsidRPr="00054C16">
            <w:rPr>
              <w:rFonts w:ascii="Times New Roman" w:hAnsi="Times New Roman" w:cs="Times New Roman"/>
              <w:i/>
              <w:iCs/>
              <w:sz w:val="24"/>
              <w:szCs w:val="24"/>
            </w:rPr>
            <w:t>What is adaptive leadership: examples and principles - Work Life by Atlassian</w:t>
          </w:r>
          <w:r w:rsidRPr="00054C16">
            <w:rPr>
              <w:rFonts w:ascii="Times New Roman" w:hAnsi="Times New Roman" w:cs="Times New Roman"/>
              <w:sz w:val="24"/>
              <w:szCs w:val="24"/>
            </w:rPr>
            <w:t>. [online] Work Life by Atlassian. Available at: https://www.atlassian.com/blog/leadership/adaptive-leadership [Accessed 9 May 2025].</w:t>
          </w:r>
        </w:p>
        <w:p w14:paraId="30918389"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Niu, Y. (2021). SWOT Analysis on Sony’s PlayStation Under COVID-19. </w:t>
          </w:r>
          <w:r w:rsidRPr="00054C16">
            <w:rPr>
              <w:rFonts w:ascii="Times New Roman" w:hAnsi="Times New Roman" w:cs="Times New Roman"/>
              <w:i/>
              <w:iCs/>
              <w:sz w:val="24"/>
              <w:szCs w:val="24"/>
            </w:rPr>
            <w:t>Advances in Social Science, Education and Humanities Research</w:t>
          </w:r>
          <w:r w:rsidRPr="00054C16">
            <w:rPr>
              <w:rFonts w:ascii="Times New Roman" w:hAnsi="Times New Roman" w:cs="Times New Roman"/>
              <w:sz w:val="24"/>
              <w:szCs w:val="24"/>
            </w:rPr>
            <w:t xml:space="preserve">. [online] </w:t>
          </w:r>
          <w:proofErr w:type="spellStart"/>
          <w:proofErr w:type="gramStart"/>
          <w:r w:rsidRPr="00054C16">
            <w:rPr>
              <w:rFonts w:ascii="Times New Roman" w:hAnsi="Times New Roman" w:cs="Times New Roman"/>
              <w:sz w:val="24"/>
              <w:szCs w:val="24"/>
            </w:rPr>
            <w:t>doi:https</w:t>
          </w:r>
          <w:proofErr w:type="spellEnd"/>
          <w:r w:rsidRPr="00054C16">
            <w:rPr>
              <w:rFonts w:ascii="Times New Roman" w:hAnsi="Times New Roman" w:cs="Times New Roman"/>
              <w:sz w:val="24"/>
              <w:szCs w:val="24"/>
            </w:rPr>
            <w:t>://doi.org/10.2991/assehr.k.210824.002</w:t>
          </w:r>
          <w:proofErr w:type="gramEnd"/>
          <w:r w:rsidRPr="00054C16">
            <w:rPr>
              <w:rFonts w:ascii="Times New Roman" w:hAnsi="Times New Roman" w:cs="Times New Roman"/>
              <w:sz w:val="24"/>
              <w:szCs w:val="24"/>
            </w:rPr>
            <w:t>.</w:t>
          </w:r>
        </w:p>
        <w:p w14:paraId="596FF4B6"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Ovidijus Jurevicius (2021). </w:t>
          </w:r>
          <w:r w:rsidRPr="00054C16">
            <w:rPr>
              <w:rFonts w:ascii="Times New Roman" w:hAnsi="Times New Roman" w:cs="Times New Roman"/>
              <w:i/>
              <w:iCs/>
              <w:sz w:val="24"/>
              <w:szCs w:val="24"/>
            </w:rPr>
            <w:t>Value Chain Analysis: The Ultimate Guide - SM Insight</w:t>
          </w:r>
          <w:r w:rsidRPr="00054C16">
            <w:rPr>
              <w:rFonts w:ascii="Times New Roman" w:hAnsi="Times New Roman" w:cs="Times New Roman"/>
              <w:sz w:val="24"/>
              <w:szCs w:val="24"/>
            </w:rPr>
            <w:t>. [online] Strategic Management Insight. Available at: https://strategicmanagementinsight.com/tools/value-chain-analysis/ [Accessed 9 May 2025].</w:t>
          </w:r>
        </w:p>
        <w:p w14:paraId="370BD112" w14:textId="77777777" w:rsidR="00054C16" w:rsidRPr="00054C16" w:rsidRDefault="00054C16" w:rsidP="00054C16">
          <w:pPr>
            <w:spacing w:line="360" w:lineRule="auto"/>
            <w:jc w:val="both"/>
            <w:rPr>
              <w:rFonts w:ascii="Times New Roman" w:hAnsi="Times New Roman" w:cs="Times New Roman"/>
              <w:sz w:val="24"/>
              <w:szCs w:val="24"/>
            </w:rPr>
          </w:pPr>
          <w:proofErr w:type="spellStart"/>
          <w:r w:rsidRPr="00054C16">
            <w:rPr>
              <w:rFonts w:ascii="Times New Roman" w:hAnsi="Times New Roman" w:cs="Times New Roman"/>
              <w:sz w:val="24"/>
              <w:szCs w:val="24"/>
            </w:rPr>
            <w:t>Prosci</w:t>
          </w:r>
          <w:proofErr w:type="spellEnd"/>
          <w:r w:rsidRPr="00054C16">
            <w:rPr>
              <w:rFonts w:ascii="Times New Roman" w:hAnsi="Times New Roman" w:cs="Times New Roman"/>
              <w:sz w:val="24"/>
              <w:szCs w:val="24"/>
            </w:rPr>
            <w:t xml:space="preserve"> (2024). </w:t>
          </w:r>
          <w:r w:rsidRPr="00054C16">
            <w:rPr>
              <w:rFonts w:ascii="Times New Roman" w:hAnsi="Times New Roman" w:cs="Times New Roman"/>
              <w:i/>
              <w:iCs/>
              <w:sz w:val="24"/>
              <w:szCs w:val="24"/>
            </w:rPr>
            <w:t>Kotter’s Change Management Theory Explanation and Applications</w:t>
          </w:r>
          <w:r w:rsidRPr="00054C16">
            <w:rPr>
              <w:rFonts w:ascii="Times New Roman" w:hAnsi="Times New Roman" w:cs="Times New Roman"/>
              <w:sz w:val="24"/>
              <w:szCs w:val="24"/>
            </w:rPr>
            <w:t>. [online] Prosci.com. Available at: https://www.prosci.com/blog/kotters-change-management-theory [Accessed 10 May 2025].</w:t>
          </w:r>
        </w:p>
        <w:p w14:paraId="5B60690B"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Ruybalid, E. (2024). </w:t>
          </w:r>
          <w:r w:rsidRPr="00054C16">
            <w:rPr>
              <w:rFonts w:ascii="Times New Roman" w:hAnsi="Times New Roman" w:cs="Times New Roman"/>
              <w:i/>
              <w:iCs/>
              <w:sz w:val="24"/>
              <w:szCs w:val="24"/>
            </w:rPr>
            <w:t>Nintendo: A Competitive Advantage Analysis Nintendo: A Competitive Advantage Analysis</w:t>
          </w:r>
          <w:r w:rsidRPr="00054C16">
            <w:rPr>
              <w:rFonts w:ascii="Times New Roman" w:hAnsi="Times New Roman" w:cs="Times New Roman"/>
              <w:sz w:val="24"/>
              <w:szCs w:val="24"/>
            </w:rPr>
            <w:t>. [online] Available at: https://scholarworks.umt.edu/cgi/viewcontent.cgi?article=1504&amp;context=utpp.</w:t>
          </w:r>
        </w:p>
        <w:p w14:paraId="1CAAAC1B"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Sekar, N. (2024). </w:t>
          </w:r>
          <w:r w:rsidRPr="00054C16">
            <w:rPr>
              <w:rFonts w:ascii="Times New Roman" w:hAnsi="Times New Roman" w:cs="Times New Roman"/>
              <w:i/>
              <w:iCs/>
              <w:sz w:val="24"/>
              <w:szCs w:val="24"/>
            </w:rPr>
            <w:t>The Case of Sony: Building and Leading Teams - Naresh Sekar - Medium</w:t>
          </w:r>
          <w:r w:rsidRPr="00054C16">
            <w:rPr>
              <w:rFonts w:ascii="Times New Roman" w:hAnsi="Times New Roman" w:cs="Times New Roman"/>
              <w:sz w:val="24"/>
              <w:szCs w:val="24"/>
            </w:rPr>
            <w:t>. [online] Medium. Available at: https://medium.com/@nareshnavinash/the-case-of-sony-building-and-leading-teams-2f1388b45ef6 [Accessed 9 May 2025].</w:t>
          </w:r>
        </w:p>
        <w:p w14:paraId="5A994ADE"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Sony Corporation - Sony Global Headquarters. (2024). </w:t>
          </w:r>
          <w:r w:rsidRPr="00054C16">
            <w:rPr>
              <w:rFonts w:ascii="Times New Roman" w:hAnsi="Times New Roman" w:cs="Times New Roman"/>
              <w:i/>
              <w:iCs/>
              <w:sz w:val="24"/>
              <w:szCs w:val="24"/>
            </w:rPr>
            <w:t>Sony and KDDI Accelerate Efforts to Promote Digital Transformation in the Broadcasting and Media Industries</w:t>
          </w:r>
          <w:r w:rsidRPr="00054C16">
            <w:rPr>
              <w:rFonts w:ascii="Times New Roman" w:hAnsi="Times New Roman" w:cs="Times New Roman"/>
              <w:sz w:val="24"/>
              <w:szCs w:val="24"/>
            </w:rPr>
            <w:t>. [online] Available at: https://www.sony.co.jp/en/news-release/202402/24-0221E/ [Accessed 9 May 2025].</w:t>
          </w:r>
        </w:p>
        <w:p w14:paraId="45DA164B"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Tidrick, L. (2023). </w:t>
          </w:r>
          <w:r w:rsidRPr="00054C16">
            <w:rPr>
              <w:rFonts w:ascii="Times New Roman" w:hAnsi="Times New Roman" w:cs="Times New Roman"/>
              <w:i/>
              <w:iCs/>
              <w:sz w:val="24"/>
              <w:szCs w:val="24"/>
            </w:rPr>
            <w:t>Moving from a product-centric to a customer-centric model</w:t>
          </w:r>
          <w:r w:rsidRPr="00054C16">
            <w:rPr>
              <w:rFonts w:ascii="Times New Roman" w:hAnsi="Times New Roman" w:cs="Times New Roman"/>
              <w:sz w:val="24"/>
              <w:szCs w:val="24"/>
            </w:rPr>
            <w:t>. [online] Supportninja.com. Available at: https://www.supportninja.com/articles/moving-from-a-product-centric-to-a-customer-centric-model [Accessed 10 May 2025].</w:t>
          </w:r>
        </w:p>
        <w:p w14:paraId="5A960772"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Williamson, C. (2024). </w:t>
          </w:r>
          <w:r w:rsidRPr="00054C16">
            <w:rPr>
              <w:rFonts w:ascii="Times New Roman" w:hAnsi="Times New Roman" w:cs="Times New Roman"/>
              <w:i/>
              <w:iCs/>
              <w:sz w:val="24"/>
              <w:szCs w:val="24"/>
            </w:rPr>
            <w:t>‘Sony Research Award Program’ Will Open for Applications to Enhance Emerging and Innovative Technological Development</w:t>
          </w:r>
          <w:r w:rsidRPr="00054C16">
            <w:rPr>
              <w:rFonts w:ascii="Times New Roman" w:hAnsi="Times New Roman" w:cs="Times New Roman"/>
              <w:sz w:val="24"/>
              <w:szCs w:val="24"/>
            </w:rPr>
            <w:t>. [online] Sony United Kingdom. Available at: https://www.sony.co.uk/presscentre/sony-research-award-program-will-open-for-applications-to-enhance-emerging-and-innovative-technological-development [Accessed 10 May 2025].</w:t>
          </w:r>
        </w:p>
        <w:p w14:paraId="48A89633"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lastRenderedPageBreak/>
            <w:t>Zapanta, K. (2025). </w:t>
          </w:r>
          <w:r w:rsidRPr="00054C16">
            <w:rPr>
              <w:rFonts w:ascii="Times New Roman" w:hAnsi="Times New Roman" w:cs="Times New Roman"/>
              <w:i/>
              <w:iCs/>
              <w:sz w:val="24"/>
              <w:szCs w:val="24"/>
            </w:rPr>
            <w:t>How to Use Data-Driven Customer Insights for Smarter Decisions</w:t>
          </w:r>
          <w:r w:rsidRPr="00054C16">
            <w:rPr>
              <w:rFonts w:ascii="Times New Roman" w:hAnsi="Times New Roman" w:cs="Times New Roman"/>
              <w:sz w:val="24"/>
              <w:szCs w:val="24"/>
            </w:rPr>
            <w:t>. [online] Thematic. Available at: https://getthematic.com/insights/data-driven-customer-insights/ [Accessed 10 May 2025].</w:t>
          </w:r>
        </w:p>
        <w:p w14:paraId="0697110D" w14:textId="77777777" w:rsidR="00054C16" w:rsidRPr="00054C16" w:rsidRDefault="00054C16" w:rsidP="00054C16">
          <w:pPr>
            <w:spacing w:line="360" w:lineRule="auto"/>
            <w:jc w:val="both"/>
            <w:rPr>
              <w:rFonts w:ascii="Times New Roman" w:hAnsi="Times New Roman" w:cs="Times New Roman"/>
              <w:sz w:val="24"/>
              <w:szCs w:val="24"/>
            </w:rPr>
          </w:pPr>
          <w:r w:rsidRPr="00054C16">
            <w:rPr>
              <w:rFonts w:ascii="Times New Roman" w:hAnsi="Times New Roman" w:cs="Times New Roman"/>
              <w:sz w:val="24"/>
              <w:szCs w:val="24"/>
            </w:rPr>
            <w:t>Zhang, J., Li, H., and Zhao, H. (2025). The Impact of Digital Transformation on Organizational Resilience: The Role of Innovation Capability and Agile Response. </w:t>
          </w:r>
          <w:r w:rsidRPr="00054C16">
            <w:rPr>
              <w:rFonts w:ascii="Times New Roman" w:hAnsi="Times New Roman" w:cs="Times New Roman"/>
              <w:i/>
              <w:iCs/>
              <w:sz w:val="24"/>
              <w:szCs w:val="24"/>
            </w:rPr>
            <w:t>Systems</w:t>
          </w:r>
          <w:r w:rsidRPr="00054C16">
            <w:rPr>
              <w:rFonts w:ascii="Times New Roman" w:hAnsi="Times New Roman" w:cs="Times New Roman"/>
              <w:sz w:val="24"/>
              <w:szCs w:val="24"/>
            </w:rPr>
            <w:t>, </w:t>
          </w:r>
          <w:r w:rsidRPr="00054C16">
            <w:rPr>
              <w:rFonts w:ascii="Times New Roman" w:hAnsi="Times New Roman" w:cs="Times New Roman"/>
              <w:i/>
              <w:iCs/>
              <w:sz w:val="24"/>
              <w:szCs w:val="24"/>
            </w:rPr>
            <w:t>13</w:t>
          </w:r>
          <w:r w:rsidRPr="00054C16">
            <w:rPr>
              <w:rFonts w:ascii="Times New Roman" w:hAnsi="Times New Roman" w:cs="Times New Roman"/>
              <w:sz w:val="24"/>
              <w:szCs w:val="24"/>
            </w:rPr>
            <w:t>(2), 75–75. https://doi.org/10.3390/systems13020075</w:t>
          </w:r>
        </w:p>
        <w:p w14:paraId="6C75D020" w14:textId="77777777" w:rsidR="00054C16" w:rsidRPr="00054C16" w:rsidRDefault="00054C16" w:rsidP="00054C16">
          <w:pPr>
            <w:spacing w:line="360" w:lineRule="auto"/>
            <w:jc w:val="both"/>
            <w:rPr>
              <w:rFonts w:ascii="Times New Roman" w:hAnsi="Times New Roman" w:cs="Times New Roman"/>
              <w:sz w:val="24"/>
              <w:szCs w:val="24"/>
            </w:rPr>
          </w:pPr>
        </w:p>
        <w:p w14:paraId="7EBE4280" w14:textId="77777777" w:rsidR="00054C16" w:rsidRPr="00054C16" w:rsidRDefault="00054C16" w:rsidP="00054C16">
          <w:pPr>
            <w:spacing w:line="360" w:lineRule="auto"/>
            <w:jc w:val="both"/>
            <w:rPr>
              <w:rFonts w:ascii="Times New Roman" w:hAnsi="Times New Roman" w:cs="Times New Roman"/>
              <w:sz w:val="24"/>
              <w:szCs w:val="24"/>
            </w:rPr>
          </w:pPr>
        </w:p>
      </w:sdtContent>
    </w:sdt>
    <w:p w14:paraId="640A1179" w14:textId="77777777" w:rsidR="00054C16" w:rsidRPr="00054C16" w:rsidRDefault="00054C16" w:rsidP="00054C16">
      <w:pPr>
        <w:spacing w:line="360" w:lineRule="auto"/>
        <w:jc w:val="both"/>
        <w:rPr>
          <w:rFonts w:ascii="Times New Roman" w:hAnsi="Times New Roman" w:cs="Times New Roman"/>
          <w:sz w:val="24"/>
          <w:szCs w:val="24"/>
        </w:rPr>
      </w:pPr>
    </w:p>
    <w:p w14:paraId="288A3B11" w14:textId="77777777" w:rsidR="00352F73" w:rsidRPr="00054C16" w:rsidRDefault="00352F73" w:rsidP="00054C16">
      <w:pPr>
        <w:spacing w:line="360" w:lineRule="auto"/>
        <w:jc w:val="both"/>
        <w:rPr>
          <w:rFonts w:ascii="Times New Roman" w:hAnsi="Times New Roman" w:cs="Times New Roman"/>
          <w:sz w:val="24"/>
          <w:szCs w:val="24"/>
        </w:rPr>
      </w:pPr>
    </w:p>
    <w:sectPr w:rsidR="00352F73" w:rsidRPr="00054C16" w:rsidSect="00054C16">
      <w:headerReference w:type="default" r:id="rId1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2763359"/>
      <w:docPartObj>
        <w:docPartGallery w:val="Page Numbers (Top of Page)"/>
        <w:docPartUnique/>
      </w:docPartObj>
    </w:sdtPr>
    <w:sdtEndPr>
      <w:rPr>
        <w:noProof/>
      </w:rPr>
    </w:sdtEndPr>
    <w:sdtContent>
      <w:p w14:paraId="162E5F24" w14:textId="77777777" w:rsidR="00000000" w:rsidRDefault="00000000">
        <w:pPr>
          <w:pStyle w:val="Header"/>
          <w:jc w:val="right"/>
        </w:pPr>
        <w:r>
          <w:fldChar w:fldCharType="begin"/>
        </w:r>
        <w:r>
          <w:instrText xml:space="preserve"> PAGE   \* MERGEFORMAT </w:instrText>
        </w:r>
        <w:r>
          <w:fldChar w:fldCharType="separate"/>
        </w:r>
        <w:r>
          <w:rPr>
            <w:noProof/>
          </w:rPr>
          <w:t>17</w:t>
        </w:r>
        <w:r>
          <w:rPr>
            <w:noProof/>
          </w:rPr>
          <w:fldChar w:fldCharType="end"/>
        </w:r>
      </w:p>
    </w:sdtContent>
  </w:sdt>
  <w:p w14:paraId="0C049CFB"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FD0D7B"/>
    <w:multiLevelType w:val="multilevel"/>
    <w:tmpl w:val="BD6A31F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762E0990"/>
    <w:multiLevelType w:val="multilevel"/>
    <w:tmpl w:val="389AC6EE"/>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2144500053">
    <w:abstractNumId w:val="0"/>
  </w:num>
  <w:num w:numId="2" w16cid:durableId="63374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BB3"/>
    <w:rsid w:val="00054C16"/>
    <w:rsid w:val="00081BB3"/>
    <w:rsid w:val="000E5183"/>
    <w:rsid w:val="002C6676"/>
    <w:rsid w:val="00352F73"/>
    <w:rsid w:val="00461B28"/>
    <w:rsid w:val="005278C4"/>
    <w:rsid w:val="008E3C36"/>
    <w:rsid w:val="00B74C7B"/>
    <w:rsid w:val="00D66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97FA2"/>
  <w15:chartTrackingRefBased/>
  <w15:docId w15:val="{747F74D9-1BB4-4F57-BB47-03691C063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B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1B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1B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81B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1B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1B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1B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1B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1B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B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1B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81B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81B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1B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1B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1B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1B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1BB3"/>
    <w:rPr>
      <w:rFonts w:eastAsiaTheme="majorEastAsia" w:cstheme="majorBidi"/>
      <w:color w:val="272727" w:themeColor="text1" w:themeTint="D8"/>
    </w:rPr>
  </w:style>
  <w:style w:type="paragraph" w:styleId="Title">
    <w:name w:val="Title"/>
    <w:basedOn w:val="Normal"/>
    <w:next w:val="Normal"/>
    <w:link w:val="TitleChar"/>
    <w:uiPriority w:val="10"/>
    <w:qFormat/>
    <w:rsid w:val="00081B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1B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1B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1B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1BB3"/>
    <w:pPr>
      <w:spacing w:before="160"/>
      <w:jc w:val="center"/>
    </w:pPr>
    <w:rPr>
      <w:i/>
      <w:iCs/>
      <w:color w:val="404040" w:themeColor="text1" w:themeTint="BF"/>
    </w:rPr>
  </w:style>
  <w:style w:type="character" w:customStyle="1" w:styleId="QuoteChar">
    <w:name w:val="Quote Char"/>
    <w:basedOn w:val="DefaultParagraphFont"/>
    <w:link w:val="Quote"/>
    <w:uiPriority w:val="29"/>
    <w:rsid w:val="00081BB3"/>
    <w:rPr>
      <w:i/>
      <w:iCs/>
      <w:color w:val="404040" w:themeColor="text1" w:themeTint="BF"/>
    </w:rPr>
  </w:style>
  <w:style w:type="paragraph" w:styleId="ListParagraph">
    <w:name w:val="List Paragraph"/>
    <w:basedOn w:val="Normal"/>
    <w:uiPriority w:val="34"/>
    <w:qFormat/>
    <w:rsid w:val="00081BB3"/>
    <w:pPr>
      <w:ind w:left="720"/>
      <w:contextualSpacing/>
    </w:pPr>
  </w:style>
  <w:style w:type="character" w:styleId="IntenseEmphasis">
    <w:name w:val="Intense Emphasis"/>
    <w:basedOn w:val="DefaultParagraphFont"/>
    <w:uiPriority w:val="21"/>
    <w:qFormat/>
    <w:rsid w:val="00081BB3"/>
    <w:rPr>
      <w:i/>
      <w:iCs/>
      <w:color w:val="0F4761" w:themeColor="accent1" w:themeShade="BF"/>
    </w:rPr>
  </w:style>
  <w:style w:type="paragraph" w:styleId="IntenseQuote">
    <w:name w:val="Intense Quote"/>
    <w:basedOn w:val="Normal"/>
    <w:next w:val="Normal"/>
    <w:link w:val="IntenseQuoteChar"/>
    <w:uiPriority w:val="30"/>
    <w:qFormat/>
    <w:rsid w:val="00081B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1BB3"/>
    <w:rPr>
      <w:i/>
      <w:iCs/>
      <w:color w:val="0F4761" w:themeColor="accent1" w:themeShade="BF"/>
    </w:rPr>
  </w:style>
  <w:style w:type="character" w:styleId="IntenseReference">
    <w:name w:val="Intense Reference"/>
    <w:basedOn w:val="DefaultParagraphFont"/>
    <w:uiPriority w:val="32"/>
    <w:qFormat/>
    <w:rsid w:val="00081BB3"/>
    <w:rPr>
      <w:b/>
      <w:bCs/>
      <w:smallCaps/>
      <w:color w:val="0F4761" w:themeColor="accent1" w:themeShade="BF"/>
      <w:spacing w:val="5"/>
    </w:rPr>
  </w:style>
  <w:style w:type="paragraph" w:styleId="NoSpacing">
    <w:name w:val="No Spacing"/>
    <w:link w:val="NoSpacingChar"/>
    <w:uiPriority w:val="1"/>
    <w:qFormat/>
    <w:rsid w:val="00054C16"/>
    <w:pPr>
      <w:spacing w:after="0" w:line="240" w:lineRule="auto"/>
    </w:pPr>
    <w:rPr>
      <w:rFonts w:eastAsiaTheme="minorEastAsia"/>
      <w:lang w:val="en-US"/>
    </w:rPr>
  </w:style>
  <w:style w:type="paragraph" w:styleId="Header">
    <w:name w:val="header"/>
    <w:basedOn w:val="Normal"/>
    <w:link w:val="HeaderChar"/>
    <w:uiPriority w:val="99"/>
    <w:unhideWhenUsed/>
    <w:rsid w:val="00054C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C16"/>
  </w:style>
  <w:style w:type="character" w:styleId="Hyperlink">
    <w:name w:val="Hyperlink"/>
    <w:basedOn w:val="DefaultParagraphFont"/>
    <w:uiPriority w:val="99"/>
    <w:unhideWhenUsed/>
    <w:rsid w:val="00054C16"/>
    <w:rPr>
      <w:color w:val="467886" w:themeColor="hyperlink"/>
      <w:u w:val="single"/>
    </w:rPr>
  </w:style>
  <w:style w:type="character" w:styleId="UnresolvedMention">
    <w:name w:val="Unresolved Mention"/>
    <w:basedOn w:val="DefaultParagraphFont"/>
    <w:uiPriority w:val="99"/>
    <w:semiHidden/>
    <w:unhideWhenUsed/>
    <w:rsid w:val="00054C16"/>
    <w:rPr>
      <w:color w:val="605E5C"/>
      <w:shd w:val="clear" w:color="auto" w:fill="E1DFDD"/>
    </w:rPr>
  </w:style>
  <w:style w:type="character" w:customStyle="1" w:styleId="NoSpacingChar">
    <w:name w:val="No Spacing Char"/>
    <w:basedOn w:val="DefaultParagraphFont"/>
    <w:link w:val="NoSpacing"/>
    <w:uiPriority w:val="1"/>
    <w:rsid w:val="00054C16"/>
    <w:rPr>
      <w:rFonts w:eastAsiaTheme="minorEastAsia"/>
      <w:lang w:val="en-US"/>
    </w:rPr>
  </w:style>
  <w:style w:type="paragraph" w:styleId="TOC1">
    <w:name w:val="toc 1"/>
    <w:basedOn w:val="Normal"/>
    <w:next w:val="Normal"/>
    <w:autoRedefine/>
    <w:uiPriority w:val="39"/>
    <w:unhideWhenUsed/>
    <w:rsid w:val="00054C16"/>
    <w:pPr>
      <w:spacing w:after="100"/>
    </w:pPr>
  </w:style>
  <w:style w:type="paragraph" w:styleId="TOC2">
    <w:name w:val="toc 2"/>
    <w:basedOn w:val="Normal"/>
    <w:next w:val="Normal"/>
    <w:autoRedefine/>
    <w:uiPriority w:val="39"/>
    <w:unhideWhenUsed/>
    <w:rsid w:val="008E3C36"/>
    <w:pPr>
      <w:spacing w:after="100"/>
      <w:ind w:left="220"/>
    </w:pPr>
  </w:style>
  <w:style w:type="paragraph" w:styleId="TOC3">
    <w:name w:val="toc 3"/>
    <w:basedOn w:val="Normal"/>
    <w:next w:val="Normal"/>
    <w:autoRedefine/>
    <w:uiPriority w:val="39"/>
    <w:unhideWhenUsed/>
    <w:rsid w:val="008E3C3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image" Target="media/image2.png"/><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7F45F4-AA03-446E-A062-F49358C4E9D1}"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1B08D755-1FEA-492C-9F67-4B95F9EA0131}">
      <dgm:prSet/>
      <dgm:spPr/>
      <dgm:t>
        <a:bodyPr/>
        <a:lstStyle/>
        <a:p>
          <a:r>
            <a:rPr lang="en-GB" b="1"/>
            <a:t>Strengths</a:t>
          </a:r>
          <a:endParaRPr lang="en-GB"/>
        </a:p>
      </dgm:t>
    </dgm:pt>
    <dgm:pt modelId="{2D4D89B0-DE8E-45FD-8A19-CE94DCE2A439}" type="parTrans" cxnId="{CE3E7B03-18C1-4CF9-BD3B-6636B2067810}">
      <dgm:prSet/>
      <dgm:spPr/>
      <dgm:t>
        <a:bodyPr/>
        <a:lstStyle/>
        <a:p>
          <a:endParaRPr lang="en-GB"/>
        </a:p>
      </dgm:t>
    </dgm:pt>
    <dgm:pt modelId="{62E2ED0A-A25D-4F9F-8F49-8BE421B2809F}" type="sibTrans" cxnId="{CE3E7B03-18C1-4CF9-BD3B-6636B2067810}">
      <dgm:prSet/>
      <dgm:spPr/>
      <dgm:t>
        <a:bodyPr/>
        <a:lstStyle/>
        <a:p>
          <a:endParaRPr lang="en-GB"/>
        </a:p>
      </dgm:t>
    </dgm:pt>
    <dgm:pt modelId="{9294E2DC-B542-48AB-A8AF-5573B9259A2D}">
      <dgm:prSet/>
      <dgm:spPr/>
      <dgm:t>
        <a:bodyPr/>
        <a:lstStyle/>
        <a:p>
          <a:r>
            <a:rPr lang="en-GB"/>
            <a:t>Strong intellectual property portfolio across entertainment and technology(Li et al., 2023)</a:t>
          </a:r>
        </a:p>
      </dgm:t>
    </dgm:pt>
    <dgm:pt modelId="{8D6EC62B-845A-499A-9FC1-660A4FBD7B04}" type="parTrans" cxnId="{4363D1A8-156F-4FAA-ACF2-81499CEE8856}">
      <dgm:prSet/>
      <dgm:spPr/>
      <dgm:t>
        <a:bodyPr/>
        <a:lstStyle/>
        <a:p>
          <a:endParaRPr lang="en-GB"/>
        </a:p>
      </dgm:t>
    </dgm:pt>
    <dgm:pt modelId="{BF7CEA72-1A06-4656-831F-595FB0DE833F}" type="sibTrans" cxnId="{4363D1A8-156F-4FAA-ACF2-81499CEE8856}">
      <dgm:prSet/>
      <dgm:spPr/>
      <dgm:t>
        <a:bodyPr/>
        <a:lstStyle/>
        <a:p>
          <a:endParaRPr lang="en-GB"/>
        </a:p>
      </dgm:t>
    </dgm:pt>
    <dgm:pt modelId="{6A600207-14A4-4AB0-90A0-CB7B41DCFCC6}">
      <dgm:prSet/>
      <dgm:spPr/>
      <dgm:t>
        <a:bodyPr/>
        <a:lstStyle/>
        <a:p>
          <a:r>
            <a:rPr lang="en-GB"/>
            <a:t>Global brand recognition and reputation for quality</a:t>
          </a:r>
        </a:p>
      </dgm:t>
    </dgm:pt>
    <dgm:pt modelId="{9E287DA6-AE9C-40DD-9AA0-0EDE05E71C85}" type="parTrans" cxnId="{AE4938D2-B1AE-4345-965A-BF475872FE6D}">
      <dgm:prSet/>
      <dgm:spPr/>
      <dgm:t>
        <a:bodyPr/>
        <a:lstStyle/>
        <a:p>
          <a:endParaRPr lang="en-GB"/>
        </a:p>
      </dgm:t>
    </dgm:pt>
    <dgm:pt modelId="{B3317B49-E50E-403B-82CF-D824592ADD3D}" type="sibTrans" cxnId="{AE4938D2-B1AE-4345-965A-BF475872FE6D}">
      <dgm:prSet/>
      <dgm:spPr/>
      <dgm:t>
        <a:bodyPr/>
        <a:lstStyle/>
        <a:p>
          <a:endParaRPr lang="en-GB"/>
        </a:p>
      </dgm:t>
    </dgm:pt>
    <dgm:pt modelId="{916ECA25-0CE1-4A41-A5D3-92B789EB2EF6}">
      <dgm:prSet/>
      <dgm:spPr/>
      <dgm:t>
        <a:bodyPr/>
        <a:lstStyle/>
        <a:p>
          <a:r>
            <a:rPr lang="en-GB"/>
            <a:t>Leading market positions in image sensors, console gaming, and music publishing</a:t>
          </a:r>
        </a:p>
      </dgm:t>
    </dgm:pt>
    <dgm:pt modelId="{B695BF58-3D55-48ED-A665-D6F6A3FB76EE}" type="parTrans" cxnId="{6DC0A3BC-6B5D-4F2B-B334-7FF916A8BC78}">
      <dgm:prSet/>
      <dgm:spPr/>
      <dgm:t>
        <a:bodyPr/>
        <a:lstStyle/>
        <a:p>
          <a:endParaRPr lang="en-GB"/>
        </a:p>
      </dgm:t>
    </dgm:pt>
    <dgm:pt modelId="{222FD899-BEA4-4047-9104-3C33CFC62116}" type="sibTrans" cxnId="{6DC0A3BC-6B5D-4F2B-B334-7FF916A8BC78}">
      <dgm:prSet/>
      <dgm:spPr/>
      <dgm:t>
        <a:bodyPr/>
        <a:lstStyle/>
        <a:p>
          <a:endParaRPr lang="en-GB"/>
        </a:p>
      </dgm:t>
    </dgm:pt>
    <dgm:pt modelId="{D8606FDC-ADF1-436D-9CCE-AC69DB7A85D8}">
      <dgm:prSet/>
      <dgm:spPr/>
      <dgm:t>
        <a:bodyPr/>
        <a:lstStyle/>
        <a:p>
          <a:r>
            <a:rPr lang="en-GB" b="1"/>
            <a:t>Weaknesses</a:t>
          </a:r>
          <a:endParaRPr lang="en-GB"/>
        </a:p>
      </dgm:t>
    </dgm:pt>
    <dgm:pt modelId="{A5DC2514-4E82-46A3-8658-64EE6CE2CA51}" type="parTrans" cxnId="{D8F8B70D-65DC-40F5-9A12-6F3AB68A2835}">
      <dgm:prSet/>
      <dgm:spPr/>
      <dgm:t>
        <a:bodyPr/>
        <a:lstStyle/>
        <a:p>
          <a:endParaRPr lang="en-GB"/>
        </a:p>
      </dgm:t>
    </dgm:pt>
    <dgm:pt modelId="{2C72C0DE-ACB6-4BB6-80D5-29FB5912E428}" type="sibTrans" cxnId="{D8F8B70D-65DC-40F5-9A12-6F3AB68A2835}">
      <dgm:prSet/>
      <dgm:spPr/>
      <dgm:t>
        <a:bodyPr/>
        <a:lstStyle/>
        <a:p>
          <a:endParaRPr lang="en-GB"/>
        </a:p>
      </dgm:t>
    </dgm:pt>
    <dgm:pt modelId="{15354FAB-45D3-40F7-934B-03F660A681AD}">
      <dgm:prSet/>
      <dgm:spPr/>
      <dgm:t>
        <a:bodyPr/>
        <a:lstStyle/>
        <a:p>
          <a:r>
            <a:rPr lang="en-GB"/>
            <a:t>Uneven digital maturity across business units</a:t>
          </a:r>
        </a:p>
      </dgm:t>
    </dgm:pt>
    <dgm:pt modelId="{E2A67852-D50E-478E-A306-8FEAB35DFE19}" type="parTrans" cxnId="{BB1B8D94-4EC6-4086-8370-635E3C780C75}">
      <dgm:prSet/>
      <dgm:spPr/>
      <dgm:t>
        <a:bodyPr/>
        <a:lstStyle/>
        <a:p>
          <a:endParaRPr lang="en-GB"/>
        </a:p>
      </dgm:t>
    </dgm:pt>
    <dgm:pt modelId="{B15D6661-94B6-4F65-9C89-632B4447E40D}" type="sibTrans" cxnId="{BB1B8D94-4EC6-4086-8370-635E3C780C75}">
      <dgm:prSet/>
      <dgm:spPr/>
      <dgm:t>
        <a:bodyPr/>
        <a:lstStyle/>
        <a:p>
          <a:endParaRPr lang="en-GB"/>
        </a:p>
      </dgm:t>
    </dgm:pt>
    <dgm:pt modelId="{D7E01466-E2AD-48B9-B978-F152AF20F1B0}">
      <dgm:prSet/>
      <dgm:spPr/>
      <dgm:t>
        <a:bodyPr/>
        <a:lstStyle/>
        <a:p>
          <a:r>
            <a:rPr lang="en-GB"/>
            <a:t>Organizational silos limiting cross-business synergies</a:t>
          </a:r>
        </a:p>
      </dgm:t>
    </dgm:pt>
    <dgm:pt modelId="{E0B0F9B1-18CD-4F22-9BCD-CFA32C76022E}" type="parTrans" cxnId="{F098408A-8A10-4BDC-85F1-0D7D006C902D}">
      <dgm:prSet/>
      <dgm:spPr/>
      <dgm:t>
        <a:bodyPr/>
        <a:lstStyle/>
        <a:p>
          <a:endParaRPr lang="en-GB"/>
        </a:p>
      </dgm:t>
    </dgm:pt>
    <dgm:pt modelId="{ECE02892-8BA5-41A1-88EE-B22FE9C5C2FF}" type="sibTrans" cxnId="{F098408A-8A10-4BDC-85F1-0D7D006C902D}">
      <dgm:prSet/>
      <dgm:spPr/>
      <dgm:t>
        <a:bodyPr/>
        <a:lstStyle/>
        <a:p>
          <a:endParaRPr lang="en-GB"/>
        </a:p>
      </dgm:t>
    </dgm:pt>
    <dgm:pt modelId="{3EF5F318-1AA9-4831-B937-7F028427769D}">
      <dgm:prSet/>
      <dgm:spPr/>
      <dgm:t>
        <a:bodyPr/>
        <a:lstStyle/>
        <a:p>
          <a:r>
            <a:rPr lang="en-GB"/>
            <a:t>Limited success in mobile and IoT consumer products (Li et al., 2023).</a:t>
          </a:r>
        </a:p>
      </dgm:t>
    </dgm:pt>
    <dgm:pt modelId="{1CFB627C-BE5D-4CD7-9167-5090AAEC7A83}" type="parTrans" cxnId="{63F31AAA-1A82-4264-9019-AB05F3C059F8}">
      <dgm:prSet/>
      <dgm:spPr/>
      <dgm:t>
        <a:bodyPr/>
        <a:lstStyle/>
        <a:p>
          <a:endParaRPr lang="en-GB"/>
        </a:p>
      </dgm:t>
    </dgm:pt>
    <dgm:pt modelId="{6FEF9691-DD2C-490D-B5B6-6AE5D66B1F6A}" type="sibTrans" cxnId="{63F31AAA-1A82-4264-9019-AB05F3C059F8}">
      <dgm:prSet/>
      <dgm:spPr/>
      <dgm:t>
        <a:bodyPr/>
        <a:lstStyle/>
        <a:p>
          <a:endParaRPr lang="en-GB"/>
        </a:p>
      </dgm:t>
    </dgm:pt>
    <dgm:pt modelId="{18D6C2B8-8C31-41C0-A962-FA3B1049CFA1}">
      <dgm:prSet/>
      <dgm:spPr/>
      <dgm:t>
        <a:bodyPr/>
        <a:lstStyle/>
        <a:p>
          <a:r>
            <a:rPr lang="en-GB" b="1"/>
            <a:t>Opportunities</a:t>
          </a:r>
          <a:endParaRPr lang="en-GB"/>
        </a:p>
      </dgm:t>
    </dgm:pt>
    <dgm:pt modelId="{1BAAAF77-8890-4FD7-8295-0747C80E40B2}" type="parTrans" cxnId="{027F1617-6DE4-4D39-9F41-5431594AB5D0}">
      <dgm:prSet/>
      <dgm:spPr/>
      <dgm:t>
        <a:bodyPr/>
        <a:lstStyle/>
        <a:p>
          <a:endParaRPr lang="en-GB"/>
        </a:p>
      </dgm:t>
    </dgm:pt>
    <dgm:pt modelId="{7C276460-D8A0-468D-88B7-EFD3BF101309}" type="sibTrans" cxnId="{027F1617-6DE4-4D39-9F41-5431594AB5D0}">
      <dgm:prSet/>
      <dgm:spPr/>
      <dgm:t>
        <a:bodyPr/>
        <a:lstStyle/>
        <a:p>
          <a:endParaRPr lang="en-GB"/>
        </a:p>
      </dgm:t>
    </dgm:pt>
    <dgm:pt modelId="{E19970E8-B29B-42E1-8347-57B20B45F6BE}">
      <dgm:prSet/>
      <dgm:spPr/>
      <dgm:t>
        <a:bodyPr/>
        <a:lstStyle/>
        <a:p>
          <a:r>
            <a:rPr lang="en-GB"/>
            <a:t>Growing content demand from streaming platforms</a:t>
          </a:r>
        </a:p>
      </dgm:t>
    </dgm:pt>
    <dgm:pt modelId="{6B92A176-509E-47AA-AC3B-54FBCC3E8174}" type="parTrans" cxnId="{09059EE6-A8F4-43BC-979B-BE3FDB726683}">
      <dgm:prSet/>
      <dgm:spPr/>
      <dgm:t>
        <a:bodyPr/>
        <a:lstStyle/>
        <a:p>
          <a:endParaRPr lang="en-GB"/>
        </a:p>
      </dgm:t>
    </dgm:pt>
    <dgm:pt modelId="{62B70682-A817-4072-B5A8-011C9A44081B}" type="sibTrans" cxnId="{09059EE6-A8F4-43BC-979B-BE3FDB726683}">
      <dgm:prSet/>
      <dgm:spPr/>
      <dgm:t>
        <a:bodyPr/>
        <a:lstStyle/>
        <a:p>
          <a:endParaRPr lang="en-GB"/>
        </a:p>
      </dgm:t>
    </dgm:pt>
    <dgm:pt modelId="{2728CB13-D715-49BE-BD88-ABD0DFD29B12}">
      <dgm:prSet/>
      <dgm:spPr/>
      <dgm:t>
        <a:bodyPr/>
        <a:lstStyle/>
        <a:p>
          <a:r>
            <a:rPr lang="en-GB"/>
            <a:t>Expansion of gaming audience demographics</a:t>
          </a:r>
        </a:p>
      </dgm:t>
    </dgm:pt>
    <dgm:pt modelId="{727BBA75-B7A0-4795-9F9A-6E84B52A6FAE}" type="parTrans" cxnId="{28BE7800-D1A0-4E7D-B75C-0B60EA55B1D7}">
      <dgm:prSet/>
      <dgm:spPr/>
      <dgm:t>
        <a:bodyPr/>
        <a:lstStyle/>
        <a:p>
          <a:endParaRPr lang="en-GB"/>
        </a:p>
      </dgm:t>
    </dgm:pt>
    <dgm:pt modelId="{2E03982B-9CD6-4520-AE15-4BA1D1B4BAB1}" type="sibTrans" cxnId="{28BE7800-D1A0-4E7D-B75C-0B60EA55B1D7}">
      <dgm:prSet/>
      <dgm:spPr/>
      <dgm:t>
        <a:bodyPr/>
        <a:lstStyle/>
        <a:p>
          <a:endParaRPr lang="en-GB"/>
        </a:p>
      </dgm:t>
    </dgm:pt>
    <dgm:pt modelId="{5DCFC141-B88B-4BE3-A7C3-DD9A309D9B47}">
      <dgm:prSet/>
      <dgm:spPr/>
      <dgm:t>
        <a:bodyPr/>
        <a:lstStyle/>
        <a:p>
          <a:r>
            <a:rPr lang="en-GB"/>
            <a:t>Metaverse development leveraging gaming and entertainment assets (Jurevicius, 2021).</a:t>
          </a:r>
        </a:p>
      </dgm:t>
    </dgm:pt>
    <dgm:pt modelId="{EC72F8CB-9E93-4F67-8088-7D89F0BA6138}" type="parTrans" cxnId="{44B6175F-5ED7-48B5-9C98-018B35C2F7B5}">
      <dgm:prSet/>
      <dgm:spPr/>
      <dgm:t>
        <a:bodyPr/>
        <a:lstStyle/>
        <a:p>
          <a:endParaRPr lang="en-GB"/>
        </a:p>
      </dgm:t>
    </dgm:pt>
    <dgm:pt modelId="{F5B43299-0951-4FBB-A8EE-4E8E563B2E1E}" type="sibTrans" cxnId="{44B6175F-5ED7-48B5-9C98-018B35C2F7B5}">
      <dgm:prSet/>
      <dgm:spPr/>
      <dgm:t>
        <a:bodyPr/>
        <a:lstStyle/>
        <a:p>
          <a:endParaRPr lang="en-GB"/>
        </a:p>
      </dgm:t>
    </dgm:pt>
    <dgm:pt modelId="{190EED8B-8243-40F3-A6A1-24E03E343D7B}">
      <dgm:prSet/>
      <dgm:spPr/>
      <dgm:t>
        <a:bodyPr/>
        <a:lstStyle/>
        <a:p>
          <a:r>
            <a:rPr lang="en-GB" b="1"/>
            <a:t>Threats</a:t>
          </a:r>
          <a:endParaRPr lang="en-GB"/>
        </a:p>
      </dgm:t>
    </dgm:pt>
    <dgm:pt modelId="{6730F08A-DE53-4D83-BA87-387810CA1CB0}" type="parTrans" cxnId="{31670781-0FB0-4C22-AF93-766064DACF32}">
      <dgm:prSet/>
      <dgm:spPr/>
      <dgm:t>
        <a:bodyPr/>
        <a:lstStyle/>
        <a:p>
          <a:endParaRPr lang="en-GB"/>
        </a:p>
      </dgm:t>
    </dgm:pt>
    <dgm:pt modelId="{56D714D4-6E2F-4CA3-926F-4F93C680E8DF}" type="sibTrans" cxnId="{31670781-0FB0-4C22-AF93-766064DACF32}">
      <dgm:prSet/>
      <dgm:spPr/>
      <dgm:t>
        <a:bodyPr/>
        <a:lstStyle/>
        <a:p>
          <a:endParaRPr lang="en-GB"/>
        </a:p>
      </dgm:t>
    </dgm:pt>
    <dgm:pt modelId="{F5AD2B3E-684B-42B9-942E-966A91D62C4F}">
      <dgm:prSet/>
      <dgm:spPr/>
      <dgm:t>
        <a:bodyPr/>
        <a:lstStyle/>
        <a:p>
          <a:r>
            <a:rPr lang="en-GB"/>
            <a:t>Platform disintermediation in content distribution</a:t>
          </a:r>
        </a:p>
      </dgm:t>
    </dgm:pt>
    <dgm:pt modelId="{7C9CF151-B128-4995-A91C-8E5381693634}" type="parTrans" cxnId="{29FE5050-7658-4780-A184-82A99D257E7D}">
      <dgm:prSet/>
      <dgm:spPr/>
      <dgm:t>
        <a:bodyPr/>
        <a:lstStyle/>
        <a:p>
          <a:endParaRPr lang="en-GB"/>
        </a:p>
      </dgm:t>
    </dgm:pt>
    <dgm:pt modelId="{4CEDE6A4-CC89-4E12-A479-8D53F7650A4B}" type="sibTrans" cxnId="{29FE5050-7658-4780-A184-82A99D257E7D}">
      <dgm:prSet/>
      <dgm:spPr/>
      <dgm:t>
        <a:bodyPr/>
        <a:lstStyle/>
        <a:p>
          <a:endParaRPr lang="en-GB"/>
        </a:p>
      </dgm:t>
    </dgm:pt>
    <dgm:pt modelId="{99F2E324-BBB1-42A5-A915-68CE57C700BC}">
      <dgm:prSet/>
      <dgm:spPr/>
      <dgm:t>
        <a:bodyPr/>
        <a:lstStyle/>
        <a:p>
          <a:r>
            <a:rPr lang="en-GB"/>
            <a:t>Intensifying competition from specialized technology firms</a:t>
          </a:r>
        </a:p>
      </dgm:t>
    </dgm:pt>
    <dgm:pt modelId="{7D77B854-814E-4223-AC57-88959E864AA1}" type="parTrans" cxnId="{33A97231-3836-4BA9-9960-70921E74B0DD}">
      <dgm:prSet/>
      <dgm:spPr/>
      <dgm:t>
        <a:bodyPr/>
        <a:lstStyle/>
        <a:p>
          <a:endParaRPr lang="en-GB"/>
        </a:p>
      </dgm:t>
    </dgm:pt>
    <dgm:pt modelId="{7A74F2B0-C338-4C63-9B4A-0B40CE9E8ECF}" type="sibTrans" cxnId="{33A97231-3836-4BA9-9960-70921E74B0DD}">
      <dgm:prSet/>
      <dgm:spPr/>
      <dgm:t>
        <a:bodyPr/>
        <a:lstStyle/>
        <a:p>
          <a:endParaRPr lang="en-GB"/>
        </a:p>
      </dgm:t>
    </dgm:pt>
    <dgm:pt modelId="{E09ED6AE-5867-4181-B7BB-43AB4331E410}">
      <dgm:prSet/>
      <dgm:spPr/>
      <dgm:t>
        <a:bodyPr/>
        <a:lstStyle/>
        <a:p>
          <a:r>
            <a:rPr lang="en-GB"/>
            <a:t>Continued semiconductor supply chain vulnerabilities (Sony Corporation, 2024)</a:t>
          </a:r>
        </a:p>
      </dgm:t>
    </dgm:pt>
    <dgm:pt modelId="{99ACEF2A-1548-41D7-9BBC-6826E888A0CB}" type="parTrans" cxnId="{F72B73B4-3010-4572-9619-444353C1BAE1}">
      <dgm:prSet/>
      <dgm:spPr/>
      <dgm:t>
        <a:bodyPr/>
        <a:lstStyle/>
        <a:p>
          <a:endParaRPr lang="en-GB"/>
        </a:p>
      </dgm:t>
    </dgm:pt>
    <dgm:pt modelId="{77081504-0AFD-4D67-9D14-5DC542E194ED}" type="sibTrans" cxnId="{F72B73B4-3010-4572-9619-444353C1BAE1}">
      <dgm:prSet/>
      <dgm:spPr/>
      <dgm:t>
        <a:bodyPr/>
        <a:lstStyle/>
        <a:p>
          <a:endParaRPr lang="en-GB"/>
        </a:p>
      </dgm:t>
    </dgm:pt>
    <dgm:pt modelId="{91534D86-F122-4287-A0CB-C3B979303CF7}" type="pres">
      <dgm:prSet presAssocID="{6C7F45F4-AA03-446E-A062-F49358C4E9D1}" presName="matrix" presStyleCnt="0">
        <dgm:presLayoutVars>
          <dgm:chMax val="1"/>
          <dgm:dir/>
          <dgm:resizeHandles val="exact"/>
        </dgm:presLayoutVars>
      </dgm:prSet>
      <dgm:spPr/>
    </dgm:pt>
    <dgm:pt modelId="{5E80DD66-A373-4083-8894-FB66A091B448}" type="pres">
      <dgm:prSet presAssocID="{6C7F45F4-AA03-446E-A062-F49358C4E9D1}" presName="axisShape" presStyleLbl="bgShp" presStyleIdx="0" presStyleCnt="1"/>
      <dgm:spPr/>
    </dgm:pt>
    <dgm:pt modelId="{41DCF776-F320-4989-92A3-909BA8EFF65A}" type="pres">
      <dgm:prSet presAssocID="{6C7F45F4-AA03-446E-A062-F49358C4E9D1}" presName="rect1" presStyleLbl="node1" presStyleIdx="0" presStyleCnt="4">
        <dgm:presLayoutVars>
          <dgm:chMax val="0"/>
          <dgm:chPref val="0"/>
          <dgm:bulletEnabled val="1"/>
        </dgm:presLayoutVars>
      </dgm:prSet>
      <dgm:spPr/>
    </dgm:pt>
    <dgm:pt modelId="{3084DE43-AB70-49C6-B982-97C76C2F92E3}" type="pres">
      <dgm:prSet presAssocID="{6C7F45F4-AA03-446E-A062-F49358C4E9D1}" presName="rect2" presStyleLbl="node1" presStyleIdx="1" presStyleCnt="4">
        <dgm:presLayoutVars>
          <dgm:chMax val="0"/>
          <dgm:chPref val="0"/>
          <dgm:bulletEnabled val="1"/>
        </dgm:presLayoutVars>
      </dgm:prSet>
      <dgm:spPr/>
    </dgm:pt>
    <dgm:pt modelId="{BBDF2E91-1994-420C-A9AC-395B23903000}" type="pres">
      <dgm:prSet presAssocID="{6C7F45F4-AA03-446E-A062-F49358C4E9D1}" presName="rect3" presStyleLbl="node1" presStyleIdx="2" presStyleCnt="4">
        <dgm:presLayoutVars>
          <dgm:chMax val="0"/>
          <dgm:chPref val="0"/>
          <dgm:bulletEnabled val="1"/>
        </dgm:presLayoutVars>
      </dgm:prSet>
      <dgm:spPr/>
    </dgm:pt>
    <dgm:pt modelId="{D5FB0147-85CD-4D02-9A4A-16181B8EFF1E}" type="pres">
      <dgm:prSet presAssocID="{6C7F45F4-AA03-446E-A062-F49358C4E9D1}" presName="rect4" presStyleLbl="node1" presStyleIdx="3" presStyleCnt="4">
        <dgm:presLayoutVars>
          <dgm:chMax val="0"/>
          <dgm:chPref val="0"/>
          <dgm:bulletEnabled val="1"/>
        </dgm:presLayoutVars>
      </dgm:prSet>
      <dgm:spPr/>
    </dgm:pt>
  </dgm:ptLst>
  <dgm:cxnLst>
    <dgm:cxn modelId="{28BE7800-D1A0-4E7D-B75C-0B60EA55B1D7}" srcId="{18D6C2B8-8C31-41C0-A962-FA3B1049CFA1}" destId="{2728CB13-D715-49BE-BD88-ABD0DFD29B12}" srcOrd="1" destOrd="0" parTransId="{727BBA75-B7A0-4795-9F9A-6E84B52A6FAE}" sibTransId="{2E03982B-9CD6-4520-AE15-4BA1D1B4BAB1}"/>
    <dgm:cxn modelId="{CE3E7B03-18C1-4CF9-BD3B-6636B2067810}" srcId="{6C7F45F4-AA03-446E-A062-F49358C4E9D1}" destId="{1B08D755-1FEA-492C-9F67-4B95F9EA0131}" srcOrd="0" destOrd="0" parTransId="{2D4D89B0-DE8E-45FD-8A19-CE94DCE2A439}" sibTransId="{62E2ED0A-A25D-4F9F-8F49-8BE421B2809F}"/>
    <dgm:cxn modelId="{D8F8B70D-65DC-40F5-9A12-6F3AB68A2835}" srcId="{6C7F45F4-AA03-446E-A062-F49358C4E9D1}" destId="{D8606FDC-ADF1-436D-9CCE-AC69DB7A85D8}" srcOrd="1" destOrd="0" parTransId="{A5DC2514-4E82-46A3-8658-64EE6CE2CA51}" sibTransId="{2C72C0DE-ACB6-4BB6-80D5-29FB5912E428}"/>
    <dgm:cxn modelId="{027F1617-6DE4-4D39-9F41-5431594AB5D0}" srcId="{6C7F45F4-AA03-446E-A062-F49358C4E9D1}" destId="{18D6C2B8-8C31-41C0-A962-FA3B1049CFA1}" srcOrd="2" destOrd="0" parTransId="{1BAAAF77-8890-4FD7-8295-0747C80E40B2}" sibTransId="{7C276460-D8A0-468D-88B7-EFD3BF101309}"/>
    <dgm:cxn modelId="{33A97231-3836-4BA9-9960-70921E74B0DD}" srcId="{190EED8B-8243-40F3-A6A1-24E03E343D7B}" destId="{99F2E324-BBB1-42A5-A915-68CE57C700BC}" srcOrd="1" destOrd="0" parTransId="{7D77B854-814E-4223-AC57-88959E864AA1}" sibTransId="{7A74F2B0-C338-4C63-9B4A-0B40CE9E8ECF}"/>
    <dgm:cxn modelId="{F5366A35-33FB-4484-BD25-D5B02D5A1E5E}" type="presOf" srcId="{2728CB13-D715-49BE-BD88-ABD0DFD29B12}" destId="{BBDF2E91-1994-420C-A9AC-395B23903000}" srcOrd="0" destOrd="2" presId="urn:microsoft.com/office/officeart/2005/8/layout/matrix2"/>
    <dgm:cxn modelId="{40451040-006C-4634-BA1B-D1A6CAD6AC55}" type="presOf" srcId="{3EF5F318-1AA9-4831-B937-7F028427769D}" destId="{3084DE43-AB70-49C6-B982-97C76C2F92E3}" srcOrd="0" destOrd="3" presId="urn:microsoft.com/office/officeart/2005/8/layout/matrix2"/>
    <dgm:cxn modelId="{44B6175F-5ED7-48B5-9C98-018B35C2F7B5}" srcId="{18D6C2B8-8C31-41C0-A962-FA3B1049CFA1}" destId="{5DCFC141-B88B-4BE3-A7C3-DD9A309D9B47}" srcOrd="2" destOrd="0" parTransId="{EC72F8CB-9E93-4F67-8088-7D89F0BA6138}" sibTransId="{F5B43299-0951-4FBB-A8EE-4E8E563B2E1E}"/>
    <dgm:cxn modelId="{29FE5050-7658-4780-A184-82A99D257E7D}" srcId="{190EED8B-8243-40F3-A6A1-24E03E343D7B}" destId="{F5AD2B3E-684B-42B9-942E-966A91D62C4F}" srcOrd="0" destOrd="0" parTransId="{7C9CF151-B128-4995-A91C-8E5381693634}" sibTransId="{4CEDE6A4-CC89-4E12-A479-8D53F7650A4B}"/>
    <dgm:cxn modelId="{C8ED4E71-7256-436D-98C2-8909983973E4}" type="presOf" srcId="{916ECA25-0CE1-4A41-A5D3-92B789EB2EF6}" destId="{41DCF776-F320-4989-92A3-909BA8EFF65A}" srcOrd="0" destOrd="3" presId="urn:microsoft.com/office/officeart/2005/8/layout/matrix2"/>
    <dgm:cxn modelId="{D2417472-8824-4BE5-BDB9-754BD351E31D}" type="presOf" srcId="{5DCFC141-B88B-4BE3-A7C3-DD9A309D9B47}" destId="{BBDF2E91-1994-420C-A9AC-395B23903000}" srcOrd="0" destOrd="3" presId="urn:microsoft.com/office/officeart/2005/8/layout/matrix2"/>
    <dgm:cxn modelId="{37DDDE79-E5BC-4815-936D-469103986EB2}" type="presOf" srcId="{6A600207-14A4-4AB0-90A0-CB7B41DCFCC6}" destId="{41DCF776-F320-4989-92A3-909BA8EFF65A}" srcOrd="0" destOrd="2" presId="urn:microsoft.com/office/officeart/2005/8/layout/matrix2"/>
    <dgm:cxn modelId="{31670781-0FB0-4C22-AF93-766064DACF32}" srcId="{6C7F45F4-AA03-446E-A062-F49358C4E9D1}" destId="{190EED8B-8243-40F3-A6A1-24E03E343D7B}" srcOrd="3" destOrd="0" parTransId="{6730F08A-DE53-4D83-BA87-387810CA1CB0}" sibTransId="{56D714D4-6E2F-4CA3-926F-4F93C680E8DF}"/>
    <dgm:cxn modelId="{0FCEB783-95A5-4699-A6F0-80253A361E4A}" type="presOf" srcId="{6C7F45F4-AA03-446E-A062-F49358C4E9D1}" destId="{91534D86-F122-4287-A0CB-C3B979303CF7}" srcOrd="0" destOrd="0" presId="urn:microsoft.com/office/officeart/2005/8/layout/matrix2"/>
    <dgm:cxn modelId="{F098408A-8A10-4BDC-85F1-0D7D006C902D}" srcId="{D8606FDC-ADF1-436D-9CCE-AC69DB7A85D8}" destId="{D7E01466-E2AD-48B9-B978-F152AF20F1B0}" srcOrd="1" destOrd="0" parTransId="{E0B0F9B1-18CD-4F22-9BCD-CFA32C76022E}" sibTransId="{ECE02892-8BA5-41A1-88EE-B22FE9C5C2FF}"/>
    <dgm:cxn modelId="{BB1B8D94-4EC6-4086-8370-635E3C780C75}" srcId="{D8606FDC-ADF1-436D-9CCE-AC69DB7A85D8}" destId="{15354FAB-45D3-40F7-934B-03F660A681AD}" srcOrd="0" destOrd="0" parTransId="{E2A67852-D50E-478E-A306-8FEAB35DFE19}" sibTransId="{B15D6661-94B6-4F65-9C89-632B4447E40D}"/>
    <dgm:cxn modelId="{4249B398-3B99-486B-979D-282C71E528D8}" type="presOf" srcId="{99F2E324-BBB1-42A5-A915-68CE57C700BC}" destId="{D5FB0147-85CD-4D02-9A4A-16181B8EFF1E}" srcOrd="0" destOrd="2" presId="urn:microsoft.com/office/officeart/2005/8/layout/matrix2"/>
    <dgm:cxn modelId="{EC38579A-5CAB-48ED-B109-F5B35390A879}" type="presOf" srcId="{D7E01466-E2AD-48B9-B978-F152AF20F1B0}" destId="{3084DE43-AB70-49C6-B982-97C76C2F92E3}" srcOrd="0" destOrd="2" presId="urn:microsoft.com/office/officeart/2005/8/layout/matrix2"/>
    <dgm:cxn modelId="{8BCB0FA6-49C4-42C5-9A70-D8A1F639ABD5}" type="presOf" srcId="{1B08D755-1FEA-492C-9F67-4B95F9EA0131}" destId="{41DCF776-F320-4989-92A3-909BA8EFF65A}" srcOrd="0" destOrd="0" presId="urn:microsoft.com/office/officeart/2005/8/layout/matrix2"/>
    <dgm:cxn modelId="{4363D1A8-156F-4FAA-ACF2-81499CEE8856}" srcId="{1B08D755-1FEA-492C-9F67-4B95F9EA0131}" destId="{9294E2DC-B542-48AB-A8AF-5573B9259A2D}" srcOrd="0" destOrd="0" parTransId="{8D6EC62B-845A-499A-9FC1-660A4FBD7B04}" sibTransId="{BF7CEA72-1A06-4656-831F-595FB0DE833F}"/>
    <dgm:cxn modelId="{63F31AAA-1A82-4264-9019-AB05F3C059F8}" srcId="{D8606FDC-ADF1-436D-9CCE-AC69DB7A85D8}" destId="{3EF5F318-1AA9-4831-B937-7F028427769D}" srcOrd="2" destOrd="0" parTransId="{1CFB627C-BE5D-4CD7-9167-5090AAEC7A83}" sibTransId="{6FEF9691-DD2C-490D-B5B6-6AE5D66B1F6A}"/>
    <dgm:cxn modelId="{98CF1AB3-522D-4E9C-AB42-4967D2A3467E}" type="presOf" srcId="{E19970E8-B29B-42E1-8347-57B20B45F6BE}" destId="{BBDF2E91-1994-420C-A9AC-395B23903000}" srcOrd="0" destOrd="1" presId="urn:microsoft.com/office/officeart/2005/8/layout/matrix2"/>
    <dgm:cxn modelId="{B78C3BB4-0B3E-44FB-AA52-786C07762BA5}" type="presOf" srcId="{E09ED6AE-5867-4181-B7BB-43AB4331E410}" destId="{D5FB0147-85CD-4D02-9A4A-16181B8EFF1E}" srcOrd="0" destOrd="3" presId="urn:microsoft.com/office/officeart/2005/8/layout/matrix2"/>
    <dgm:cxn modelId="{F72B73B4-3010-4572-9619-444353C1BAE1}" srcId="{190EED8B-8243-40F3-A6A1-24E03E343D7B}" destId="{E09ED6AE-5867-4181-B7BB-43AB4331E410}" srcOrd="2" destOrd="0" parTransId="{99ACEF2A-1548-41D7-9BBC-6826E888A0CB}" sibTransId="{77081504-0AFD-4D67-9D14-5DC542E194ED}"/>
    <dgm:cxn modelId="{6DC0A3BC-6B5D-4F2B-B334-7FF916A8BC78}" srcId="{1B08D755-1FEA-492C-9F67-4B95F9EA0131}" destId="{916ECA25-0CE1-4A41-A5D3-92B789EB2EF6}" srcOrd="2" destOrd="0" parTransId="{B695BF58-3D55-48ED-A665-D6F6A3FB76EE}" sibTransId="{222FD899-BEA4-4047-9104-3C33CFC62116}"/>
    <dgm:cxn modelId="{25AC7DC6-F048-47BE-AD9D-A54BDBF0FD9B}" type="presOf" srcId="{F5AD2B3E-684B-42B9-942E-966A91D62C4F}" destId="{D5FB0147-85CD-4D02-9A4A-16181B8EFF1E}" srcOrd="0" destOrd="1" presId="urn:microsoft.com/office/officeart/2005/8/layout/matrix2"/>
    <dgm:cxn modelId="{BCA6A9C8-C21D-498F-92AF-18778E8353AF}" type="presOf" srcId="{9294E2DC-B542-48AB-A8AF-5573B9259A2D}" destId="{41DCF776-F320-4989-92A3-909BA8EFF65A}" srcOrd="0" destOrd="1" presId="urn:microsoft.com/office/officeart/2005/8/layout/matrix2"/>
    <dgm:cxn modelId="{AE4938D2-B1AE-4345-965A-BF475872FE6D}" srcId="{1B08D755-1FEA-492C-9F67-4B95F9EA0131}" destId="{6A600207-14A4-4AB0-90A0-CB7B41DCFCC6}" srcOrd="1" destOrd="0" parTransId="{9E287DA6-AE9C-40DD-9AA0-0EDE05E71C85}" sibTransId="{B3317B49-E50E-403B-82CF-D824592ADD3D}"/>
    <dgm:cxn modelId="{780DF5D6-6833-4285-924E-52B67E3F6872}" type="presOf" srcId="{18D6C2B8-8C31-41C0-A962-FA3B1049CFA1}" destId="{BBDF2E91-1994-420C-A9AC-395B23903000}" srcOrd="0" destOrd="0" presId="urn:microsoft.com/office/officeart/2005/8/layout/matrix2"/>
    <dgm:cxn modelId="{F0E93AE0-7533-47A0-A726-A88BF230D2B9}" type="presOf" srcId="{15354FAB-45D3-40F7-934B-03F660A681AD}" destId="{3084DE43-AB70-49C6-B982-97C76C2F92E3}" srcOrd="0" destOrd="1" presId="urn:microsoft.com/office/officeart/2005/8/layout/matrix2"/>
    <dgm:cxn modelId="{09059EE6-A8F4-43BC-979B-BE3FDB726683}" srcId="{18D6C2B8-8C31-41C0-A962-FA3B1049CFA1}" destId="{E19970E8-B29B-42E1-8347-57B20B45F6BE}" srcOrd="0" destOrd="0" parTransId="{6B92A176-509E-47AA-AC3B-54FBCC3E8174}" sibTransId="{62B70682-A817-4072-B5A8-011C9A44081B}"/>
    <dgm:cxn modelId="{190E1EF1-4EFB-4DEC-A5E0-3C129D3A2DF8}" type="presOf" srcId="{190EED8B-8243-40F3-A6A1-24E03E343D7B}" destId="{D5FB0147-85CD-4D02-9A4A-16181B8EFF1E}" srcOrd="0" destOrd="0" presId="urn:microsoft.com/office/officeart/2005/8/layout/matrix2"/>
    <dgm:cxn modelId="{D9228AFF-B92D-4604-BA7B-BC25CE396CA9}" type="presOf" srcId="{D8606FDC-ADF1-436D-9CCE-AC69DB7A85D8}" destId="{3084DE43-AB70-49C6-B982-97C76C2F92E3}" srcOrd="0" destOrd="0" presId="urn:microsoft.com/office/officeart/2005/8/layout/matrix2"/>
    <dgm:cxn modelId="{608FB8C5-808B-4861-AF97-1A4B39B67BC9}" type="presParOf" srcId="{91534D86-F122-4287-A0CB-C3B979303CF7}" destId="{5E80DD66-A373-4083-8894-FB66A091B448}" srcOrd="0" destOrd="0" presId="urn:microsoft.com/office/officeart/2005/8/layout/matrix2"/>
    <dgm:cxn modelId="{0A88B1FB-BB60-4B0C-A3D9-47A4C4243566}" type="presParOf" srcId="{91534D86-F122-4287-A0CB-C3B979303CF7}" destId="{41DCF776-F320-4989-92A3-909BA8EFF65A}" srcOrd="1" destOrd="0" presId="urn:microsoft.com/office/officeart/2005/8/layout/matrix2"/>
    <dgm:cxn modelId="{13F7E182-42A6-47EF-A233-97F4D66EE1F8}" type="presParOf" srcId="{91534D86-F122-4287-A0CB-C3B979303CF7}" destId="{3084DE43-AB70-49C6-B982-97C76C2F92E3}" srcOrd="2" destOrd="0" presId="urn:microsoft.com/office/officeart/2005/8/layout/matrix2"/>
    <dgm:cxn modelId="{099131BE-8A2F-49EE-90F1-A3F6367255FA}" type="presParOf" srcId="{91534D86-F122-4287-A0CB-C3B979303CF7}" destId="{BBDF2E91-1994-420C-A9AC-395B23903000}" srcOrd="3" destOrd="0" presId="urn:microsoft.com/office/officeart/2005/8/layout/matrix2"/>
    <dgm:cxn modelId="{249B54BB-0D98-4DF7-BB5B-8B561608AFF1}" type="presParOf" srcId="{91534D86-F122-4287-A0CB-C3B979303CF7}" destId="{D5FB0147-85CD-4D02-9A4A-16181B8EFF1E}" srcOrd="4" destOrd="0" presId="urn:microsoft.com/office/officeart/2005/8/layout/matrix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80DD66-A373-4083-8894-FB66A091B448}">
      <dsp:nvSpPr>
        <dsp:cNvPr id="0" name=""/>
        <dsp:cNvSpPr/>
      </dsp:nvSpPr>
      <dsp:spPr>
        <a:xfrm>
          <a:off x="166687" y="0"/>
          <a:ext cx="4381500" cy="43815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1DCF776-F320-4989-92A3-909BA8EFF65A}">
      <dsp:nvSpPr>
        <dsp:cNvPr id="0" name=""/>
        <dsp:cNvSpPr/>
      </dsp:nvSpPr>
      <dsp:spPr>
        <a:xfrm>
          <a:off x="451485" y="284797"/>
          <a:ext cx="1752600" cy="17526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kern="1200"/>
            <a:t>Strengths</a:t>
          </a:r>
          <a:endParaRPr lang="en-GB" sz="1000" kern="1200"/>
        </a:p>
        <a:p>
          <a:pPr marL="57150" lvl="1" indent="-57150" algn="l" defTabSz="355600">
            <a:lnSpc>
              <a:spcPct val="90000"/>
            </a:lnSpc>
            <a:spcBef>
              <a:spcPct val="0"/>
            </a:spcBef>
            <a:spcAft>
              <a:spcPct val="15000"/>
            </a:spcAft>
            <a:buChar char="•"/>
          </a:pPr>
          <a:r>
            <a:rPr lang="en-GB" sz="800" kern="1200"/>
            <a:t>Strong intellectual property portfolio across entertainment and technology(Li et al., 2023)</a:t>
          </a:r>
        </a:p>
        <a:p>
          <a:pPr marL="57150" lvl="1" indent="-57150" algn="l" defTabSz="355600">
            <a:lnSpc>
              <a:spcPct val="90000"/>
            </a:lnSpc>
            <a:spcBef>
              <a:spcPct val="0"/>
            </a:spcBef>
            <a:spcAft>
              <a:spcPct val="15000"/>
            </a:spcAft>
            <a:buChar char="•"/>
          </a:pPr>
          <a:r>
            <a:rPr lang="en-GB" sz="800" kern="1200"/>
            <a:t>Global brand recognition and reputation for quality</a:t>
          </a:r>
        </a:p>
        <a:p>
          <a:pPr marL="57150" lvl="1" indent="-57150" algn="l" defTabSz="355600">
            <a:lnSpc>
              <a:spcPct val="90000"/>
            </a:lnSpc>
            <a:spcBef>
              <a:spcPct val="0"/>
            </a:spcBef>
            <a:spcAft>
              <a:spcPct val="15000"/>
            </a:spcAft>
            <a:buChar char="•"/>
          </a:pPr>
          <a:r>
            <a:rPr lang="en-GB" sz="800" kern="1200"/>
            <a:t>Leading market positions in image sensors, console gaming, and music publishing</a:t>
          </a:r>
        </a:p>
      </dsp:txBody>
      <dsp:txXfrm>
        <a:off x="537040" y="370352"/>
        <a:ext cx="1581490" cy="1581490"/>
      </dsp:txXfrm>
    </dsp:sp>
    <dsp:sp modelId="{3084DE43-AB70-49C6-B982-97C76C2F92E3}">
      <dsp:nvSpPr>
        <dsp:cNvPr id="0" name=""/>
        <dsp:cNvSpPr/>
      </dsp:nvSpPr>
      <dsp:spPr>
        <a:xfrm>
          <a:off x="2510790" y="284797"/>
          <a:ext cx="1752600" cy="17526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kern="1200"/>
            <a:t>Weaknesses</a:t>
          </a:r>
          <a:endParaRPr lang="en-GB" sz="1000" kern="1200"/>
        </a:p>
        <a:p>
          <a:pPr marL="57150" lvl="1" indent="-57150" algn="l" defTabSz="355600">
            <a:lnSpc>
              <a:spcPct val="90000"/>
            </a:lnSpc>
            <a:spcBef>
              <a:spcPct val="0"/>
            </a:spcBef>
            <a:spcAft>
              <a:spcPct val="15000"/>
            </a:spcAft>
            <a:buChar char="•"/>
          </a:pPr>
          <a:r>
            <a:rPr lang="en-GB" sz="800" kern="1200"/>
            <a:t>Uneven digital maturity across business units</a:t>
          </a:r>
        </a:p>
        <a:p>
          <a:pPr marL="57150" lvl="1" indent="-57150" algn="l" defTabSz="355600">
            <a:lnSpc>
              <a:spcPct val="90000"/>
            </a:lnSpc>
            <a:spcBef>
              <a:spcPct val="0"/>
            </a:spcBef>
            <a:spcAft>
              <a:spcPct val="15000"/>
            </a:spcAft>
            <a:buChar char="•"/>
          </a:pPr>
          <a:r>
            <a:rPr lang="en-GB" sz="800" kern="1200"/>
            <a:t>Organizational silos limiting cross-business synergies</a:t>
          </a:r>
        </a:p>
        <a:p>
          <a:pPr marL="57150" lvl="1" indent="-57150" algn="l" defTabSz="355600">
            <a:lnSpc>
              <a:spcPct val="90000"/>
            </a:lnSpc>
            <a:spcBef>
              <a:spcPct val="0"/>
            </a:spcBef>
            <a:spcAft>
              <a:spcPct val="15000"/>
            </a:spcAft>
            <a:buChar char="•"/>
          </a:pPr>
          <a:r>
            <a:rPr lang="en-GB" sz="800" kern="1200"/>
            <a:t>Limited success in mobile and IoT consumer products (Li et al., 2023).</a:t>
          </a:r>
        </a:p>
      </dsp:txBody>
      <dsp:txXfrm>
        <a:off x="2596345" y="370352"/>
        <a:ext cx="1581490" cy="1581490"/>
      </dsp:txXfrm>
    </dsp:sp>
    <dsp:sp modelId="{BBDF2E91-1994-420C-A9AC-395B23903000}">
      <dsp:nvSpPr>
        <dsp:cNvPr id="0" name=""/>
        <dsp:cNvSpPr/>
      </dsp:nvSpPr>
      <dsp:spPr>
        <a:xfrm>
          <a:off x="451485" y="2344102"/>
          <a:ext cx="1752600" cy="17526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kern="1200"/>
            <a:t>Opportunities</a:t>
          </a:r>
          <a:endParaRPr lang="en-GB" sz="1000" kern="1200"/>
        </a:p>
        <a:p>
          <a:pPr marL="57150" lvl="1" indent="-57150" algn="l" defTabSz="355600">
            <a:lnSpc>
              <a:spcPct val="90000"/>
            </a:lnSpc>
            <a:spcBef>
              <a:spcPct val="0"/>
            </a:spcBef>
            <a:spcAft>
              <a:spcPct val="15000"/>
            </a:spcAft>
            <a:buChar char="•"/>
          </a:pPr>
          <a:r>
            <a:rPr lang="en-GB" sz="800" kern="1200"/>
            <a:t>Growing content demand from streaming platforms</a:t>
          </a:r>
        </a:p>
        <a:p>
          <a:pPr marL="57150" lvl="1" indent="-57150" algn="l" defTabSz="355600">
            <a:lnSpc>
              <a:spcPct val="90000"/>
            </a:lnSpc>
            <a:spcBef>
              <a:spcPct val="0"/>
            </a:spcBef>
            <a:spcAft>
              <a:spcPct val="15000"/>
            </a:spcAft>
            <a:buChar char="•"/>
          </a:pPr>
          <a:r>
            <a:rPr lang="en-GB" sz="800" kern="1200"/>
            <a:t>Expansion of gaming audience demographics</a:t>
          </a:r>
        </a:p>
        <a:p>
          <a:pPr marL="57150" lvl="1" indent="-57150" algn="l" defTabSz="355600">
            <a:lnSpc>
              <a:spcPct val="90000"/>
            </a:lnSpc>
            <a:spcBef>
              <a:spcPct val="0"/>
            </a:spcBef>
            <a:spcAft>
              <a:spcPct val="15000"/>
            </a:spcAft>
            <a:buChar char="•"/>
          </a:pPr>
          <a:r>
            <a:rPr lang="en-GB" sz="800" kern="1200"/>
            <a:t>Metaverse development leveraging gaming and entertainment assets (Jurevicius, 2021).</a:t>
          </a:r>
        </a:p>
      </dsp:txBody>
      <dsp:txXfrm>
        <a:off x="537040" y="2429657"/>
        <a:ext cx="1581490" cy="1581490"/>
      </dsp:txXfrm>
    </dsp:sp>
    <dsp:sp modelId="{D5FB0147-85CD-4D02-9A4A-16181B8EFF1E}">
      <dsp:nvSpPr>
        <dsp:cNvPr id="0" name=""/>
        <dsp:cNvSpPr/>
      </dsp:nvSpPr>
      <dsp:spPr>
        <a:xfrm>
          <a:off x="2510790" y="2344102"/>
          <a:ext cx="1752600" cy="17526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b="1" kern="1200"/>
            <a:t>Threats</a:t>
          </a:r>
          <a:endParaRPr lang="en-GB" sz="1000" kern="1200"/>
        </a:p>
        <a:p>
          <a:pPr marL="57150" lvl="1" indent="-57150" algn="l" defTabSz="355600">
            <a:lnSpc>
              <a:spcPct val="90000"/>
            </a:lnSpc>
            <a:spcBef>
              <a:spcPct val="0"/>
            </a:spcBef>
            <a:spcAft>
              <a:spcPct val="15000"/>
            </a:spcAft>
            <a:buChar char="•"/>
          </a:pPr>
          <a:r>
            <a:rPr lang="en-GB" sz="800" kern="1200"/>
            <a:t>Platform disintermediation in content distribution</a:t>
          </a:r>
        </a:p>
        <a:p>
          <a:pPr marL="57150" lvl="1" indent="-57150" algn="l" defTabSz="355600">
            <a:lnSpc>
              <a:spcPct val="90000"/>
            </a:lnSpc>
            <a:spcBef>
              <a:spcPct val="0"/>
            </a:spcBef>
            <a:spcAft>
              <a:spcPct val="15000"/>
            </a:spcAft>
            <a:buChar char="•"/>
          </a:pPr>
          <a:r>
            <a:rPr lang="en-GB" sz="800" kern="1200"/>
            <a:t>Intensifying competition from specialized technology firms</a:t>
          </a:r>
        </a:p>
        <a:p>
          <a:pPr marL="57150" lvl="1" indent="-57150" algn="l" defTabSz="355600">
            <a:lnSpc>
              <a:spcPct val="90000"/>
            </a:lnSpc>
            <a:spcBef>
              <a:spcPct val="0"/>
            </a:spcBef>
            <a:spcAft>
              <a:spcPct val="15000"/>
            </a:spcAft>
            <a:buChar char="•"/>
          </a:pPr>
          <a:r>
            <a:rPr lang="en-GB" sz="800" kern="1200"/>
            <a:t>Continued semiconductor supply chain vulnerabilities (Sony Corporation, 2024)</a:t>
          </a:r>
        </a:p>
      </dsp:txBody>
      <dsp:txXfrm>
        <a:off x="2596345" y="2429657"/>
        <a:ext cx="1581490" cy="1581490"/>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DAB3D96D9D0467D9F442B27E8DE176C"/>
        <w:category>
          <w:name w:val="General"/>
          <w:gallery w:val="placeholder"/>
        </w:category>
        <w:types>
          <w:type w:val="bbPlcHdr"/>
        </w:types>
        <w:behaviors>
          <w:behavior w:val="content"/>
        </w:behaviors>
        <w:guid w:val="{29124350-2374-4F5D-9C48-35BD533DA388}"/>
      </w:docPartPr>
      <w:docPartBody>
        <w:p w:rsidR="00000000" w:rsidRDefault="00A3714D" w:rsidP="00A3714D">
          <w:pPr>
            <w:pStyle w:val="5DAB3D96D9D0467D9F442B27E8DE176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14D"/>
    <w:rsid w:val="002B7886"/>
    <w:rsid w:val="00A3714D"/>
    <w:rsid w:val="00B74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AB3D96D9D0467D9F442B27E8DE176C">
    <w:name w:val="5DAB3D96D9D0467D9F442B27E8DE176C"/>
    <w:rsid w:val="00A3714D"/>
  </w:style>
  <w:style w:type="paragraph" w:customStyle="1" w:styleId="E660EBE21DEE43A7816D94C66BB3E44C">
    <w:name w:val="E660EBE21DEE43A7816D94C66BB3E44C"/>
    <w:rsid w:val="00A3714D"/>
  </w:style>
  <w:style w:type="paragraph" w:customStyle="1" w:styleId="B0DDC67AB8494238892FECD06D690E3B">
    <w:name w:val="B0DDC67AB8494238892FECD06D690E3B"/>
    <w:rsid w:val="00A3714D"/>
  </w:style>
  <w:style w:type="paragraph" w:customStyle="1" w:styleId="1032729C5DAA4EE391ADC4931BA6E1B3">
    <w:name w:val="1032729C5DAA4EE391ADC4931BA6E1B3"/>
    <w:rsid w:val="00A3714D"/>
  </w:style>
  <w:style w:type="paragraph" w:customStyle="1" w:styleId="201233215C79463183D96CF0B2F9D1B2">
    <w:name w:val="201233215C79463183D96CF0B2F9D1B2"/>
    <w:rsid w:val="00A371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2025-05-19T00:00:00</PublishDate>
  <Abstract/>
  <CompanyAddress>2112461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27</Pages>
  <Words>8275</Words>
  <Characters>47173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the reshaping of the strategic direction in the context of digital change</dc:title>
  <dc:subject>SONY</dc:subject>
  <dc:creator>Andrei Selaru (2112461)</dc:creator>
  <cp:keywords/>
  <dc:description/>
  <cp:lastModifiedBy>Andrei Selaru (2112461)</cp:lastModifiedBy>
  <cp:revision>2</cp:revision>
  <dcterms:created xsi:type="dcterms:W3CDTF">2025-05-18T14:04:00Z</dcterms:created>
  <dcterms:modified xsi:type="dcterms:W3CDTF">2025-05-18T14:47:00Z</dcterms:modified>
</cp:coreProperties>
</file>