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261F" w:rsidRPr="00740033" w:rsidRDefault="008A261F" w:rsidP="00926453">
      <w:pPr>
        <w:rPr>
          <w:rFonts w:ascii="Arial" w:hAnsi="Arial" w:cs="Arial"/>
          <w:sz w:val="24"/>
          <w:szCs w:val="24"/>
        </w:rPr>
      </w:pPr>
      <w:r w:rsidRPr="00740033">
        <w:rPr>
          <w:rFonts w:ascii="Arial" w:hAnsi="Arial" w:cs="Arial"/>
          <w:sz w:val="24"/>
          <w:szCs w:val="24"/>
        </w:rPr>
        <w:t>Compare and contrast the Christian rite of communion, with a spell in the Greek Magical Papyri. The spell we are asking you to compare with Christian communion is from PGM XIII, lines 760-1050. Why and how is the god being invoked? Within the spell you will find different sections, which give instructions for invoking the god, the reasons for the invocation, the methods of invocation and the physical instructions for performing the spell. You may consider all of these in your analysis and comparison with Christian communion.</w:t>
      </w:r>
    </w:p>
    <w:p w:rsidR="008A261F" w:rsidRPr="00740033" w:rsidRDefault="008A261F" w:rsidP="00926453">
      <w:pPr>
        <w:rPr>
          <w:rFonts w:ascii="Arial" w:hAnsi="Arial" w:cs="Arial"/>
          <w:sz w:val="24"/>
          <w:szCs w:val="24"/>
        </w:rPr>
      </w:pPr>
      <w:r w:rsidRPr="00740033">
        <w:rPr>
          <w:rFonts w:ascii="Arial" w:hAnsi="Arial" w:cs="Arial"/>
          <w:sz w:val="24"/>
          <w:szCs w:val="24"/>
        </w:rPr>
        <w:t>Questions to consider: why has one procedure been classified as religious, and the other magical? What parameters make them magical or religious? Do you agree with these classifications? Why or why not?</w:t>
      </w:r>
    </w:p>
    <w:p w:rsidR="008A261F" w:rsidRPr="00740033" w:rsidRDefault="008A261F" w:rsidP="003C39FB">
      <w:pPr>
        <w:rPr>
          <w:rFonts w:ascii="Arial" w:hAnsi="Arial" w:cs="Arial"/>
          <w:b/>
          <w:sz w:val="24"/>
          <w:szCs w:val="24"/>
        </w:rPr>
      </w:pPr>
      <w:r w:rsidRPr="00740033">
        <w:rPr>
          <w:rFonts w:ascii="Arial" w:hAnsi="Arial" w:cs="Arial"/>
          <w:b/>
          <w:sz w:val="24"/>
          <w:szCs w:val="24"/>
        </w:rPr>
        <w:t>Comparisons and differences</w:t>
      </w:r>
    </w:p>
    <w:p w:rsidR="008A261F" w:rsidRPr="00740033" w:rsidRDefault="008A261F" w:rsidP="00FD7FA3">
      <w:pPr>
        <w:rPr>
          <w:rFonts w:ascii="Arial" w:hAnsi="Arial" w:cs="Arial"/>
          <w:sz w:val="24"/>
          <w:szCs w:val="24"/>
        </w:rPr>
      </w:pPr>
      <w:r w:rsidRPr="00740033">
        <w:rPr>
          <w:rFonts w:ascii="Arial" w:hAnsi="Arial" w:cs="Arial"/>
          <w:sz w:val="24"/>
          <w:szCs w:val="24"/>
        </w:rPr>
        <w:t>There is a surprising range of similarities between the two rites under examination.  Both spell and communion invoke a deity, and if one includes the broader service around communion, both require offerings – comestibles in the case of the spell, money in the Christian rite – and bread and wine are involved in both rituals.  There is also an undoubted echo of the spell’s conjoining of god-and-spellmaker (For you are I and I, you) in the ingesting and imbibing of communion bread and wine and its concomitant transubstantiation, where the bread and wine become the actual body and blood of Christ.  (This is often glossed over these days, and transubstantiation is considered a symbolic metamorphosis.)There is praise for both gods, there is the use of sound (the recitation of vowels and words, the bellowing and hissing in the spell, and the psalm and hymns and prayers around communion).  Similar, too, there is movement and gesture in both the spell, with its different posturing at the cardinal points, and the Christian rite which requires periodic standing up and sitting down, kneeling, turning to the east, genuflecting and bowing.</w:t>
      </w:r>
    </w:p>
    <w:p w:rsidR="008A261F" w:rsidRPr="00740033" w:rsidRDefault="008A261F" w:rsidP="003C39FB">
      <w:pPr>
        <w:rPr>
          <w:rFonts w:ascii="Arial" w:hAnsi="Arial" w:cs="Arial"/>
          <w:sz w:val="24"/>
          <w:szCs w:val="24"/>
        </w:rPr>
      </w:pPr>
      <w:r w:rsidRPr="00740033">
        <w:rPr>
          <w:rFonts w:ascii="Arial" w:hAnsi="Arial" w:cs="Arial"/>
          <w:sz w:val="24"/>
          <w:szCs w:val="24"/>
        </w:rPr>
        <w:t>But there are obvious differences: the spell is conducted by one person, for personal gain – the god is being invoked to grant the spellcaster’s desires; protection, success, victory, prosperity, sex appeal – and seems to be a private, perhaps secret act not tied to a particular location, instead stressing the time of the ritual and the configurations of the heavens at the time of performance.  It calls on names from a range of traditions, including Greek, Egyptian and the Old Testament.  It uses writing to create an amulet which can then be used in further rites; there is bellowing and hissing, and licking of lamellae.</w:t>
      </w:r>
    </w:p>
    <w:p w:rsidR="008A261F" w:rsidRPr="00740033" w:rsidRDefault="008A261F" w:rsidP="003C39FB">
      <w:pPr>
        <w:rPr>
          <w:rFonts w:ascii="Arial" w:hAnsi="Arial" w:cs="Arial"/>
          <w:sz w:val="24"/>
          <w:szCs w:val="24"/>
        </w:rPr>
      </w:pPr>
      <w:r w:rsidRPr="00740033">
        <w:rPr>
          <w:rFonts w:ascii="Arial" w:hAnsi="Arial" w:cs="Arial"/>
          <w:sz w:val="24"/>
          <w:szCs w:val="24"/>
        </w:rPr>
        <w:t>Nowhere, however, in the Christian ritual is there licking, and bellowing and hissing are strongly frowned upon.  Although the written word is used, no writing is done during the rite, much of which is call-and-response between the minister and the congregation.</w:t>
      </w:r>
    </w:p>
    <w:p w:rsidR="008A261F" w:rsidRPr="00740033" w:rsidRDefault="008A261F" w:rsidP="007C5D1A">
      <w:pPr>
        <w:rPr>
          <w:rFonts w:ascii="Arial" w:hAnsi="Arial" w:cs="Arial"/>
          <w:sz w:val="24"/>
          <w:szCs w:val="24"/>
        </w:rPr>
      </w:pPr>
      <w:r w:rsidRPr="00740033">
        <w:rPr>
          <w:rFonts w:ascii="Arial" w:hAnsi="Arial" w:cs="Arial"/>
          <w:sz w:val="24"/>
          <w:szCs w:val="24"/>
        </w:rPr>
        <w:t>The origin of communion goes back to the time of Christ himself, and the Last Supper:the KJV of the Gospel According to Mark, Chapter 14:22-24 reads:  And as they did eat, Jesus took bread, and blessed, and brake it, and gave to them, and said, Take, eat: this is my body.23 And he took the cup, and when he had given thanks, he gave it to them: and they all drank of it.  24 And he said unto them, This is my blood of the new testament, which is shed for many… (Visual Aid One). The bread and wine, of course, is given to the communicants in the Christian rite, while in the spell, it is part of a larger body of offerings.</w:t>
      </w:r>
    </w:p>
    <w:p w:rsidR="008A261F" w:rsidRPr="00740033" w:rsidRDefault="008A261F" w:rsidP="003C39FB">
      <w:pPr>
        <w:rPr>
          <w:rFonts w:ascii="Arial" w:hAnsi="Arial" w:cs="Arial"/>
          <w:sz w:val="24"/>
          <w:szCs w:val="24"/>
        </w:rPr>
      </w:pPr>
    </w:p>
    <w:p w:rsidR="008A261F" w:rsidRPr="00740033" w:rsidRDefault="008A261F" w:rsidP="003C39FB">
      <w:pPr>
        <w:rPr>
          <w:rFonts w:ascii="Arial" w:hAnsi="Arial" w:cs="Arial"/>
          <w:sz w:val="24"/>
          <w:szCs w:val="24"/>
        </w:rPr>
      </w:pPr>
      <w:r w:rsidRPr="00740033">
        <w:rPr>
          <w:rFonts w:ascii="Arial" w:hAnsi="Arial" w:cs="Arial"/>
          <w:sz w:val="24"/>
          <w:szCs w:val="24"/>
        </w:rPr>
        <w:t>The Christian riteis located in a dedicated place of worship (with exceptions when there are special circumstances) and is a community action led by an ordained minister, and only baptised and confirmed Christians can take the sacrament, (while it seems there is no constraint on whom can perform the spell). The presence of god is brought into the bread and wine by the minister’s prayers and ritual observances, and then received by the congregation, and not summoned by each and every person individually. Although a calendar is adhered to for particular forms of service, there is no cosmological imperative such as is required for the spell.There is a considerable lead-up to the actual act of communion (Visual Aid Two showing everything before/after communion) to put worshippers in the proper frame of mind to receive the sacrament.</w:t>
      </w:r>
    </w:p>
    <w:p w:rsidR="008A261F" w:rsidRPr="00740033" w:rsidRDefault="008A261F" w:rsidP="003C39FB">
      <w:pPr>
        <w:rPr>
          <w:rFonts w:ascii="Arial" w:hAnsi="Arial" w:cs="Arial"/>
          <w:sz w:val="24"/>
          <w:szCs w:val="24"/>
        </w:rPr>
      </w:pPr>
      <w:r w:rsidRPr="00740033">
        <w:rPr>
          <w:rFonts w:ascii="Arial" w:hAnsi="Arial" w:cs="Arial"/>
          <w:sz w:val="24"/>
          <w:szCs w:val="24"/>
        </w:rPr>
        <w:t>Christians pray, spellmakers chant.Both mention Old Testament figures, although Christians don’t perhaps mention Orpheus and Zoroaster.</w:t>
      </w:r>
    </w:p>
    <w:p w:rsidR="008A261F" w:rsidRPr="00740033" w:rsidRDefault="008A261F" w:rsidP="003C39FB">
      <w:pPr>
        <w:rPr>
          <w:rFonts w:ascii="Arial" w:hAnsi="Arial" w:cs="Arial"/>
          <w:sz w:val="24"/>
          <w:szCs w:val="24"/>
        </w:rPr>
      </w:pPr>
      <w:r w:rsidRPr="00740033">
        <w:rPr>
          <w:rFonts w:ascii="Arial" w:hAnsi="Arial" w:cs="Arial"/>
          <w:sz w:val="24"/>
          <w:szCs w:val="24"/>
        </w:rPr>
        <w:t xml:space="preserve">So, why is the spell magic and communion religious?  It’s an interesting point.  To some degree, one could argue that magic is what ‘they’ do and religion is what ‘we’ do; a simple them-and-us divide.  But that’s not only simplistic, it really reflects a very old way of thinking.  Another definition could be that the spell, being for individual gain, is magic, while communion is religious because it’s for the good of the community, or for the souls of the participating communicants.  Or, that the spell is trying to make the god do something, communion is just worship and thanking (it is generally preceding communion that requests, though prayer, are made).  </w:t>
      </w:r>
    </w:p>
    <w:p w:rsidR="008A261F" w:rsidRPr="00740033" w:rsidRDefault="008A261F" w:rsidP="003C39FB">
      <w:pPr>
        <w:rPr>
          <w:rFonts w:ascii="Arial" w:hAnsi="Arial" w:cs="Arial"/>
          <w:sz w:val="24"/>
          <w:szCs w:val="24"/>
        </w:rPr>
      </w:pPr>
      <w:r w:rsidRPr="00740033">
        <w:rPr>
          <w:rFonts w:ascii="Arial" w:hAnsi="Arial" w:cs="Arial"/>
          <w:sz w:val="24"/>
          <w:szCs w:val="24"/>
        </w:rPr>
        <w:t>I said above, Christians pray, spellmakers chant, and I was going to add ‘nonsense words’.  But they’re only nonsense to me, and when I read the footnotes, I found out that some of them had significance I could understand, so presumably, anyone following the spell would have had more understanding again.  So perhaps it’s context, and if we had more of it, we would understand more.</w:t>
      </w:r>
    </w:p>
    <w:p w:rsidR="008A261F" w:rsidRPr="00740033" w:rsidRDefault="008A261F" w:rsidP="003C39FB">
      <w:pPr>
        <w:rPr>
          <w:rFonts w:ascii="Arial" w:hAnsi="Arial" w:cs="Arial"/>
          <w:sz w:val="24"/>
          <w:szCs w:val="24"/>
        </w:rPr>
      </w:pPr>
      <w:r w:rsidRPr="00740033">
        <w:rPr>
          <w:rFonts w:ascii="Arial" w:hAnsi="Arial" w:cs="Arial"/>
          <w:sz w:val="24"/>
          <w:szCs w:val="24"/>
        </w:rPr>
        <w:t>There is a problem, though; we’re looking at communion through 21</w:t>
      </w:r>
      <w:r w:rsidRPr="00740033">
        <w:rPr>
          <w:rFonts w:ascii="Arial" w:hAnsi="Arial" w:cs="Arial"/>
          <w:sz w:val="24"/>
          <w:szCs w:val="24"/>
          <w:vertAlign w:val="superscript"/>
        </w:rPr>
        <w:t>st</w:t>
      </w:r>
      <w:r w:rsidRPr="00740033">
        <w:rPr>
          <w:rFonts w:ascii="Arial" w:hAnsi="Arial" w:cs="Arial"/>
          <w:sz w:val="24"/>
          <w:szCs w:val="24"/>
        </w:rPr>
        <w:t xml:space="preserve"> century, post-enlightenment, ‘rational’ eyes.  Back before the Reformation, one of the problems the priests had was parishioners taking away the Host – the bread used in communion – to use at home in various enchantments and spells of their own, to ward off sickness or protect the house.  So, ultimately, it seems to come down to authority – Communion comes from Christ himself, who became the central figure in Christianity, but magic spells don’t quite have the same authority to us.  But, perhaps, the authorities from whom the spells came – and this spell has mentions of Orpheus and Zoroaster – had all the authority the ancient practitioners needed.</w:t>
      </w:r>
    </w:p>
    <w:p w:rsidR="008A261F" w:rsidRPr="00740033" w:rsidRDefault="008A261F" w:rsidP="003C39FB">
      <w:pPr>
        <w:rPr>
          <w:rFonts w:ascii="Arial" w:hAnsi="Arial" w:cs="Arial"/>
          <w:sz w:val="24"/>
          <w:szCs w:val="24"/>
        </w:rPr>
      </w:pPr>
      <w:r w:rsidRPr="00740033">
        <w:rPr>
          <w:rFonts w:ascii="Arial" w:hAnsi="Arial" w:cs="Arial"/>
          <w:sz w:val="24"/>
          <w:szCs w:val="24"/>
        </w:rPr>
        <w:t>*</w:t>
      </w:r>
    </w:p>
    <w:p w:rsidR="008A261F" w:rsidRPr="00740033" w:rsidRDefault="008A261F" w:rsidP="003C39FB">
      <w:pPr>
        <w:rPr>
          <w:rFonts w:ascii="Arial" w:hAnsi="Arial" w:cs="Arial"/>
          <w:sz w:val="24"/>
          <w:szCs w:val="24"/>
        </w:rPr>
      </w:pPr>
      <w:r w:rsidRPr="00740033">
        <w:rPr>
          <w:rFonts w:ascii="Arial" w:hAnsi="Arial" w:cs="Arial"/>
          <w:sz w:val="24"/>
          <w:szCs w:val="24"/>
        </w:rPr>
        <w:t>I found this exercise really made me think!  There are so many similarities I’m sure many of my Christian churchgoing friends would be decidedly uneasy about it all.  But perhaps it’s not so strange – after all, the roots of communion go back over 2000 years, and just because it’s not changed much really we’ve lost sight of what else was happening then.  So similarities are to be expected, really, which makes the magic/religion divide much more interesting.</w:t>
      </w:r>
    </w:p>
    <w:p w:rsidR="008A261F" w:rsidRDefault="008A261F" w:rsidP="003C39FB">
      <w:pPr>
        <w:rPr>
          <w:rFonts w:ascii="Arial" w:hAnsi="Arial" w:cs="Arial"/>
          <w:sz w:val="24"/>
          <w:szCs w:val="24"/>
        </w:rPr>
      </w:pPr>
      <w:r w:rsidRPr="00740033">
        <w:rPr>
          <w:rFonts w:ascii="Arial" w:hAnsi="Arial" w:cs="Arial"/>
          <w:sz w:val="24"/>
          <w:szCs w:val="24"/>
        </w:rPr>
        <w:t>*</w:t>
      </w:r>
    </w:p>
    <w:p w:rsidR="008A261F" w:rsidRPr="00740033" w:rsidRDefault="008A261F" w:rsidP="003C39FB">
      <w:pPr>
        <w:rPr>
          <w:rFonts w:ascii="Arial" w:hAnsi="Arial" w:cs="Arial"/>
          <w:sz w:val="24"/>
          <w:szCs w:val="24"/>
        </w:rPr>
      </w:pPr>
      <w:r>
        <w:rPr>
          <w:rFonts w:ascii="Arial" w:hAnsi="Arial" w:cs="Arial"/>
          <w:sz w:val="24"/>
          <w:szCs w:val="24"/>
        </w:rPr>
        <w:t>Postscript</w:t>
      </w:r>
    </w:p>
    <w:p w:rsidR="008A261F" w:rsidRDefault="008A261F" w:rsidP="00C5638C">
      <w:pPr>
        <w:rPr>
          <w:rFonts w:ascii="Arial" w:hAnsi="Arial" w:cs="Arial"/>
          <w:sz w:val="24"/>
          <w:szCs w:val="24"/>
        </w:rPr>
      </w:pPr>
      <w:r w:rsidRPr="00740033">
        <w:rPr>
          <w:rFonts w:ascii="Arial" w:hAnsi="Arial" w:cs="Arial"/>
          <w:sz w:val="24"/>
          <w:szCs w:val="24"/>
        </w:rPr>
        <w:t>It was only after writing the above that I had chance to read the Mithras Liturgy in the Greek Magical Papyri.  I had been struck by the use of sound in Spell PGM XIII – the bellowing etc – and in the Mithras Liturgy again there is the use of sound.  Bellowing is explained more fully here, and hissing and popping sounds are used… I can’t help but wonder on the psychological effect these sounds would have had on the practitioners, and was reminded, too, of the way the liturgy around communion is sung – generally in a monotone with variations at the end of a phrase, the two-tone sound of the ‘amen’… which again contrives to set a mood.</w:t>
      </w:r>
    </w:p>
    <w:p w:rsidR="008A261F" w:rsidRDefault="008A261F" w:rsidP="00C5638C">
      <w:pPr>
        <w:rPr>
          <w:rFonts w:ascii="Arial" w:hAnsi="Arial" w:cs="Arial"/>
          <w:sz w:val="24"/>
          <w:szCs w:val="24"/>
        </w:rPr>
      </w:pPr>
    </w:p>
    <w:p w:rsidR="008A261F" w:rsidRPr="00CE3DA6" w:rsidRDefault="008A261F" w:rsidP="00CE3DA6">
      <w:pPr>
        <w:rPr>
          <w:rFonts w:ascii="Arial" w:hAnsi="Arial" w:cs="Arial"/>
          <w:b/>
          <w:sz w:val="24"/>
          <w:szCs w:val="24"/>
        </w:rPr>
      </w:pPr>
      <w:r w:rsidRPr="00CE3DA6">
        <w:rPr>
          <w:rFonts w:ascii="Arial" w:hAnsi="Arial" w:cs="Arial"/>
          <w:b/>
          <w:sz w:val="24"/>
          <w:szCs w:val="24"/>
        </w:rPr>
        <w:t>Further Reading:</w:t>
      </w:r>
    </w:p>
    <w:p w:rsidR="008A261F" w:rsidRPr="00CE3DA6" w:rsidRDefault="008A261F" w:rsidP="00CE3DA6">
      <w:pPr>
        <w:rPr>
          <w:rFonts w:ascii="Arial" w:hAnsi="Arial" w:cs="Arial"/>
          <w:sz w:val="24"/>
          <w:szCs w:val="24"/>
        </w:rPr>
      </w:pPr>
      <w:r w:rsidRPr="00CE3DA6">
        <w:rPr>
          <w:rFonts w:ascii="Arial" w:hAnsi="Arial" w:cs="Arial"/>
          <w:sz w:val="24"/>
          <w:szCs w:val="24"/>
        </w:rPr>
        <w:t>For more on the communion rites of the Church of England, see:</w:t>
      </w:r>
    </w:p>
    <w:p w:rsidR="008A261F" w:rsidRPr="00CE3DA6" w:rsidRDefault="008A261F" w:rsidP="00CE3DA6">
      <w:pPr>
        <w:rPr>
          <w:rFonts w:ascii="Arial" w:hAnsi="Arial" w:cs="Arial"/>
          <w:sz w:val="24"/>
          <w:szCs w:val="24"/>
        </w:rPr>
      </w:pPr>
      <w:hyperlink r:id="rId4" w:history="1">
        <w:r w:rsidRPr="00CE3DA6">
          <w:rPr>
            <w:rStyle w:val="Hyperlink"/>
            <w:rFonts w:ascii="Arial" w:hAnsi="Arial" w:cs="Arial"/>
            <w:sz w:val="24"/>
            <w:szCs w:val="24"/>
          </w:rPr>
          <w:t>https://www.churchofengland.org/prayer-and-worship/worship-texts-and-resources/common-worship/holy-communion</w:t>
        </w:r>
      </w:hyperlink>
    </w:p>
    <w:p w:rsidR="008A261F" w:rsidRDefault="008A261F" w:rsidP="00CE3DA6">
      <w:pPr>
        <w:rPr>
          <w:rFonts w:ascii="Arial" w:hAnsi="Arial" w:cs="Arial"/>
          <w:sz w:val="24"/>
          <w:szCs w:val="24"/>
        </w:rPr>
      </w:pPr>
      <w:r w:rsidRPr="00CE3DA6">
        <w:rPr>
          <w:rFonts w:ascii="Arial" w:hAnsi="Arial" w:cs="Arial"/>
          <w:sz w:val="24"/>
          <w:szCs w:val="24"/>
        </w:rPr>
        <w:t xml:space="preserve">For more on the misuse of the host and of sacramental wine, as well as a vivid picture of pre-Reformation England, see Eamon Duffy’s wonderful The Stripping of the Altars which is now available on JSTOR:  </w:t>
      </w:r>
      <w:hyperlink r:id="rId5" w:history="1">
        <w:r w:rsidRPr="00DB396C">
          <w:rPr>
            <w:rStyle w:val="Hyperlink"/>
            <w:rFonts w:ascii="Arial" w:hAnsi="Arial" w:cs="Arial"/>
            <w:sz w:val="24"/>
            <w:szCs w:val="24"/>
          </w:rPr>
          <w:t>https://www.jstor.org/stable/j.ctt5vm716</w:t>
        </w:r>
      </w:hyperlink>
    </w:p>
    <w:p w:rsidR="008A261F" w:rsidRDefault="008A261F" w:rsidP="00CE3DA6">
      <w:pPr>
        <w:rPr>
          <w:rFonts w:ascii="Arial" w:hAnsi="Arial" w:cs="Arial"/>
          <w:sz w:val="24"/>
          <w:szCs w:val="24"/>
        </w:rPr>
      </w:pPr>
    </w:p>
    <w:p w:rsidR="008A261F" w:rsidRPr="00CE3DA6" w:rsidRDefault="008A261F" w:rsidP="00CE3DA6">
      <w:pPr>
        <w:rPr>
          <w:rFonts w:ascii="Arial" w:hAnsi="Arial" w:cs="Arial"/>
          <w:sz w:val="24"/>
          <w:szCs w:val="24"/>
        </w:rPr>
      </w:pPr>
      <w:r>
        <w:rPr>
          <w:rFonts w:ascii="Arial" w:hAnsi="Arial" w:cs="Arial"/>
          <w:sz w:val="24"/>
          <w:szCs w:val="24"/>
        </w:rPr>
        <w:t>Gillian Moran</w:t>
      </w:r>
      <w:bookmarkStart w:id="0" w:name="_GoBack"/>
      <w:bookmarkEnd w:id="0"/>
    </w:p>
    <w:p w:rsidR="008A261F" w:rsidRPr="00CE3DA6" w:rsidRDefault="008A261F" w:rsidP="00CE3DA6">
      <w:pPr>
        <w:rPr>
          <w:rFonts w:ascii="Arial" w:hAnsi="Arial" w:cs="Arial"/>
          <w:sz w:val="24"/>
          <w:szCs w:val="24"/>
        </w:rPr>
      </w:pPr>
    </w:p>
    <w:p w:rsidR="008A261F" w:rsidRDefault="008A261F" w:rsidP="00C5638C">
      <w:pPr>
        <w:rPr>
          <w:rFonts w:ascii="Arial" w:hAnsi="Arial" w:cs="Arial"/>
          <w:sz w:val="24"/>
          <w:szCs w:val="24"/>
        </w:rPr>
      </w:pPr>
    </w:p>
    <w:p w:rsidR="008A261F" w:rsidRDefault="008A261F" w:rsidP="00C5638C">
      <w:pPr>
        <w:rPr>
          <w:rFonts w:ascii="Arial" w:hAnsi="Arial" w:cs="Arial"/>
          <w:sz w:val="24"/>
          <w:szCs w:val="24"/>
        </w:rPr>
      </w:pPr>
    </w:p>
    <w:p w:rsidR="008A261F" w:rsidRPr="00740033" w:rsidRDefault="008A261F" w:rsidP="00C5638C">
      <w:pPr>
        <w:rPr>
          <w:rFonts w:ascii="Arial" w:hAnsi="Arial" w:cs="Arial"/>
          <w:sz w:val="24"/>
          <w:szCs w:val="24"/>
        </w:rPr>
      </w:pPr>
    </w:p>
    <w:p w:rsidR="008A261F" w:rsidRPr="00740033" w:rsidRDefault="008A261F" w:rsidP="003C39FB">
      <w:pPr>
        <w:rPr>
          <w:rFonts w:ascii="Arial" w:hAnsi="Arial" w:cs="Arial"/>
          <w:sz w:val="24"/>
          <w:szCs w:val="24"/>
        </w:rPr>
      </w:pPr>
    </w:p>
    <w:sectPr w:rsidR="008A261F" w:rsidRPr="00740033" w:rsidSect="003657B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926453"/>
    <w:rsid w:val="000162B3"/>
    <w:rsid w:val="00134713"/>
    <w:rsid w:val="001706F6"/>
    <w:rsid w:val="001B376D"/>
    <w:rsid w:val="001C2B28"/>
    <w:rsid w:val="001D68FD"/>
    <w:rsid w:val="002447CF"/>
    <w:rsid w:val="002A7625"/>
    <w:rsid w:val="002E6D39"/>
    <w:rsid w:val="003657BD"/>
    <w:rsid w:val="003C39FB"/>
    <w:rsid w:val="00434205"/>
    <w:rsid w:val="00507FF6"/>
    <w:rsid w:val="005E175D"/>
    <w:rsid w:val="00640BC9"/>
    <w:rsid w:val="00740033"/>
    <w:rsid w:val="007C2ED8"/>
    <w:rsid w:val="007C5D1A"/>
    <w:rsid w:val="0087533D"/>
    <w:rsid w:val="00885A1E"/>
    <w:rsid w:val="008A261F"/>
    <w:rsid w:val="009170AA"/>
    <w:rsid w:val="00926453"/>
    <w:rsid w:val="00A30CEF"/>
    <w:rsid w:val="00AA009A"/>
    <w:rsid w:val="00AA6585"/>
    <w:rsid w:val="00B11A28"/>
    <w:rsid w:val="00B21A23"/>
    <w:rsid w:val="00B263BF"/>
    <w:rsid w:val="00B53CC7"/>
    <w:rsid w:val="00C150CA"/>
    <w:rsid w:val="00C5638C"/>
    <w:rsid w:val="00CE3DA6"/>
    <w:rsid w:val="00D7789E"/>
    <w:rsid w:val="00DB396C"/>
    <w:rsid w:val="00DD4A79"/>
    <w:rsid w:val="00E67CD7"/>
    <w:rsid w:val="00E82270"/>
    <w:rsid w:val="00EC183A"/>
    <w:rsid w:val="00EC6323"/>
    <w:rsid w:val="00F242B4"/>
    <w:rsid w:val="00F4673C"/>
    <w:rsid w:val="00FA77F6"/>
    <w:rsid w:val="00FB0002"/>
    <w:rsid w:val="00FB39F2"/>
    <w:rsid w:val="00FD7FA3"/>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6453"/>
    <w:pPr>
      <w:spacing w:after="160" w:line="259" w:lineRule="auto"/>
    </w:pPr>
    <w:rPr>
      <w:lang w:val="en-GB"/>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EC183A"/>
    <w:rPr>
      <w:rFonts w:cs="Times New Roman"/>
      <w:color w:val="0563C1"/>
      <w:u w:val="single"/>
    </w:rPr>
  </w:style>
  <w:style w:type="character" w:customStyle="1" w:styleId="UnresolvedMention">
    <w:name w:val="Unresolved Mention"/>
    <w:basedOn w:val="DefaultParagraphFont"/>
    <w:uiPriority w:val="99"/>
    <w:semiHidden/>
    <w:rsid w:val="00EC183A"/>
    <w:rPr>
      <w:rFonts w:cs="Times New Roman"/>
      <w:color w:val="808080"/>
      <w:shd w:val="clear" w:color="auto" w:fill="E6E6E6"/>
    </w:rPr>
  </w:style>
  <w:style w:type="paragraph" w:styleId="BalloonText">
    <w:name w:val="Balloon Text"/>
    <w:basedOn w:val="Normal"/>
    <w:link w:val="BalloonTextChar"/>
    <w:uiPriority w:val="99"/>
    <w:semiHidden/>
    <w:rsid w:val="00FA77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FA77F6"/>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jstor.org/stable/j.ctt5vm716" TargetMode="External"/><Relationship Id="rId4" Type="http://schemas.openxmlformats.org/officeDocument/2006/relationships/hyperlink" Target="https://www.churchofengland.org/prayer-and-worship/worship-texts-and-resources/common-worship/holy-commu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3</Pages>
  <Words>1183</Words>
  <Characters>6749</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and contrast the Christian rite of communion, with a spell in the Greek Magical Papyri</dc:title>
  <dc:subject/>
  <dc:creator>Gill Moran</dc:creator>
  <cp:keywords/>
  <dc:description/>
  <cp:lastModifiedBy>Dorian2</cp:lastModifiedBy>
  <cp:revision>2</cp:revision>
  <cp:lastPrinted>2018-05-14T13:36:00Z</cp:lastPrinted>
  <dcterms:created xsi:type="dcterms:W3CDTF">2018-05-14T14:23:00Z</dcterms:created>
  <dcterms:modified xsi:type="dcterms:W3CDTF">2018-05-14T14:23:00Z</dcterms:modified>
</cp:coreProperties>
</file>