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16036" w14:textId="3A8C31C2" w:rsidR="00937DEB" w:rsidRDefault="00937DEB" w:rsidP="00872734">
      <w:pPr>
        <w:spacing w:line="360" w:lineRule="auto"/>
        <w:rPr>
          <w:rFonts w:ascii="Arial" w:hAnsi="Arial" w:cs="Arial"/>
          <w:b/>
          <w:sz w:val="36"/>
        </w:rPr>
      </w:pPr>
    </w:p>
    <w:p w14:paraId="2324D2E2" w14:textId="77777777" w:rsidR="00937DEB" w:rsidRDefault="00937DEB" w:rsidP="00937DEB">
      <w:pPr>
        <w:spacing w:line="360" w:lineRule="auto"/>
        <w:jc w:val="center"/>
        <w:rPr>
          <w:rFonts w:ascii="Arial" w:hAnsi="Arial" w:cs="Arial"/>
          <w:b/>
          <w:sz w:val="36"/>
        </w:rPr>
      </w:pPr>
    </w:p>
    <w:p w14:paraId="56BAE4B8" w14:textId="77777777" w:rsidR="00937DEB" w:rsidRDefault="00937DEB" w:rsidP="00872734">
      <w:pPr>
        <w:spacing w:line="360" w:lineRule="auto"/>
        <w:jc w:val="center"/>
        <w:rPr>
          <w:rFonts w:ascii="Arial" w:hAnsi="Arial" w:cs="Arial"/>
          <w:b/>
          <w:sz w:val="36"/>
        </w:rPr>
      </w:pPr>
    </w:p>
    <w:p w14:paraId="22425802" w14:textId="12604973" w:rsidR="00937DEB" w:rsidRDefault="00163290" w:rsidP="00872734">
      <w:pPr>
        <w:spacing w:line="360" w:lineRule="auto"/>
        <w:jc w:val="center"/>
        <w:rPr>
          <w:rFonts w:ascii="Arial" w:hAnsi="Arial" w:cs="Arial"/>
          <w:b/>
          <w:sz w:val="36"/>
        </w:rPr>
      </w:pPr>
      <w:r>
        <w:rPr>
          <w:rFonts w:ascii="Arial" w:hAnsi="Arial" w:cs="Arial"/>
          <w:b/>
          <w:sz w:val="36"/>
        </w:rPr>
        <w:t>Module: Managing People</w:t>
      </w:r>
    </w:p>
    <w:p w14:paraId="66371160" w14:textId="21CB9E42" w:rsidR="00937DEB" w:rsidRPr="00163290" w:rsidRDefault="00163290" w:rsidP="00872734">
      <w:pPr>
        <w:spacing w:line="360" w:lineRule="auto"/>
        <w:jc w:val="center"/>
        <w:rPr>
          <w:rFonts w:ascii="Arial" w:hAnsi="Arial" w:cs="Arial"/>
          <w:b/>
          <w:sz w:val="36"/>
          <w:szCs w:val="36"/>
        </w:rPr>
      </w:pPr>
      <w:r>
        <w:rPr>
          <w:rFonts w:ascii="Arial" w:hAnsi="Arial" w:cs="Arial"/>
          <w:b/>
          <w:sz w:val="36"/>
          <w:szCs w:val="36"/>
        </w:rPr>
        <w:t>Assignment Title: Individual Report</w:t>
      </w:r>
    </w:p>
    <w:p w14:paraId="69A2891B" w14:textId="12EE6C64" w:rsidR="00937DEB" w:rsidRPr="00163290" w:rsidRDefault="00937DEB" w:rsidP="00872734">
      <w:pPr>
        <w:spacing w:line="360" w:lineRule="auto"/>
        <w:jc w:val="center"/>
        <w:rPr>
          <w:rFonts w:ascii="Arial" w:hAnsi="Arial" w:cs="Arial"/>
          <w:b/>
          <w:sz w:val="36"/>
          <w:szCs w:val="36"/>
        </w:rPr>
      </w:pPr>
      <w:r w:rsidRPr="00163290">
        <w:rPr>
          <w:rFonts w:ascii="Arial" w:hAnsi="Arial" w:cs="Arial"/>
          <w:b/>
          <w:sz w:val="36"/>
          <w:szCs w:val="36"/>
        </w:rPr>
        <w:t>Student Name</w:t>
      </w:r>
      <w:r w:rsidR="00163290" w:rsidRPr="00163290">
        <w:rPr>
          <w:rFonts w:ascii="Arial" w:hAnsi="Arial" w:cs="Arial"/>
          <w:b/>
          <w:sz w:val="36"/>
          <w:szCs w:val="36"/>
        </w:rPr>
        <w:t>: Casiana Danci</w:t>
      </w:r>
    </w:p>
    <w:p w14:paraId="2AED6083" w14:textId="2910C5AC" w:rsidR="00163290" w:rsidRPr="00163290" w:rsidRDefault="00937DEB" w:rsidP="00872734">
      <w:pPr>
        <w:spacing w:line="360" w:lineRule="auto"/>
        <w:jc w:val="center"/>
        <w:rPr>
          <w:rFonts w:ascii="Arial" w:hAnsi="Arial" w:cs="Arial"/>
          <w:b/>
          <w:sz w:val="36"/>
          <w:szCs w:val="36"/>
        </w:rPr>
      </w:pPr>
      <w:r w:rsidRPr="00163290">
        <w:rPr>
          <w:rFonts w:ascii="Arial" w:hAnsi="Arial" w:cs="Arial"/>
          <w:b/>
          <w:sz w:val="36"/>
          <w:szCs w:val="36"/>
        </w:rPr>
        <w:t>Student ID</w:t>
      </w:r>
      <w:r w:rsidR="00163290" w:rsidRPr="00163290">
        <w:rPr>
          <w:rFonts w:ascii="Arial" w:hAnsi="Arial" w:cs="Arial"/>
          <w:b/>
          <w:sz w:val="36"/>
          <w:szCs w:val="36"/>
        </w:rPr>
        <w:t>: 2225536</w:t>
      </w:r>
      <w:r w:rsidR="00163290" w:rsidRPr="00163290">
        <w:rPr>
          <w:rFonts w:ascii="Arial" w:hAnsi="Arial" w:cs="Arial"/>
          <w:b/>
          <w:sz w:val="36"/>
          <w:szCs w:val="36"/>
        </w:rPr>
        <w:br/>
        <w:t>Module Code: LCBB5004</w:t>
      </w:r>
    </w:p>
    <w:p w14:paraId="037C1B99" w14:textId="6D5244B8" w:rsidR="00163290" w:rsidRPr="00163290" w:rsidRDefault="00163290" w:rsidP="00872734">
      <w:pPr>
        <w:spacing w:line="360" w:lineRule="auto"/>
        <w:jc w:val="center"/>
        <w:rPr>
          <w:rFonts w:ascii="Arial" w:hAnsi="Arial" w:cs="Arial"/>
          <w:b/>
          <w:sz w:val="36"/>
          <w:szCs w:val="36"/>
        </w:rPr>
      </w:pPr>
      <w:r w:rsidRPr="00163290">
        <w:rPr>
          <w:rFonts w:ascii="Arial" w:hAnsi="Arial" w:cs="Arial"/>
          <w:b/>
          <w:sz w:val="36"/>
          <w:szCs w:val="36"/>
        </w:rPr>
        <w:t xml:space="preserve">Lecturer: Dr Imo </w:t>
      </w:r>
      <w:proofErr w:type="spellStart"/>
      <w:r w:rsidRPr="00163290">
        <w:rPr>
          <w:rFonts w:ascii="Arial" w:hAnsi="Arial" w:cs="Arial"/>
          <w:b/>
          <w:sz w:val="36"/>
          <w:szCs w:val="36"/>
        </w:rPr>
        <w:t>Enang</w:t>
      </w:r>
      <w:proofErr w:type="spellEnd"/>
    </w:p>
    <w:p w14:paraId="08234853" w14:textId="77777777" w:rsidR="00163290" w:rsidRDefault="00163290" w:rsidP="00163290">
      <w:pPr>
        <w:spacing w:line="360" w:lineRule="auto"/>
        <w:jc w:val="center"/>
        <w:rPr>
          <w:rFonts w:ascii="Arial" w:hAnsi="Arial" w:cs="Arial"/>
          <w:b/>
          <w:sz w:val="36"/>
        </w:rPr>
      </w:pPr>
    </w:p>
    <w:p w14:paraId="0AA999EE" w14:textId="77777777" w:rsidR="00163290" w:rsidRDefault="00163290" w:rsidP="00937DEB">
      <w:pPr>
        <w:spacing w:line="360" w:lineRule="auto"/>
        <w:jc w:val="center"/>
        <w:rPr>
          <w:rFonts w:ascii="Arial" w:hAnsi="Arial" w:cs="Arial"/>
          <w:b/>
          <w:sz w:val="36"/>
        </w:rPr>
      </w:pPr>
    </w:p>
    <w:p w14:paraId="1E2DF8BF" w14:textId="77777777" w:rsidR="00937DEB" w:rsidRDefault="00937DEB" w:rsidP="00937DEB">
      <w:r>
        <w:br w:type="page"/>
      </w:r>
    </w:p>
    <w:p w14:paraId="64AC8922" w14:textId="77777777" w:rsidR="00937DEB" w:rsidRDefault="00937DEB">
      <w:pPr>
        <w:rPr>
          <w:rFonts w:ascii="Arial" w:eastAsiaTheme="majorEastAsia" w:hAnsi="Arial" w:cs="Arial"/>
          <w:b/>
          <w:bCs/>
          <w:color w:val="365F91" w:themeColor="accent1" w:themeShade="BF"/>
          <w:sz w:val="28"/>
          <w:szCs w:val="28"/>
        </w:rPr>
      </w:pPr>
    </w:p>
    <w:p w14:paraId="4A15BDB6" w14:textId="77777777" w:rsidR="00937DEB" w:rsidRPr="00937DEB" w:rsidRDefault="00937DEB" w:rsidP="00937DEB">
      <w:pPr>
        <w:pStyle w:val="Heading1"/>
        <w:spacing w:line="360" w:lineRule="auto"/>
        <w:jc w:val="both"/>
        <w:rPr>
          <w:rFonts w:ascii="Arial" w:hAnsi="Arial" w:cs="Arial"/>
        </w:rPr>
      </w:pPr>
      <w:bookmarkStart w:id="0" w:name="_Toc162440330"/>
      <w:r w:rsidRPr="00937DEB">
        <w:rPr>
          <w:rFonts w:ascii="Arial" w:hAnsi="Arial" w:cs="Arial"/>
        </w:rPr>
        <w:t>Abstract</w:t>
      </w:r>
      <w:bookmarkEnd w:id="0"/>
      <w:r w:rsidRPr="00937DEB">
        <w:rPr>
          <w:rFonts w:ascii="Arial" w:hAnsi="Arial" w:cs="Arial"/>
        </w:rPr>
        <w:t xml:space="preserve"> </w:t>
      </w:r>
    </w:p>
    <w:p w14:paraId="3F1BB939"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This research explores the effects and value of the implementing of flexible working arrangements in an industrial setting of </w:t>
      </w:r>
      <w:proofErr w:type="spellStart"/>
      <w:r w:rsidRPr="00937DEB">
        <w:rPr>
          <w:rFonts w:ascii="Arial" w:hAnsi="Arial" w:cs="Arial"/>
          <w:sz w:val="24"/>
        </w:rPr>
        <w:t>AgroTools</w:t>
      </w:r>
      <w:proofErr w:type="spellEnd"/>
      <w:r w:rsidRPr="00937DEB">
        <w:rPr>
          <w:rFonts w:ascii="Arial" w:hAnsi="Arial" w:cs="Arial"/>
          <w:sz w:val="24"/>
        </w:rPr>
        <w:t>, a big tools maker company based in the West Midlands. In the face of changed COVID-19 scenery, the organization must find a suitable environment to adapt the existing work structure to new requirements of the contemporary world labour force.</w:t>
      </w:r>
    </w:p>
    <w:p w14:paraId="259D8BD6"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In what appears to be a universal reaction to the COVID-19 outbreak, a change in attitudes towards handling working conditions has arisen and </w:t>
      </w:r>
      <w:proofErr w:type="spellStart"/>
      <w:r w:rsidRPr="00937DEB">
        <w:rPr>
          <w:rFonts w:ascii="Arial" w:hAnsi="Arial" w:cs="Arial"/>
          <w:sz w:val="24"/>
        </w:rPr>
        <w:t>AgroTools</w:t>
      </w:r>
      <w:proofErr w:type="spellEnd"/>
      <w:r w:rsidRPr="00937DEB">
        <w:rPr>
          <w:rFonts w:ascii="Arial" w:hAnsi="Arial" w:cs="Arial"/>
          <w:sz w:val="24"/>
        </w:rPr>
        <w:t xml:space="preserve"> has had to rethink its old working structure and embrace the model of flexible working.  Flexible work schedules bring numerous blessings in the form of good work-life balance, greater productivity levels and higher motivation levels among the employees. Before </w:t>
      </w:r>
      <w:proofErr w:type="spellStart"/>
      <w:r w:rsidRPr="00937DEB">
        <w:rPr>
          <w:rFonts w:ascii="Arial" w:hAnsi="Arial" w:cs="Arial"/>
          <w:sz w:val="24"/>
        </w:rPr>
        <w:t>AgroTools</w:t>
      </w:r>
      <w:proofErr w:type="spellEnd"/>
      <w:r w:rsidRPr="00937DEB">
        <w:rPr>
          <w:rFonts w:ascii="Arial" w:hAnsi="Arial" w:cs="Arial"/>
          <w:sz w:val="24"/>
        </w:rPr>
        <w:t xml:space="preserve"> goes with introducing flexible working arrangements, it is important to assess the impact of the shift on better and worse performing sites, technological requirements, and potential operational bottlenecks</w:t>
      </w:r>
    </w:p>
    <w:p w14:paraId="280A5933" w14:textId="77777777" w:rsidR="00937DEB" w:rsidRDefault="00937DEB" w:rsidP="00937DEB">
      <w:pPr>
        <w:spacing w:line="360" w:lineRule="auto"/>
        <w:jc w:val="both"/>
        <w:rPr>
          <w:rFonts w:ascii="Arial" w:hAnsi="Arial" w:cs="Arial"/>
          <w:sz w:val="24"/>
        </w:rPr>
      </w:pPr>
      <w:r w:rsidRPr="00937DEB">
        <w:rPr>
          <w:rFonts w:ascii="Arial" w:hAnsi="Arial" w:cs="Arial"/>
          <w:sz w:val="24"/>
        </w:rPr>
        <w:t>Various aspects need to be considered in developing a pay structure that works well in a flexible working environment. These include the adjustment of hourly wages salaries and performance-based rewards. Equating job-role and regional compensation is intrinsic to receiving employee morale and justness. Strategies that aid employee engagement through the transition to flexi working encompass transparent communication, complete training, team work promotion, as well as employee impact realization.</w:t>
      </w:r>
    </w:p>
    <w:p w14:paraId="300CC5CE" w14:textId="77777777" w:rsidR="00937DEB" w:rsidRDefault="00937DEB" w:rsidP="00937DEB">
      <w:r>
        <w:br w:type="page"/>
      </w:r>
    </w:p>
    <w:sdt>
      <w:sdtPr>
        <w:rPr>
          <w:rFonts w:asciiTheme="minorHAnsi" w:eastAsiaTheme="minorHAnsi" w:hAnsiTheme="minorHAnsi" w:cstheme="minorBidi"/>
          <w:b w:val="0"/>
          <w:bCs w:val="0"/>
          <w:color w:val="auto"/>
          <w:sz w:val="22"/>
          <w:szCs w:val="22"/>
          <w:lang w:val="en-GB" w:eastAsia="en-US"/>
        </w:rPr>
        <w:id w:val="1473721555"/>
        <w:docPartObj>
          <w:docPartGallery w:val="Table of Contents"/>
          <w:docPartUnique/>
        </w:docPartObj>
      </w:sdtPr>
      <w:sdtEndPr>
        <w:rPr>
          <w:noProof/>
        </w:rPr>
      </w:sdtEndPr>
      <w:sdtContent>
        <w:p w14:paraId="750D463A" w14:textId="77777777" w:rsidR="00937DEB" w:rsidRDefault="00937DEB">
          <w:pPr>
            <w:pStyle w:val="TOCHeading"/>
          </w:pPr>
          <w:r>
            <w:t>Contents</w:t>
          </w:r>
        </w:p>
        <w:p w14:paraId="194C0979" w14:textId="140C9531" w:rsidR="0058523B" w:rsidRDefault="00937D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2440330" w:history="1">
            <w:r w:rsidR="0058523B" w:rsidRPr="00383FED">
              <w:rPr>
                <w:rStyle w:val="Hyperlink"/>
                <w:rFonts w:ascii="Arial" w:hAnsi="Arial" w:cs="Arial"/>
                <w:noProof/>
              </w:rPr>
              <w:t>Abstract</w:t>
            </w:r>
            <w:r w:rsidR="0058523B">
              <w:rPr>
                <w:noProof/>
                <w:webHidden/>
              </w:rPr>
              <w:tab/>
            </w:r>
            <w:r w:rsidR="0058523B">
              <w:rPr>
                <w:noProof/>
                <w:webHidden/>
              </w:rPr>
              <w:fldChar w:fldCharType="begin"/>
            </w:r>
            <w:r w:rsidR="0058523B">
              <w:rPr>
                <w:noProof/>
                <w:webHidden/>
              </w:rPr>
              <w:instrText xml:space="preserve"> PAGEREF _Toc162440330 \h </w:instrText>
            </w:r>
            <w:r w:rsidR="0058523B">
              <w:rPr>
                <w:noProof/>
                <w:webHidden/>
              </w:rPr>
            </w:r>
            <w:r w:rsidR="0058523B">
              <w:rPr>
                <w:noProof/>
                <w:webHidden/>
              </w:rPr>
              <w:fldChar w:fldCharType="separate"/>
            </w:r>
            <w:r w:rsidR="00872734">
              <w:rPr>
                <w:noProof/>
                <w:webHidden/>
              </w:rPr>
              <w:t>1</w:t>
            </w:r>
            <w:r w:rsidR="0058523B">
              <w:rPr>
                <w:noProof/>
                <w:webHidden/>
              </w:rPr>
              <w:fldChar w:fldCharType="end"/>
            </w:r>
          </w:hyperlink>
        </w:p>
        <w:p w14:paraId="151417BD" w14:textId="6B8FAC86" w:rsidR="0058523B" w:rsidRDefault="00000000">
          <w:pPr>
            <w:pStyle w:val="TOC1"/>
            <w:tabs>
              <w:tab w:val="right" w:leader="dot" w:pos="9016"/>
            </w:tabs>
            <w:rPr>
              <w:rFonts w:eastAsiaTheme="minorEastAsia"/>
              <w:noProof/>
              <w:lang w:eastAsia="en-GB"/>
            </w:rPr>
          </w:pPr>
          <w:hyperlink w:anchor="_Toc162440331" w:history="1">
            <w:r w:rsidR="0058523B" w:rsidRPr="00383FED">
              <w:rPr>
                <w:rStyle w:val="Hyperlink"/>
                <w:rFonts w:ascii="Arial" w:hAnsi="Arial" w:cs="Arial"/>
                <w:noProof/>
              </w:rPr>
              <w:t>Introduction</w:t>
            </w:r>
            <w:r w:rsidR="0058523B">
              <w:rPr>
                <w:noProof/>
                <w:webHidden/>
              </w:rPr>
              <w:tab/>
            </w:r>
            <w:r w:rsidR="0058523B">
              <w:rPr>
                <w:noProof/>
                <w:webHidden/>
              </w:rPr>
              <w:fldChar w:fldCharType="begin"/>
            </w:r>
            <w:r w:rsidR="0058523B">
              <w:rPr>
                <w:noProof/>
                <w:webHidden/>
              </w:rPr>
              <w:instrText xml:space="preserve"> PAGEREF _Toc162440331 \h </w:instrText>
            </w:r>
            <w:r w:rsidR="0058523B">
              <w:rPr>
                <w:noProof/>
                <w:webHidden/>
              </w:rPr>
            </w:r>
            <w:r w:rsidR="0058523B">
              <w:rPr>
                <w:noProof/>
                <w:webHidden/>
              </w:rPr>
              <w:fldChar w:fldCharType="separate"/>
            </w:r>
            <w:r w:rsidR="00872734">
              <w:rPr>
                <w:noProof/>
                <w:webHidden/>
              </w:rPr>
              <w:t>3</w:t>
            </w:r>
            <w:r w:rsidR="0058523B">
              <w:rPr>
                <w:noProof/>
                <w:webHidden/>
              </w:rPr>
              <w:fldChar w:fldCharType="end"/>
            </w:r>
          </w:hyperlink>
        </w:p>
        <w:p w14:paraId="3EDF6AA7" w14:textId="461F5CD1" w:rsidR="0058523B" w:rsidRDefault="00000000">
          <w:pPr>
            <w:pStyle w:val="TOC1"/>
            <w:tabs>
              <w:tab w:val="right" w:leader="dot" w:pos="9016"/>
            </w:tabs>
            <w:rPr>
              <w:rFonts w:eastAsiaTheme="minorEastAsia"/>
              <w:noProof/>
              <w:lang w:eastAsia="en-GB"/>
            </w:rPr>
          </w:pPr>
          <w:hyperlink w:anchor="_Toc162440332" w:history="1">
            <w:r w:rsidR="0058523B" w:rsidRPr="00383FED">
              <w:rPr>
                <w:rStyle w:val="Hyperlink"/>
                <w:rFonts w:ascii="Arial" w:hAnsi="Arial" w:cs="Arial"/>
                <w:noProof/>
              </w:rPr>
              <w:t>Benefits of Implementing Work Strategies</w:t>
            </w:r>
            <w:r w:rsidR="0058523B">
              <w:rPr>
                <w:noProof/>
                <w:webHidden/>
              </w:rPr>
              <w:tab/>
            </w:r>
            <w:r w:rsidR="0058523B">
              <w:rPr>
                <w:noProof/>
                <w:webHidden/>
              </w:rPr>
              <w:fldChar w:fldCharType="begin"/>
            </w:r>
            <w:r w:rsidR="0058523B">
              <w:rPr>
                <w:noProof/>
                <w:webHidden/>
              </w:rPr>
              <w:instrText xml:space="preserve"> PAGEREF _Toc162440332 \h </w:instrText>
            </w:r>
            <w:r w:rsidR="0058523B">
              <w:rPr>
                <w:noProof/>
                <w:webHidden/>
              </w:rPr>
            </w:r>
            <w:r w:rsidR="0058523B">
              <w:rPr>
                <w:noProof/>
                <w:webHidden/>
              </w:rPr>
              <w:fldChar w:fldCharType="separate"/>
            </w:r>
            <w:r w:rsidR="00872734">
              <w:rPr>
                <w:noProof/>
                <w:webHidden/>
              </w:rPr>
              <w:t>4</w:t>
            </w:r>
            <w:r w:rsidR="0058523B">
              <w:rPr>
                <w:noProof/>
                <w:webHidden/>
              </w:rPr>
              <w:fldChar w:fldCharType="end"/>
            </w:r>
          </w:hyperlink>
        </w:p>
        <w:p w14:paraId="1C0B5CF7" w14:textId="5A3D3879" w:rsidR="0058523B" w:rsidRDefault="00000000">
          <w:pPr>
            <w:pStyle w:val="TOC1"/>
            <w:tabs>
              <w:tab w:val="right" w:leader="dot" w:pos="9016"/>
            </w:tabs>
            <w:rPr>
              <w:rFonts w:eastAsiaTheme="minorEastAsia"/>
              <w:noProof/>
              <w:lang w:eastAsia="en-GB"/>
            </w:rPr>
          </w:pPr>
          <w:hyperlink w:anchor="_Toc162440333" w:history="1">
            <w:r w:rsidR="0058523B" w:rsidRPr="00383FED">
              <w:rPr>
                <w:rStyle w:val="Hyperlink"/>
                <w:rFonts w:ascii="Arial" w:hAnsi="Arial" w:cs="Arial"/>
                <w:noProof/>
              </w:rPr>
              <w:t>Considerations before Implementation</w:t>
            </w:r>
            <w:r w:rsidR="0058523B">
              <w:rPr>
                <w:noProof/>
                <w:webHidden/>
              </w:rPr>
              <w:tab/>
            </w:r>
            <w:r w:rsidR="0058523B">
              <w:rPr>
                <w:noProof/>
                <w:webHidden/>
              </w:rPr>
              <w:fldChar w:fldCharType="begin"/>
            </w:r>
            <w:r w:rsidR="0058523B">
              <w:rPr>
                <w:noProof/>
                <w:webHidden/>
              </w:rPr>
              <w:instrText xml:space="preserve"> PAGEREF _Toc162440333 \h </w:instrText>
            </w:r>
            <w:r w:rsidR="0058523B">
              <w:rPr>
                <w:noProof/>
                <w:webHidden/>
              </w:rPr>
            </w:r>
            <w:r w:rsidR="0058523B">
              <w:rPr>
                <w:noProof/>
                <w:webHidden/>
              </w:rPr>
              <w:fldChar w:fldCharType="separate"/>
            </w:r>
            <w:r w:rsidR="00872734">
              <w:rPr>
                <w:noProof/>
                <w:webHidden/>
              </w:rPr>
              <w:t>5</w:t>
            </w:r>
            <w:r w:rsidR="0058523B">
              <w:rPr>
                <w:noProof/>
                <w:webHidden/>
              </w:rPr>
              <w:fldChar w:fldCharType="end"/>
            </w:r>
          </w:hyperlink>
        </w:p>
        <w:p w14:paraId="7AFA3077" w14:textId="7F996611" w:rsidR="0058523B" w:rsidRDefault="00000000">
          <w:pPr>
            <w:pStyle w:val="TOC1"/>
            <w:tabs>
              <w:tab w:val="right" w:leader="dot" w:pos="9016"/>
            </w:tabs>
            <w:rPr>
              <w:rFonts w:eastAsiaTheme="minorEastAsia"/>
              <w:noProof/>
              <w:lang w:eastAsia="en-GB"/>
            </w:rPr>
          </w:pPr>
          <w:hyperlink w:anchor="_Toc162440334" w:history="1">
            <w:r w:rsidR="0058523B" w:rsidRPr="00383FED">
              <w:rPr>
                <w:rStyle w:val="Hyperlink"/>
                <w:rFonts w:ascii="Arial" w:hAnsi="Arial" w:cs="Arial"/>
                <w:noProof/>
              </w:rPr>
              <w:t>Reconfiguration of Pay Structure</w:t>
            </w:r>
            <w:r w:rsidR="0058523B">
              <w:rPr>
                <w:noProof/>
                <w:webHidden/>
              </w:rPr>
              <w:tab/>
            </w:r>
            <w:r w:rsidR="0058523B">
              <w:rPr>
                <w:noProof/>
                <w:webHidden/>
              </w:rPr>
              <w:fldChar w:fldCharType="begin"/>
            </w:r>
            <w:r w:rsidR="0058523B">
              <w:rPr>
                <w:noProof/>
                <w:webHidden/>
              </w:rPr>
              <w:instrText xml:space="preserve"> PAGEREF _Toc162440334 \h </w:instrText>
            </w:r>
            <w:r w:rsidR="0058523B">
              <w:rPr>
                <w:noProof/>
                <w:webHidden/>
              </w:rPr>
            </w:r>
            <w:r w:rsidR="0058523B">
              <w:rPr>
                <w:noProof/>
                <w:webHidden/>
              </w:rPr>
              <w:fldChar w:fldCharType="separate"/>
            </w:r>
            <w:r w:rsidR="00872734">
              <w:rPr>
                <w:noProof/>
                <w:webHidden/>
              </w:rPr>
              <w:t>6</w:t>
            </w:r>
            <w:r w:rsidR="0058523B">
              <w:rPr>
                <w:noProof/>
                <w:webHidden/>
              </w:rPr>
              <w:fldChar w:fldCharType="end"/>
            </w:r>
          </w:hyperlink>
        </w:p>
        <w:p w14:paraId="6B224308" w14:textId="0C0255C7" w:rsidR="0058523B" w:rsidRDefault="00000000">
          <w:pPr>
            <w:pStyle w:val="TOC1"/>
            <w:tabs>
              <w:tab w:val="right" w:leader="dot" w:pos="9016"/>
            </w:tabs>
            <w:rPr>
              <w:rFonts w:eastAsiaTheme="minorEastAsia"/>
              <w:noProof/>
              <w:lang w:eastAsia="en-GB"/>
            </w:rPr>
          </w:pPr>
          <w:hyperlink w:anchor="_Toc162440335" w:history="1">
            <w:r w:rsidR="0058523B" w:rsidRPr="00383FED">
              <w:rPr>
                <w:rStyle w:val="Hyperlink"/>
                <w:rFonts w:ascii="Arial" w:hAnsi="Arial" w:cs="Arial"/>
                <w:noProof/>
              </w:rPr>
              <w:t>Strategies to Promote Employee Engagement</w:t>
            </w:r>
            <w:r w:rsidR="0058523B">
              <w:rPr>
                <w:noProof/>
                <w:webHidden/>
              </w:rPr>
              <w:tab/>
            </w:r>
            <w:r w:rsidR="0058523B">
              <w:rPr>
                <w:noProof/>
                <w:webHidden/>
              </w:rPr>
              <w:fldChar w:fldCharType="begin"/>
            </w:r>
            <w:r w:rsidR="0058523B">
              <w:rPr>
                <w:noProof/>
                <w:webHidden/>
              </w:rPr>
              <w:instrText xml:space="preserve"> PAGEREF _Toc162440335 \h </w:instrText>
            </w:r>
            <w:r w:rsidR="0058523B">
              <w:rPr>
                <w:noProof/>
                <w:webHidden/>
              </w:rPr>
            </w:r>
            <w:r w:rsidR="0058523B">
              <w:rPr>
                <w:noProof/>
                <w:webHidden/>
              </w:rPr>
              <w:fldChar w:fldCharType="separate"/>
            </w:r>
            <w:r w:rsidR="00872734">
              <w:rPr>
                <w:noProof/>
                <w:webHidden/>
              </w:rPr>
              <w:t>7</w:t>
            </w:r>
            <w:r w:rsidR="0058523B">
              <w:rPr>
                <w:noProof/>
                <w:webHidden/>
              </w:rPr>
              <w:fldChar w:fldCharType="end"/>
            </w:r>
          </w:hyperlink>
        </w:p>
        <w:p w14:paraId="1C728936" w14:textId="05F23F55" w:rsidR="0058523B" w:rsidRDefault="00000000">
          <w:pPr>
            <w:pStyle w:val="TOC1"/>
            <w:tabs>
              <w:tab w:val="right" w:leader="dot" w:pos="9016"/>
            </w:tabs>
            <w:rPr>
              <w:rFonts w:eastAsiaTheme="minorEastAsia"/>
              <w:noProof/>
              <w:lang w:eastAsia="en-GB"/>
            </w:rPr>
          </w:pPr>
          <w:hyperlink w:anchor="_Toc162440336" w:history="1">
            <w:r w:rsidR="0058523B" w:rsidRPr="00383FED">
              <w:rPr>
                <w:rStyle w:val="Hyperlink"/>
                <w:rFonts w:ascii="Arial" w:hAnsi="Arial" w:cs="Arial"/>
                <w:noProof/>
              </w:rPr>
              <w:t>Conclusion</w:t>
            </w:r>
            <w:r w:rsidR="0058523B">
              <w:rPr>
                <w:noProof/>
                <w:webHidden/>
              </w:rPr>
              <w:tab/>
            </w:r>
            <w:r w:rsidR="0058523B">
              <w:rPr>
                <w:noProof/>
                <w:webHidden/>
              </w:rPr>
              <w:fldChar w:fldCharType="begin"/>
            </w:r>
            <w:r w:rsidR="0058523B">
              <w:rPr>
                <w:noProof/>
                <w:webHidden/>
              </w:rPr>
              <w:instrText xml:space="preserve"> PAGEREF _Toc162440336 \h </w:instrText>
            </w:r>
            <w:r w:rsidR="0058523B">
              <w:rPr>
                <w:noProof/>
                <w:webHidden/>
              </w:rPr>
            </w:r>
            <w:r w:rsidR="0058523B">
              <w:rPr>
                <w:noProof/>
                <w:webHidden/>
              </w:rPr>
              <w:fldChar w:fldCharType="separate"/>
            </w:r>
            <w:r w:rsidR="00872734">
              <w:rPr>
                <w:noProof/>
                <w:webHidden/>
              </w:rPr>
              <w:t>9</w:t>
            </w:r>
            <w:r w:rsidR="0058523B">
              <w:rPr>
                <w:noProof/>
                <w:webHidden/>
              </w:rPr>
              <w:fldChar w:fldCharType="end"/>
            </w:r>
          </w:hyperlink>
        </w:p>
        <w:p w14:paraId="7106A778" w14:textId="15E16907" w:rsidR="0058523B" w:rsidRDefault="00000000">
          <w:pPr>
            <w:pStyle w:val="TOC1"/>
            <w:tabs>
              <w:tab w:val="right" w:leader="dot" w:pos="9016"/>
            </w:tabs>
            <w:rPr>
              <w:rFonts w:eastAsiaTheme="minorEastAsia"/>
              <w:noProof/>
              <w:lang w:eastAsia="en-GB"/>
            </w:rPr>
          </w:pPr>
          <w:hyperlink w:anchor="_Toc162440337" w:history="1">
            <w:r w:rsidR="0058523B" w:rsidRPr="00383FED">
              <w:rPr>
                <w:rStyle w:val="Hyperlink"/>
                <w:rFonts w:ascii="Arial" w:hAnsi="Arial" w:cs="Arial"/>
                <w:noProof/>
              </w:rPr>
              <w:t>References</w:t>
            </w:r>
            <w:r w:rsidR="0058523B">
              <w:rPr>
                <w:noProof/>
                <w:webHidden/>
              </w:rPr>
              <w:tab/>
            </w:r>
            <w:r w:rsidR="0058523B">
              <w:rPr>
                <w:noProof/>
                <w:webHidden/>
              </w:rPr>
              <w:fldChar w:fldCharType="begin"/>
            </w:r>
            <w:r w:rsidR="0058523B">
              <w:rPr>
                <w:noProof/>
                <w:webHidden/>
              </w:rPr>
              <w:instrText xml:space="preserve"> PAGEREF _Toc162440337 \h </w:instrText>
            </w:r>
            <w:r w:rsidR="0058523B">
              <w:rPr>
                <w:noProof/>
                <w:webHidden/>
              </w:rPr>
            </w:r>
            <w:r w:rsidR="0058523B">
              <w:rPr>
                <w:noProof/>
                <w:webHidden/>
              </w:rPr>
              <w:fldChar w:fldCharType="separate"/>
            </w:r>
            <w:r w:rsidR="00872734">
              <w:rPr>
                <w:noProof/>
                <w:webHidden/>
              </w:rPr>
              <w:t>10</w:t>
            </w:r>
            <w:r w:rsidR="0058523B">
              <w:rPr>
                <w:noProof/>
                <w:webHidden/>
              </w:rPr>
              <w:fldChar w:fldCharType="end"/>
            </w:r>
          </w:hyperlink>
        </w:p>
        <w:p w14:paraId="2753920B" w14:textId="77777777" w:rsidR="00937DEB" w:rsidRDefault="00937DEB">
          <w:r>
            <w:rPr>
              <w:b/>
              <w:bCs/>
              <w:noProof/>
            </w:rPr>
            <w:fldChar w:fldCharType="end"/>
          </w:r>
        </w:p>
      </w:sdtContent>
    </w:sdt>
    <w:p w14:paraId="4C1675C1" w14:textId="77777777" w:rsidR="00937DEB" w:rsidRPr="00937DEB" w:rsidRDefault="00937DEB" w:rsidP="00937DEB">
      <w:pPr>
        <w:spacing w:line="360" w:lineRule="auto"/>
        <w:jc w:val="both"/>
        <w:rPr>
          <w:rFonts w:ascii="Arial" w:eastAsiaTheme="majorEastAsia" w:hAnsi="Arial" w:cs="Arial"/>
          <w:b/>
          <w:bCs/>
          <w:color w:val="365F91" w:themeColor="accent1" w:themeShade="BF"/>
          <w:sz w:val="32"/>
          <w:szCs w:val="28"/>
        </w:rPr>
      </w:pPr>
      <w:r w:rsidRPr="00937DEB">
        <w:rPr>
          <w:rFonts w:ascii="Arial" w:hAnsi="Arial" w:cs="Arial"/>
          <w:sz w:val="24"/>
        </w:rPr>
        <w:br w:type="page"/>
      </w:r>
    </w:p>
    <w:p w14:paraId="14B04B14" w14:textId="77777777" w:rsidR="00937DEB" w:rsidRPr="00937DEB" w:rsidRDefault="00937DEB" w:rsidP="00937DEB">
      <w:pPr>
        <w:pStyle w:val="Heading1"/>
        <w:spacing w:line="360" w:lineRule="auto"/>
        <w:jc w:val="both"/>
        <w:rPr>
          <w:rFonts w:ascii="Arial" w:hAnsi="Arial" w:cs="Arial"/>
        </w:rPr>
      </w:pPr>
      <w:bookmarkStart w:id="1" w:name="_Toc162440331"/>
      <w:r w:rsidRPr="00937DEB">
        <w:rPr>
          <w:rFonts w:ascii="Arial" w:hAnsi="Arial" w:cs="Arial"/>
        </w:rPr>
        <w:lastRenderedPageBreak/>
        <w:t>Introduction</w:t>
      </w:r>
      <w:bookmarkEnd w:id="1"/>
      <w:r w:rsidRPr="00937DEB">
        <w:rPr>
          <w:rFonts w:ascii="Arial" w:hAnsi="Arial" w:cs="Arial"/>
        </w:rPr>
        <w:t xml:space="preserve"> </w:t>
      </w:r>
    </w:p>
    <w:p w14:paraId="4A3CE933"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The COVID-19 pandemic has recently modified the work environment and brought healthy remote working options to the fourth. Being a newcomer to the Human Resources Department of </w:t>
      </w:r>
      <w:proofErr w:type="spellStart"/>
      <w:r w:rsidRPr="00937DEB">
        <w:rPr>
          <w:rFonts w:ascii="Arial" w:hAnsi="Arial" w:cs="Arial"/>
          <w:sz w:val="24"/>
        </w:rPr>
        <w:t>AgroTools</w:t>
      </w:r>
      <w:proofErr w:type="spellEnd"/>
      <w:r w:rsidRPr="00937DEB">
        <w:rPr>
          <w:rFonts w:ascii="Arial" w:hAnsi="Arial" w:cs="Arial"/>
          <w:sz w:val="24"/>
        </w:rPr>
        <w:t>, an important agricultural tools company located in the West Midlands region of the state requires a lot from me. Among these is to have a clear understanding of why this change is taking place.</w:t>
      </w:r>
    </w:p>
    <w:p w14:paraId="1DCB2671"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This study will look into potential consequences and advantages incurred while implementing the flexible working arrangements of </w:t>
      </w:r>
      <w:proofErr w:type="spellStart"/>
      <w:r w:rsidRPr="00937DEB">
        <w:rPr>
          <w:rFonts w:ascii="Arial" w:hAnsi="Arial" w:cs="Arial"/>
          <w:sz w:val="24"/>
        </w:rPr>
        <w:t>Agrotools</w:t>
      </w:r>
      <w:proofErr w:type="spellEnd"/>
      <w:r w:rsidRPr="00937DEB">
        <w:rPr>
          <w:rFonts w:ascii="Arial" w:hAnsi="Arial" w:cs="Arial"/>
          <w:sz w:val="24"/>
        </w:rPr>
        <w:t xml:space="preserve">. To improve management of their workforce, and employee satisfaction, and to compete favourably in the industry, the organization is changing systems to fit with the dynamic nature of present workflows. The age of uncertainty and agility that has taken the place of predictability in the post-pandemic era is the driving factor behind the adoption of a flexible work framework, which helps mitigate the effects of unpredicted global developments while ensuring organizational development. </w:t>
      </w:r>
    </w:p>
    <w:p w14:paraId="158E7985" w14:textId="77777777" w:rsidR="00937DEB" w:rsidRDefault="00937DEB" w:rsidP="00937DEB">
      <w:pPr>
        <w:spacing w:line="360" w:lineRule="auto"/>
        <w:jc w:val="both"/>
        <w:rPr>
          <w:rFonts w:ascii="Arial" w:hAnsi="Arial" w:cs="Arial"/>
          <w:sz w:val="24"/>
        </w:rPr>
      </w:pPr>
      <w:r w:rsidRPr="00937DEB">
        <w:rPr>
          <w:rFonts w:ascii="Arial" w:hAnsi="Arial" w:cs="Arial"/>
          <w:sz w:val="24"/>
        </w:rPr>
        <w:t> </w:t>
      </w:r>
    </w:p>
    <w:p w14:paraId="15D8AD33" w14:textId="77777777" w:rsidR="00937DEB" w:rsidRPr="00937DEB" w:rsidRDefault="00937DEB" w:rsidP="0058523B">
      <w:pPr>
        <w:rPr>
          <w:rFonts w:ascii="Arial" w:hAnsi="Arial" w:cs="Arial"/>
          <w:sz w:val="24"/>
        </w:rPr>
      </w:pPr>
      <w:r>
        <w:rPr>
          <w:rFonts w:ascii="Arial" w:hAnsi="Arial" w:cs="Arial"/>
          <w:sz w:val="24"/>
        </w:rPr>
        <w:br w:type="page"/>
      </w:r>
    </w:p>
    <w:p w14:paraId="347934C0" w14:textId="77777777" w:rsidR="00937DEB" w:rsidRPr="00937DEB" w:rsidRDefault="00937DEB" w:rsidP="00937DEB">
      <w:pPr>
        <w:pStyle w:val="Heading1"/>
        <w:spacing w:line="360" w:lineRule="auto"/>
        <w:jc w:val="both"/>
        <w:rPr>
          <w:rFonts w:ascii="Arial" w:hAnsi="Arial" w:cs="Arial"/>
        </w:rPr>
      </w:pPr>
      <w:bookmarkStart w:id="2" w:name="_Toc162440332"/>
      <w:r w:rsidRPr="00937DEB">
        <w:rPr>
          <w:rFonts w:ascii="Arial" w:hAnsi="Arial" w:cs="Arial"/>
        </w:rPr>
        <w:lastRenderedPageBreak/>
        <w:t>Benefits of Implementing Work Strategies</w:t>
      </w:r>
      <w:bookmarkEnd w:id="2"/>
    </w:p>
    <w:p w14:paraId="28E97E92"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Flexible working schedule has multiple advantages for both workers and employers, thus is a drive to better performance, satisfaction, and efficiencies.</w:t>
      </w:r>
    </w:p>
    <w:p w14:paraId="20A97232"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Improved Work-Life Balance:</w:t>
      </w:r>
      <w:r w:rsidRPr="00937DEB">
        <w:rPr>
          <w:rFonts w:ascii="Arial" w:hAnsi="Arial" w:cs="Arial"/>
          <w:sz w:val="24"/>
        </w:rPr>
        <w:t xml:space="preserve"> Flexible working allows a person to find a better harmony between professional duties and other life goals. Through self-management of work hours, people can now spend their time in a more balanced way, hence, reducing stress and increasing productivity at work. Such a system makes the employees feel happy and satisfied, which causes higher morale and a lower rate of turnover (Marques and Berry, 2021). Employees may revise working hours and use the time they need to take care of their families, pleasure, or other activities, thus leading to gratifying and successful lives.</w:t>
      </w:r>
    </w:p>
    <w:p w14:paraId="1F8EA2C3"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Increased Productivity:</w:t>
      </w:r>
      <w:r w:rsidRPr="00937DEB">
        <w:rPr>
          <w:rFonts w:ascii="Arial" w:hAnsi="Arial" w:cs="Arial"/>
          <w:sz w:val="24"/>
        </w:rPr>
        <w:t xml:space="preserve"> Flexible working schedules are found to be one of the most powerful means to improve productivity in the business. By permitting employees to work during their most productive hours and in working environments that are conducive to concentration, flexible schedules allow one to attain more productive work. Additionally, no long commuting times and no distractions at the workplace supply extra productivity and quality (</w:t>
      </w:r>
      <w:proofErr w:type="spellStart"/>
      <w:r w:rsidRPr="00937DEB">
        <w:rPr>
          <w:rFonts w:ascii="Arial" w:hAnsi="Arial" w:cs="Arial"/>
          <w:sz w:val="24"/>
        </w:rPr>
        <w:t>Angelici</w:t>
      </w:r>
      <w:proofErr w:type="spellEnd"/>
      <w:r w:rsidRPr="00937DEB">
        <w:rPr>
          <w:rFonts w:ascii="Arial" w:hAnsi="Arial" w:cs="Arial"/>
          <w:sz w:val="24"/>
        </w:rPr>
        <w:t xml:space="preserve"> and Profeta, 2023). Employees enjoy the benefit of creating their work schedule around the hours when they are most energetic and efficient, therefore producing high-quality work and faster task completion.</w:t>
      </w:r>
    </w:p>
    <w:p w14:paraId="3E06C7F7"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Flexible Work Arrangements:</w:t>
      </w:r>
      <w:r w:rsidRPr="00937DEB">
        <w:rPr>
          <w:rFonts w:ascii="Arial" w:hAnsi="Arial" w:cs="Arial"/>
          <w:sz w:val="24"/>
        </w:rPr>
        <w:t xml:space="preserve"> Adaptive working postures involve working from home, working flexible hours, working four days per week, and job sharing. These arrangements relate to the employee's schedule allowing him/her to adjust to diverse needs and desires (Austin-</w:t>
      </w:r>
      <w:proofErr w:type="spellStart"/>
      <w:r w:rsidRPr="00937DEB">
        <w:rPr>
          <w:rFonts w:ascii="Arial" w:hAnsi="Arial" w:cs="Arial"/>
          <w:sz w:val="24"/>
        </w:rPr>
        <w:t>Egole</w:t>
      </w:r>
      <w:proofErr w:type="spellEnd"/>
      <w:r w:rsidRPr="00937DEB">
        <w:rPr>
          <w:rFonts w:ascii="Arial" w:hAnsi="Arial" w:cs="Arial"/>
          <w:sz w:val="24"/>
        </w:rPr>
        <w:t xml:space="preserve"> et al., 2020).</w:t>
      </w:r>
    </w:p>
    <w:p w14:paraId="25322041"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Work Environment:</w:t>
      </w:r>
      <w:r w:rsidRPr="00937DEB">
        <w:rPr>
          <w:rFonts w:ascii="Arial" w:hAnsi="Arial" w:cs="Arial"/>
          <w:sz w:val="24"/>
        </w:rPr>
        <w:t xml:space="preserve"> The workplace environment is the sum of the physical, cultural, and social aspects that are responsible for shaping the employee experience and performance. Making a work environment positive is about constructing communication, collaboration, and trust among team members which are open. On top of this, striving to create ergonomic workspaces, well-suited resources, and offering the chance for professional development ensures the workforce is comfy and favourable (Amirul and Shaari, 2021).</w:t>
      </w:r>
    </w:p>
    <w:p w14:paraId="0F0C2912" w14:textId="77777777" w:rsidR="00937DEB" w:rsidRPr="00937DEB" w:rsidRDefault="00937DEB" w:rsidP="00937DEB">
      <w:pPr>
        <w:pStyle w:val="Heading1"/>
        <w:spacing w:line="360" w:lineRule="auto"/>
        <w:jc w:val="both"/>
        <w:rPr>
          <w:rFonts w:ascii="Arial" w:hAnsi="Arial" w:cs="Arial"/>
          <w:sz w:val="24"/>
        </w:rPr>
      </w:pPr>
      <w:bookmarkStart w:id="3" w:name="_Toc162440333"/>
      <w:r w:rsidRPr="00937DEB">
        <w:rPr>
          <w:rFonts w:ascii="Arial" w:hAnsi="Arial" w:cs="Arial"/>
        </w:rPr>
        <w:lastRenderedPageBreak/>
        <w:t>Considerations before Implementation</w:t>
      </w:r>
      <w:bookmarkEnd w:id="3"/>
    </w:p>
    <w:p w14:paraId="609047A4"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Developing flexible working arrangements requires a close assessment of the variety of meanings related to various </w:t>
      </w:r>
      <w:proofErr w:type="spellStart"/>
      <w:r w:rsidRPr="00937DEB">
        <w:rPr>
          <w:rFonts w:ascii="Arial" w:hAnsi="Arial" w:cs="Arial"/>
          <w:sz w:val="24"/>
        </w:rPr>
        <w:t>AgroTools</w:t>
      </w:r>
      <w:proofErr w:type="spellEnd"/>
      <w:r w:rsidRPr="00937DEB">
        <w:rPr>
          <w:rFonts w:ascii="Arial" w:hAnsi="Arial" w:cs="Arial"/>
          <w:sz w:val="24"/>
        </w:rPr>
        <w:t xml:space="preserve"> sites, e.g., production and warehouse facility versus the sales and administration offices.</w:t>
      </w:r>
    </w:p>
    <w:p w14:paraId="1A194FF3"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Implications for Different Sites:</w:t>
      </w:r>
      <w:r w:rsidRPr="00937DEB">
        <w:rPr>
          <w:rFonts w:ascii="Arial" w:hAnsi="Arial" w:cs="Arial"/>
          <w:sz w:val="24"/>
        </w:rPr>
        <w:t xml:space="preserve"> Flexibility impacts may be different in the manufacturing/warehousing office to the more business-operational offices such as sales and administration. While one site often requires the workforce to make a physical presence for operational tasks, the other site may be more able to adapt work at home depending on what work is being done as some jobs may rely more on digital tools and communication platforms than on physical presence (Char et al., 2020).</w:t>
      </w:r>
    </w:p>
    <w:p w14:paraId="581CC9EF"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Specific Considerations:</w:t>
      </w:r>
      <w:r w:rsidRPr="00937DEB">
        <w:rPr>
          <w:rFonts w:ascii="Arial" w:hAnsi="Arial" w:cs="Arial"/>
          <w:sz w:val="24"/>
        </w:rPr>
        <w:t xml:space="preserve"> Manufacturing and Warehousing Site: Implementation of flexible working in these sites could mean that their operations are adjusted by the introduction of shift schedules or the implementation of staggered work hours to improve the continuous operation of the sites. It is instances of safety protocols, and work compliance with regulatory standards, hence guidelines and training are to be formulated, in the remote work cases, if possible (Ghorpade et al., 2023). Connection with the on-site personnel through remote sensing and communication technology might also be required.</w:t>
      </w:r>
    </w:p>
    <w:p w14:paraId="637BB98D"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Sales/Admin Office:</w:t>
      </w:r>
      <w:r w:rsidRPr="00937DEB">
        <w:rPr>
          <w:rFonts w:ascii="Arial" w:hAnsi="Arial" w:cs="Arial"/>
          <w:sz w:val="24"/>
        </w:rPr>
        <w:t xml:space="preserve"> Jobs that can be performed at the sales/admin office may be easier to implement from home through virtual tools for activities like customer communication, administrative functions, and data evaluation. Becoming the leading role in communication and coordination among team members may also demand improving virtual communication channels and applying project management tools to keep the work advancing and information sharing smooth (Cahyono et al., 2021).</w:t>
      </w:r>
    </w:p>
    <w:p w14:paraId="1C8A4D5C" w14:textId="77777777" w:rsidR="00937DEB" w:rsidRPr="00937DEB" w:rsidRDefault="00937DEB" w:rsidP="00937DEB">
      <w:pPr>
        <w:spacing w:line="360" w:lineRule="auto"/>
        <w:jc w:val="both"/>
        <w:rPr>
          <w:rFonts w:ascii="Arial" w:hAnsi="Arial" w:cs="Arial"/>
          <w:b/>
          <w:sz w:val="24"/>
        </w:rPr>
      </w:pPr>
      <w:r w:rsidRPr="00937DEB">
        <w:rPr>
          <w:rFonts w:ascii="Arial" w:hAnsi="Arial" w:cs="Arial"/>
          <w:b/>
          <w:sz w:val="24"/>
        </w:rPr>
        <w:t>Technical Reasons and Necessities of Communication</w:t>
      </w:r>
    </w:p>
    <w:p w14:paraId="00C694EC"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To ensure flexibility in the working environment across all </w:t>
      </w:r>
      <w:proofErr w:type="spellStart"/>
      <w:r w:rsidRPr="00937DEB">
        <w:rPr>
          <w:rFonts w:ascii="Arial" w:hAnsi="Arial" w:cs="Arial"/>
          <w:sz w:val="24"/>
        </w:rPr>
        <w:t>centers</w:t>
      </w:r>
      <w:proofErr w:type="spellEnd"/>
      <w:r w:rsidRPr="00937DEB">
        <w:rPr>
          <w:rFonts w:ascii="Arial" w:hAnsi="Arial" w:cs="Arial"/>
          <w:sz w:val="24"/>
        </w:rPr>
        <w:t>, sustainable technological resources are a crucial component, which includes, among other things, decent internet speeds, cloud-based systems, and safe remote access to the company networks.</w:t>
      </w:r>
    </w:p>
    <w:p w14:paraId="5D4BD4AF"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lastRenderedPageBreak/>
        <w:t>The contribution of powerful communication tools video conferencing, instant messaging platforms, and project management software is very necessary while collaboration and remote-on-site connectivity is being maintained (Green et al., 2020).</w:t>
      </w:r>
    </w:p>
    <w:p w14:paraId="412B2B32" w14:textId="77777777" w:rsidR="00937DEB" w:rsidRPr="00937DEB" w:rsidRDefault="00937DEB" w:rsidP="00937DEB">
      <w:pPr>
        <w:spacing w:line="360" w:lineRule="auto"/>
        <w:jc w:val="both"/>
        <w:rPr>
          <w:rFonts w:ascii="Arial" w:hAnsi="Arial" w:cs="Arial"/>
          <w:b/>
          <w:sz w:val="24"/>
        </w:rPr>
      </w:pPr>
      <w:r w:rsidRPr="00937DEB">
        <w:rPr>
          <w:rFonts w:ascii="Arial" w:hAnsi="Arial" w:cs="Arial"/>
          <w:b/>
          <w:sz w:val="24"/>
        </w:rPr>
        <w:t>Operational Challenges:</w:t>
      </w:r>
    </w:p>
    <w:p w14:paraId="3024F881" w14:textId="77777777" w:rsidR="00937DEB" w:rsidRPr="00937DEB" w:rsidRDefault="00937DEB" w:rsidP="00937DEB">
      <w:pPr>
        <w:pStyle w:val="ListParagraph"/>
        <w:numPr>
          <w:ilvl w:val="0"/>
          <w:numId w:val="1"/>
        </w:numPr>
        <w:spacing w:line="360" w:lineRule="auto"/>
        <w:jc w:val="both"/>
        <w:rPr>
          <w:rFonts w:ascii="Arial" w:hAnsi="Arial" w:cs="Arial"/>
          <w:sz w:val="24"/>
        </w:rPr>
      </w:pPr>
      <w:r w:rsidRPr="00937DEB">
        <w:rPr>
          <w:rFonts w:ascii="Arial" w:hAnsi="Arial" w:cs="Arial"/>
          <w:sz w:val="24"/>
        </w:rPr>
        <w:t xml:space="preserve">Ensuring the supervision of workflow and the coordination of different locations while still ensuring productivity and operational efficiency. </w:t>
      </w:r>
    </w:p>
    <w:p w14:paraId="155E3074" w14:textId="77777777" w:rsidR="00937DEB" w:rsidRPr="00937DEB" w:rsidRDefault="00937DEB" w:rsidP="00937DEB">
      <w:pPr>
        <w:pStyle w:val="ListParagraph"/>
        <w:numPr>
          <w:ilvl w:val="0"/>
          <w:numId w:val="1"/>
        </w:numPr>
        <w:spacing w:line="360" w:lineRule="auto"/>
        <w:jc w:val="both"/>
        <w:rPr>
          <w:rFonts w:ascii="Arial" w:hAnsi="Arial" w:cs="Arial"/>
          <w:sz w:val="24"/>
        </w:rPr>
      </w:pPr>
      <w:r w:rsidRPr="00937DEB">
        <w:rPr>
          <w:rFonts w:ascii="Arial" w:hAnsi="Arial" w:cs="Arial"/>
          <w:sz w:val="24"/>
        </w:rPr>
        <w:t>Taking into account the expected resistance to change as well as the necessity of getting support from the employees and management using open communication and training programs.</w:t>
      </w:r>
    </w:p>
    <w:p w14:paraId="59757F79" w14:textId="77777777" w:rsidR="00937DEB" w:rsidRPr="00937DEB" w:rsidRDefault="00937DEB" w:rsidP="00937DEB">
      <w:pPr>
        <w:pStyle w:val="ListParagraph"/>
        <w:numPr>
          <w:ilvl w:val="0"/>
          <w:numId w:val="1"/>
        </w:numPr>
        <w:spacing w:line="360" w:lineRule="auto"/>
        <w:jc w:val="both"/>
        <w:rPr>
          <w:rFonts w:ascii="Arial" w:hAnsi="Arial" w:cs="Arial"/>
          <w:sz w:val="24"/>
        </w:rPr>
      </w:pPr>
      <w:r w:rsidRPr="00937DEB">
        <w:rPr>
          <w:rFonts w:ascii="Arial" w:hAnsi="Arial" w:cs="Arial"/>
          <w:sz w:val="24"/>
        </w:rPr>
        <w:t>The implementation of performance metrics and monitoring methods would allow for the evaluation of the impact of flexible work arrangements on employees' productivity and organizational outcomes. </w:t>
      </w:r>
    </w:p>
    <w:p w14:paraId="0BA81AAE" w14:textId="77777777" w:rsidR="00937DEB" w:rsidRPr="00937DEB" w:rsidRDefault="00937DEB" w:rsidP="00937DEB">
      <w:pPr>
        <w:pStyle w:val="Heading1"/>
        <w:spacing w:line="360" w:lineRule="auto"/>
        <w:jc w:val="both"/>
        <w:rPr>
          <w:rFonts w:ascii="Arial" w:hAnsi="Arial" w:cs="Arial"/>
        </w:rPr>
      </w:pPr>
      <w:bookmarkStart w:id="4" w:name="_Toc162440334"/>
      <w:r w:rsidRPr="00937DEB">
        <w:rPr>
          <w:rFonts w:ascii="Arial" w:hAnsi="Arial" w:cs="Arial"/>
        </w:rPr>
        <w:t>Reconfiguration of Pay Structure</w:t>
      </w:r>
      <w:bookmarkEnd w:id="4"/>
    </w:p>
    <w:p w14:paraId="4B1430E5"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With the implementation of flexible working arrangements by </w:t>
      </w:r>
      <w:proofErr w:type="spellStart"/>
      <w:r w:rsidRPr="00937DEB">
        <w:rPr>
          <w:rFonts w:ascii="Arial" w:hAnsi="Arial" w:cs="Arial"/>
          <w:sz w:val="24"/>
        </w:rPr>
        <w:t>AgroTools</w:t>
      </w:r>
      <w:proofErr w:type="spellEnd"/>
      <w:r w:rsidRPr="00937DEB">
        <w:rPr>
          <w:rFonts w:ascii="Arial" w:hAnsi="Arial" w:cs="Arial"/>
          <w:sz w:val="24"/>
        </w:rPr>
        <w:t>, the pay scheme will likely undergo some adjustments to remain compatible with the changed nature of work and provide justice to everyone employed by the company. Flexible working might be followed by changes in the work schedules and locations that will also require appropriate changes in the pay structure (</w:t>
      </w:r>
      <w:proofErr w:type="spellStart"/>
      <w:r w:rsidRPr="00937DEB">
        <w:rPr>
          <w:rFonts w:ascii="Arial" w:hAnsi="Arial" w:cs="Arial"/>
          <w:sz w:val="24"/>
        </w:rPr>
        <w:t>Ostovari</w:t>
      </w:r>
      <w:proofErr w:type="spellEnd"/>
      <w:r w:rsidRPr="00937DEB">
        <w:rPr>
          <w:rFonts w:ascii="Arial" w:hAnsi="Arial" w:cs="Arial"/>
          <w:sz w:val="24"/>
        </w:rPr>
        <w:t xml:space="preserve"> et al., 2024). This might encompass a shift from the traditional fixed-hour contracts to more flexible arrangements like hourly wages, where employees are paid for their specified number of hours worked and non-salaried positions with precise work and performance requirements.</w:t>
      </w:r>
    </w:p>
    <w:p w14:paraId="60A4970F" w14:textId="77777777" w:rsidR="00937DEB" w:rsidRPr="00937DEB" w:rsidRDefault="00937DEB" w:rsidP="00937DEB">
      <w:pPr>
        <w:spacing w:line="360" w:lineRule="auto"/>
        <w:jc w:val="both"/>
        <w:rPr>
          <w:rFonts w:ascii="Arial" w:hAnsi="Arial" w:cs="Arial"/>
          <w:b/>
          <w:sz w:val="24"/>
        </w:rPr>
      </w:pPr>
      <w:r w:rsidRPr="00937DEB">
        <w:rPr>
          <w:rFonts w:ascii="Arial" w:hAnsi="Arial" w:cs="Arial"/>
          <w:b/>
          <w:sz w:val="24"/>
        </w:rPr>
        <w:t>Potential Changes</w:t>
      </w:r>
    </w:p>
    <w:p w14:paraId="2543FA6F"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Hourly Wages:</w:t>
      </w:r>
      <w:r w:rsidRPr="00937DEB">
        <w:rPr>
          <w:rFonts w:ascii="Arial" w:hAnsi="Arial" w:cs="Arial"/>
          <w:sz w:val="24"/>
        </w:rPr>
        <w:t xml:space="preserve"> For the employees, working variable hours or shifts, the hourly wage system may likely work out well. It ensures proper payment for the actual time spent working and allows for juggling of schedules on the side of employees.</w:t>
      </w:r>
    </w:p>
    <w:p w14:paraId="3BEB41F3"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Salaried Positions:</w:t>
      </w:r>
      <w:r w:rsidRPr="00937DEB">
        <w:rPr>
          <w:rFonts w:ascii="Arial" w:hAnsi="Arial" w:cs="Arial"/>
          <w:sz w:val="24"/>
        </w:rPr>
        <w:t xml:space="preserve"> Roles that stay predominantly office-based or call for regimented schedules during fixed hours need to stay as salaried jobs. Yet, there </w:t>
      </w:r>
      <w:r w:rsidRPr="00937DEB">
        <w:rPr>
          <w:rFonts w:ascii="Arial" w:hAnsi="Arial" w:cs="Arial"/>
          <w:sz w:val="24"/>
        </w:rPr>
        <w:lastRenderedPageBreak/>
        <w:t>need to be clear expectations about work quantity and performance objectives to exchange into accountability and fairness.</w:t>
      </w:r>
    </w:p>
    <w:p w14:paraId="4B4DE802"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Performance-Based Incentives:</w:t>
      </w:r>
      <w:r w:rsidRPr="00937DEB">
        <w:rPr>
          <w:rFonts w:ascii="Arial" w:hAnsi="Arial" w:cs="Arial"/>
          <w:sz w:val="24"/>
        </w:rPr>
        <w:t xml:space="preserve"> Working in place of performance-based rewards creates the urge of employees to maintain their productivity and quality of work. The performance measure must be clearly stated concerning desired </w:t>
      </w:r>
      <w:proofErr w:type="spellStart"/>
      <w:r w:rsidRPr="00937DEB">
        <w:rPr>
          <w:rFonts w:ascii="Arial" w:hAnsi="Arial" w:cs="Arial"/>
          <w:sz w:val="24"/>
        </w:rPr>
        <w:t>behaviors</w:t>
      </w:r>
      <w:proofErr w:type="spellEnd"/>
      <w:r w:rsidRPr="00937DEB">
        <w:rPr>
          <w:rFonts w:ascii="Arial" w:hAnsi="Arial" w:cs="Arial"/>
          <w:sz w:val="24"/>
        </w:rPr>
        <w:t xml:space="preserve"> and outcomes which will in turn help to promote organizational goals (Bucklin et al., 2022).</w:t>
      </w:r>
    </w:p>
    <w:p w14:paraId="06CA81AD"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Equitable Compensation across Job Roles and Locations:</w:t>
      </w:r>
      <w:r w:rsidRPr="00937DEB">
        <w:rPr>
          <w:rFonts w:ascii="Arial" w:hAnsi="Arial" w:cs="Arial"/>
          <w:sz w:val="24"/>
        </w:rPr>
        <w:t xml:space="preserve"> People believe that money determines happiness and success, leading to a constant search for more wealth and a severe disregard for others. Equalizing the pay across different job roles and locations among employees remains the major element of personnel morale as well as fairness (</w:t>
      </w:r>
      <w:proofErr w:type="spellStart"/>
      <w:r w:rsidRPr="00937DEB">
        <w:rPr>
          <w:rFonts w:ascii="Arial" w:hAnsi="Arial" w:cs="Arial"/>
          <w:sz w:val="24"/>
        </w:rPr>
        <w:t>Karoso</w:t>
      </w:r>
      <w:proofErr w:type="spellEnd"/>
      <w:r w:rsidRPr="00937DEB">
        <w:rPr>
          <w:rFonts w:ascii="Arial" w:hAnsi="Arial" w:cs="Arial"/>
          <w:sz w:val="24"/>
        </w:rPr>
        <w:t xml:space="preserve"> et al., 2022). Factors including job duties, the level of skill, and the prevailing market rates should be considered when awarding the remuneration. Also, allowances may be made for cost-of-living dissimilarity between the localization and granting members adequate compensation relative to their geographic place.</w:t>
      </w:r>
    </w:p>
    <w:p w14:paraId="21DD815F" w14:textId="77777777" w:rsidR="00937DEB" w:rsidRPr="00937DEB" w:rsidRDefault="00937DEB" w:rsidP="00937DEB">
      <w:pPr>
        <w:pStyle w:val="Heading1"/>
        <w:spacing w:line="360" w:lineRule="auto"/>
        <w:jc w:val="both"/>
        <w:rPr>
          <w:rFonts w:ascii="Arial" w:hAnsi="Arial" w:cs="Arial"/>
        </w:rPr>
      </w:pPr>
      <w:bookmarkStart w:id="5" w:name="_Toc162440335"/>
      <w:r w:rsidRPr="00937DEB">
        <w:rPr>
          <w:rFonts w:ascii="Arial" w:hAnsi="Arial" w:cs="Arial"/>
        </w:rPr>
        <w:t>Strategies to Promote Employee Engagement</w:t>
      </w:r>
      <w:bookmarkEnd w:id="5"/>
    </w:p>
    <w:p w14:paraId="49B8E3D7"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Employing flexible working options may be an avenue for employee engagement by way of stumbling blocks and paving stones. Through appraising numerous strategies, </w:t>
      </w:r>
      <w:proofErr w:type="spellStart"/>
      <w:r w:rsidRPr="00937DEB">
        <w:rPr>
          <w:rFonts w:ascii="Arial" w:hAnsi="Arial" w:cs="Arial"/>
          <w:sz w:val="24"/>
        </w:rPr>
        <w:t>AgroTools</w:t>
      </w:r>
      <w:proofErr w:type="spellEnd"/>
      <w:r w:rsidRPr="00937DEB">
        <w:rPr>
          <w:rFonts w:ascii="Arial" w:hAnsi="Arial" w:cs="Arial"/>
          <w:sz w:val="24"/>
        </w:rPr>
        <w:t xml:space="preserve"> could manage the transition correctly without compromising low employee motivation and security.</w:t>
      </w:r>
    </w:p>
    <w:p w14:paraId="55099023"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Clear Communication:</w:t>
      </w:r>
      <w:r w:rsidRPr="00937DEB">
        <w:rPr>
          <w:rFonts w:ascii="Arial" w:hAnsi="Arial" w:cs="Arial"/>
          <w:sz w:val="24"/>
        </w:rPr>
        <w:t xml:space="preserve"> Clear and constant dialogue is the most important tool in bringing employees on board with a flexible working field of view. Our employees feel informed and participate in the organization through regular updates on the organizational missions, changes in policies, and the ongoing projects progress (Nienaber and Martins, 2020). With the use of multiple channels of communication such as email, video conferencing, and instant messaging, it becomes easy to work together and build a sense of familiarity even among those in the remote teams and on-site teams. Workers who are invited to voice their concerns and contribute ideas through instances of open dialogue and feedback mechanisms are more likely to become involved with the organization (</w:t>
      </w:r>
      <w:proofErr w:type="spellStart"/>
      <w:r w:rsidRPr="00937DEB">
        <w:rPr>
          <w:rFonts w:ascii="Arial" w:hAnsi="Arial" w:cs="Arial"/>
          <w:sz w:val="24"/>
        </w:rPr>
        <w:t>Verčič</w:t>
      </w:r>
      <w:proofErr w:type="spellEnd"/>
      <w:r w:rsidRPr="00937DEB">
        <w:rPr>
          <w:rFonts w:ascii="Arial" w:hAnsi="Arial" w:cs="Arial"/>
          <w:sz w:val="24"/>
        </w:rPr>
        <w:t xml:space="preserve"> 2021).</w:t>
      </w:r>
    </w:p>
    <w:p w14:paraId="6AEB712B"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lastRenderedPageBreak/>
        <w:t>Training and Support:</w:t>
      </w:r>
      <w:r w:rsidRPr="00937DEB">
        <w:rPr>
          <w:rFonts w:ascii="Arial" w:hAnsi="Arial" w:cs="Arial"/>
          <w:sz w:val="24"/>
        </w:rPr>
        <w:t xml:space="preserve"> It is imperative to focus on comprehensive training programs and continuous support, so employees will be able to overcome difficulties of flexible working via usage of the remote working tools. Online training programs provided, as well as helpful tutorials, and online resources, can help employees in learning new software programs. IT support staff who are knowledgeable should always be available whenever there are technical issues and offer assistance to avoid hindrance of work and production (Rasool et al., 2021). With a focus on program training and assistance, </w:t>
      </w:r>
      <w:proofErr w:type="spellStart"/>
      <w:r w:rsidRPr="00937DEB">
        <w:rPr>
          <w:rFonts w:ascii="Arial" w:hAnsi="Arial" w:cs="Arial"/>
          <w:sz w:val="24"/>
        </w:rPr>
        <w:t>AgroTools</w:t>
      </w:r>
      <w:proofErr w:type="spellEnd"/>
      <w:r w:rsidRPr="00937DEB">
        <w:rPr>
          <w:rFonts w:ascii="Arial" w:hAnsi="Arial" w:cs="Arial"/>
          <w:sz w:val="24"/>
        </w:rPr>
        <w:t xml:space="preserve"> has symbolized the company providing the necessary tools to employees in their remote work transition.</w:t>
      </w:r>
    </w:p>
    <w:p w14:paraId="65617262"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Foster Collaboration and Teamwork:</w:t>
      </w:r>
      <w:r w:rsidRPr="00937DEB">
        <w:rPr>
          <w:rFonts w:ascii="Arial" w:hAnsi="Arial" w:cs="Arial"/>
          <w:sz w:val="24"/>
        </w:rPr>
        <w:t xml:space="preserve"> One key responsibility of a club president is to organize and lead executive board meetings. These meetings provide the members of the club with leadership opportunities and encourage collaboration and decision-making within the organization. </w:t>
      </w:r>
    </w:p>
    <w:p w14:paraId="666E0BDD"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Building and utilizing fruitful collaborations and cohesive teamwork are crucial elements to keeping engagement and productivity in a flexible working environment. Virtual team-building activities, collected brainstorming sessions as well as numerous collaborative projects create a platform for creativity and innovation by also consolidating the importance of teamwork (Mazzetti, and Schaufeli, 2022). By facilitating communication with collaborative tools and platforms, for instance, project management software and virtual whiteboards, interaction and documentation sharing in real-time is possible among different remote and on-site teams. </w:t>
      </w:r>
    </w:p>
    <w:p w14:paraId="26CA1D90" w14:textId="77777777" w:rsidR="00937DEB" w:rsidRPr="00937DEB" w:rsidRDefault="00937DEB" w:rsidP="00937DEB">
      <w:pPr>
        <w:spacing w:line="360" w:lineRule="auto"/>
        <w:jc w:val="both"/>
        <w:rPr>
          <w:rFonts w:ascii="Arial" w:hAnsi="Arial" w:cs="Arial"/>
          <w:sz w:val="24"/>
        </w:rPr>
      </w:pPr>
      <w:r w:rsidRPr="00937DEB">
        <w:rPr>
          <w:rFonts w:ascii="Arial" w:hAnsi="Arial" w:cs="Arial"/>
          <w:b/>
          <w:sz w:val="24"/>
        </w:rPr>
        <w:t>Recognition and Appreciation:</w:t>
      </w:r>
      <w:r w:rsidRPr="00937DEB">
        <w:rPr>
          <w:rFonts w:ascii="Arial" w:hAnsi="Arial" w:cs="Arial"/>
          <w:sz w:val="24"/>
        </w:rPr>
        <w:t xml:space="preserve"> It is very important that employees feel appreciated and their contributions recognized for the engagement and motivation to continue. Implementation of an official recognition program that pays tribute to individual and team accomplishments helps to cultivate a culture of appreciation and reinforces desired </w:t>
      </w:r>
      <w:proofErr w:type="spellStart"/>
      <w:r w:rsidRPr="00937DEB">
        <w:rPr>
          <w:rFonts w:ascii="Arial" w:hAnsi="Arial" w:cs="Arial"/>
          <w:sz w:val="24"/>
        </w:rPr>
        <w:t>behaviors</w:t>
      </w:r>
      <w:proofErr w:type="spellEnd"/>
      <w:r w:rsidRPr="00937DEB">
        <w:rPr>
          <w:rFonts w:ascii="Arial" w:hAnsi="Arial" w:cs="Arial"/>
          <w:sz w:val="24"/>
        </w:rPr>
        <w:t xml:space="preserve">. Besides peer-to-peer recognition, it could create morale boosting and develop a sense of comradeship among the staff members (Montani et al., 2020). Through success celebration, </w:t>
      </w:r>
      <w:proofErr w:type="spellStart"/>
      <w:r w:rsidRPr="00937DEB">
        <w:rPr>
          <w:rFonts w:ascii="Arial" w:hAnsi="Arial" w:cs="Arial"/>
          <w:sz w:val="24"/>
        </w:rPr>
        <w:t>AgroTools</w:t>
      </w:r>
      <w:proofErr w:type="spellEnd"/>
      <w:r w:rsidRPr="00937DEB">
        <w:rPr>
          <w:rFonts w:ascii="Arial" w:hAnsi="Arial" w:cs="Arial"/>
          <w:sz w:val="24"/>
        </w:rPr>
        <w:t xml:space="preserve"> may show to the employees that they matter, whether small or big achievements, and as a result, their dedication and commitment to the organization will be maintained.</w:t>
      </w:r>
    </w:p>
    <w:p w14:paraId="32DCF5F4" w14:textId="77777777" w:rsidR="00937DEB" w:rsidRPr="00937DEB" w:rsidRDefault="00937DEB" w:rsidP="00F90F16">
      <w:pPr>
        <w:pStyle w:val="Heading1"/>
        <w:spacing w:line="360" w:lineRule="auto"/>
        <w:jc w:val="both"/>
        <w:rPr>
          <w:rFonts w:ascii="Arial" w:hAnsi="Arial" w:cs="Arial"/>
        </w:rPr>
      </w:pPr>
      <w:bookmarkStart w:id="6" w:name="_Toc162440336"/>
      <w:r w:rsidRPr="00937DEB">
        <w:rPr>
          <w:rFonts w:ascii="Arial" w:hAnsi="Arial" w:cs="Arial"/>
        </w:rPr>
        <w:lastRenderedPageBreak/>
        <w:t>Conclusion</w:t>
      </w:r>
      <w:bookmarkEnd w:id="6"/>
    </w:p>
    <w:p w14:paraId="61D466E8" w14:textId="77777777" w:rsidR="00937DEB" w:rsidRPr="00937DEB" w:rsidRDefault="00937DEB" w:rsidP="00937DEB">
      <w:pPr>
        <w:spacing w:line="360" w:lineRule="auto"/>
        <w:jc w:val="both"/>
        <w:rPr>
          <w:rFonts w:ascii="Arial" w:hAnsi="Arial" w:cs="Arial"/>
          <w:sz w:val="24"/>
        </w:rPr>
      </w:pPr>
      <w:r w:rsidRPr="00937DEB">
        <w:rPr>
          <w:rFonts w:ascii="Arial" w:hAnsi="Arial" w:cs="Arial"/>
          <w:sz w:val="24"/>
        </w:rPr>
        <w:t xml:space="preserve">Lastly, as </w:t>
      </w:r>
      <w:proofErr w:type="spellStart"/>
      <w:r w:rsidRPr="00937DEB">
        <w:rPr>
          <w:rFonts w:ascii="Arial" w:hAnsi="Arial" w:cs="Arial"/>
          <w:sz w:val="24"/>
        </w:rPr>
        <w:t>AgroTools</w:t>
      </w:r>
      <w:proofErr w:type="spellEnd"/>
      <w:r w:rsidRPr="00937DEB">
        <w:rPr>
          <w:rFonts w:ascii="Arial" w:hAnsi="Arial" w:cs="Arial"/>
          <w:sz w:val="24"/>
        </w:rPr>
        <w:t xml:space="preserve"> adopts flexible working arrangements, communication effectiveness, thorough and supporting training, collaboration, and staff recognition should be of high priority. Through these methods, </w:t>
      </w:r>
      <w:proofErr w:type="spellStart"/>
      <w:r w:rsidRPr="00937DEB">
        <w:rPr>
          <w:rFonts w:ascii="Arial" w:hAnsi="Arial" w:cs="Arial"/>
          <w:sz w:val="24"/>
        </w:rPr>
        <w:t>AgroTools</w:t>
      </w:r>
      <w:proofErr w:type="spellEnd"/>
      <w:r w:rsidRPr="00937DEB">
        <w:rPr>
          <w:rFonts w:ascii="Arial" w:hAnsi="Arial" w:cs="Arial"/>
          <w:sz w:val="24"/>
        </w:rPr>
        <w:t xml:space="preserve"> can transit smoothly without much impact on employee engagement, productivity, and also, satisfaction. Adopting flexibility not only builds organizational resilience but also spawns a culture of creativity and inclusivity. Because </w:t>
      </w:r>
      <w:proofErr w:type="spellStart"/>
      <w:r w:rsidRPr="00937DEB">
        <w:rPr>
          <w:rFonts w:ascii="Arial" w:hAnsi="Arial" w:cs="Arial"/>
          <w:sz w:val="24"/>
        </w:rPr>
        <w:t>AgroTools</w:t>
      </w:r>
      <w:proofErr w:type="spellEnd"/>
      <w:r w:rsidRPr="00937DEB">
        <w:rPr>
          <w:rFonts w:ascii="Arial" w:hAnsi="Arial" w:cs="Arial"/>
          <w:sz w:val="24"/>
        </w:rPr>
        <w:t xml:space="preserve"> will adapt to the changing work environment, these efforts will place the company as a cutting-edge and employee-oriented organization, which will prepare for even better successes in the future agricultural equipment industry.</w:t>
      </w:r>
    </w:p>
    <w:p w14:paraId="2C7CC73F" w14:textId="77777777" w:rsidR="00937DEB" w:rsidRDefault="00937DEB" w:rsidP="00937DEB">
      <w:pPr>
        <w:spacing w:line="360" w:lineRule="auto"/>
        <w:jc w:val="both"/>
        <w:rPr>
          <w:rFonts w:ascii="Arial" w:hAnsi="Arial" w:cs="Arial"/>
          <w:b/>
          <w:sz w:val="28"/>
        </w:rPr>
      </w:pPr>
      <w:r w:rsidRPr="00CA3F94">
        <w:rPr>
          <w:rFonts w:ascii="Arial" w:hAnsi="Arial" w:cs="Arial"/>
          <w:b/>
          <w:sz w:val="28"/>
        </w:rPr>
        <w:t>Recommendations</w:t>
      </w:r>
    </w:p>
    <w:p w14:paraId="49F4841E" w14:textId="77777777" w:rsidR="00A64FA5" w:rsidRPr="00A64FA5" w:rsidRDefault="00A64FA5" w:rsidP="00937DEB">
      <w:pPr>
        <w:spacing w:line="360" w:lineRule="auto"/>
        <w:jc w:val="both"/>
        <w:rPr>
          <w:rFonts w:ascii="Arial" w:hAnsi="Arial" w:cs="Arial"/>
          <w:sz w:val="24"/>
        </w:rPr>
      </w:pPr>
      <w:r w:rsidRPr="00A64FA5">
        <w:rPr>
          <w:rFonts w:ascii="Arial" w:hAnsi="Arial" w:cs="Arial"/>
          <w:sz w:val="24"/>
        </w:rPr>
        <w:t>The discussion on how the strategies can be monitored and evaluated over the time is described</w:t>
      </w:r>
      <w:r>
        <w:rPr>
          <w:rFonts w:ascii="Arial" w:hAnsi="Arial" w:cs="Arial"/>
          <w:sz w:val="24"/>
        </w:rPr>
        <w:t>; this may help in organisation marketing and improvisations by the time.</w:t>
      </w:r>
    </w:p>
    <w:p w14:paraId="447D50A2" w14:textId="77777777" w:rsidR="00CA3F94" w:rsidRPr="00CA3F94" w:rsidRDefault="00CA3F94" w:rsidP="00CA3F94">
      <w:pPr>
        <w:spacing w:line="360" w:lineRule="auto"/>
        <w:jc w:val="both"/>
        <w:rPr>
          <w:rFonts w:ascii="Arial" w:hAnsi="Arial" w:cs="Arial"/>
          <w:sz w:val="24"/>
        </w:rPr>
      </w:pPr>
      <w:r w:rsidRPr="00CA3F94">
        <w:rPr>
          <w:rFonts w:ascii="Arial" w:hAnsi="Arial" w:cs="Arial"/>
          <w:b/>
          <w:sz w:val="24"/>
        </w:rPr>
        <w:t>KPIs:</w:t>
      </w:r>
      <w:r w:rsidRPr="00CA3F94">
        <w:rPr>
          <w:rFonts w:ascii="Arial" w:hAnsi="Arial" w:cs="Arial"/>
          <w:sz w:val="24"/>
        </w:rPr>
        <w:t xml:space="preserve"> Deciding on metrics such as crop output, water use efficiency, pest control reduction, and the fire of </w:t>
      </w:r>
      <w:proofErr w:type="spellStart"/>
      <w:r w:rsidRPr="00CA3F94">
        <w:rPr>
          <w:rFonts w:ascii="Arial" w:hAnsi="Arial" w:cs="Arial"/>
          <w:sz w:val="24"/>
        </w:rPr>
        <w:t>agrotools</w:t>
      </w:r>
      <w:proofErr w:type="spellEnd"/>
      <w:r w:rsidRPr="00CA3F94">
        <w:rPr>
          <w:rFonts w:ascii="Arial" w:hAnsi="Arial" w:cs="Arial"/>
          <w:sz w:val="24"/>
        </w:rPr>
        <w:t xml:space="preserve"> is a vital part.</w:t>
      </w:r>
    </w:p>
    <w:p w14:paraId="168B399C" w14:textId="77777777" w:rsidR="00CA3F94" w:rsidRPr="00CA3F94" w:rsidRDefault="00CA3F94" w:rsidP="00CA3F94">
      <w:pPr>
        <w:spacing w:line="360" w:lineRule="auto"/>
        <w:jc w:val="both"/>
        <w:rPr>
          <w:rFonts w:ascii="Arial" w:hAnsi="Arial" w:cs="Arial"/>
          <w:sz w:val="24"/>
        </w:rPr>
      </w:pPr>
      <w:r w:rsidRPr="00CA3F94">
        <w:rPr>
          <w:rFonts w:ascii="Arial" w:hAnsi="Arial" w:cs="Arial"/>
          <w:b/>
          <w:sz w:val="24"/>
        </w:rPr>
        <w:t>Timeline:</w:t>
      </w:r>
      <w:r w:rsidRPr="00CA3F94">
        <w:rPr>
          <w:rFonts w:ascii="Arial" w:hAnsi="Arial" w:cs="Arial"/>
          <w:sz w:val="24"/>
        </w:rPr>
        <w:t xml:space="preserve"> Conduct </w:t>
      </w:r>
      <w:proofErr w:type="spellStart"/>
      <w:r w:rsidRPr="00CA3F94">
        <w:rPr>
          <w:rFonts w:ascii="Arial" w:hAnsi="Arial" w:cs="Arial"/>
          <w:sz w:val="24"/>
        </w:rPr>
        <w:t>agrotools</w:t>
      </w:r>
      <w:proofErr w:type="spellEnd"/>
      <w:r w:rsidRPr="00CA3F94">
        <w:rPr>
          <w:rFonts w:ascii="Arial" w:hAnsi="Arial" w:cs="Arial"/>
          <w:sz w:val="24"/>
        </w:rPr>
        <w:t xml:space="preserve"> roll-out process progressively, giving in to the factors like testing, training, and tweaking over time to ensure that the process is smooth enough to dispense with the old practices and rectify the new ones.</w:t>
      </w:r>
    </w:p>
    <w:p w14:paraId="762DD894" w14:textId="77777777" w:rsidR="00CA3F94" w:rsidRPr="00CA3F94" w:rsidRDefault="00CA3F94" w:rsidP="00CA3F94">
      <w:pPr>
        <w:spacing w:line="360" w:lineRule="auto"/>
        <w:jc w:val="both"/>
        <w:rPr>
          <w:rFonts w:ascii="Arial" w:hAnsi="Arial" w:cs="Arial"/>
          <w:sz w:val="24"/>
        </w:rPr>
      </w:pPr>
      <w:r w:rsidRPr="00CA3F94">
        <w:rPr>
          <w:rFonts w:ascii="Arial" w:hAnsi="Arial" w:cs="Arial"/>
          <w:b/>
          <w:sz w:val="24"/>
        </w:rPr>
        <w:t>Responsibilities:</w:t>
      </w:r>
      <w:r w:rsidRPr="00CA3F94">
        <w:rPr>
          <w:rFonts w:ascii="Arial" w:hAnsi="Arial" w:cs="Arial"/>
          <w:sz w:val="24"/>
        </w:rPr>
        <w:t xml:space="preserve"> Formulate position descriptions for using tools for training personnel, specify upkeep, and assess data management to fuel the </w:t>
      </w:r>
      <w:proofErr w:type="spellStart"/>
      <w:r w:rsidRPr="00CA3F94">
        <w:rPr>
          <w:rFonts w:ascii="Arial" w:hAnsi="Arial" w:cs="Arial"/>
          <w:sz w:val="24"/>
        </w:rPr>
        <w:t>agrotools</w:t>
      </w:r>
      <w:proofErr w:type="spellEnd"/>
      <w:r w:rsidRPr="00CA3F94">
        <w:rPr>
          <w:rFonts w:ascii="Arial" w:hAnsi="Arial" w:cs="Arial"/>
          <w:sz w:val="24"/>
        </w:rPr>
        <w:t>’ benefits.</w:t>
      </w:r>
    </w:p>
    <w:p w14:paraId="57DAADD6" w14:textId="77777777" w:rsidR="00CA3F94" w:rsidRPr="00CA3F94" w:rsidRDefault="00CA3F94" w:rsidP="00CA3F94">
      <w:pPr>
        <w:spacing w:line="360" w:lineRule="auto"/>
        <w:jc w:val="both"/>
        <w:rPr>
          <w:rFonts w:ascii="Arial" w:hAnsi="Arial" w:cs="Arial"/>
          <w:sz w:val="24"/>
        </w:rPr>
      </w:pPr>
      <w:r w:rsidRPr="00CA3F94">
        <w:rPr>
          <w:rFonts w:ascii="Arial" w:hAnsi="Arial" w:cs="Arial"/>
          <w:b/>
          <w:sz w:val="24"/>
        </w:rPr>
        <w:t>Data Collection:</w:t>
      </w:r>
      <w:r w:rsidRPr="00CA3F94">
        <w:rPr>
          <w:rFonts w:ascii="Arial" w:hAnsi="Arial" w:cs="Arial"/>
          <w:sz w:val="24"/>
        </w:rPr>
        <w:t xml:space="preserve"> Employ sensors and drones as </w:t>
      </w:r>
      <w:proofErr w:type="spellStart"/>
      <w:r w:rsidRPr="00CA3F94">
        <w:rPr>
          <w:rFonts w:ascii="Arial" w:hAnsi="Arial" w:cs="Arial"/>
          <w:sz w:val="24"/>
        </w:rPr>
        <w:t>agro</w:t>
      </w:r>
      <w:proofErr w:type="spellEnd"/>
      <w:r w:rsidRPr="00CA3F94">
        <w:rPr>
          <w:rFonts w:ascii="Arial" w:hAnsi="Arial" w:cs="Arial"/>
          <w:sz w:val="24"/>
        </w:rPr>
        <w:t xml:space="preserve"> technological devices for data collection and integration them to existing data management systems providing View All Instruction</w:t>
      </w:r>
      <w:r>
        <w:rPr>
          <w:rFonts w:ascii="Arial" w:hAnsi="Arial" w:cs="Arial"/>
          <w:sz w:val="24"/>
        </w:rPr>
        <w:t>.</w:t>
      </w:r>
    </w:p>
    <w:p w14:paraId="7B4BBF2F" w14:textId="77777777" w:rsidR="00CA3F94" w:rsidRPr="00CA3F94" w:rsidRDefault="00CA3F94" w:rsidP="00CA3F94">
      <w:pPr>
        <w:spacing w:line="360" w:lineRule="auto"/>
        <w:jc w:val="both"/>
        <w:rPr>
          <w:rFonts w:ascii="Arial" w:hAnsi="Arial" w:cs="Arial"/>
          <w:sz w:val="24"/>
        </w:rPr>
      </w:pPr>
      <w:r w:rsidRPr="00CA3F94">
        <w:rPr>
          <w:rFonts w:ascii="Arial" w:hAnsi="Arial" w:cs="Arial"/>
          <w:b/>
          <w:sz w:val="24"/>
        </w:rPr>
        <w:t>Evaluation:</w:t>
      </w:r>
      <w:r w:rsidRPr="00CA3F94">
        <w:rPr>
          <w:rFonts w:ascii="Arial" w:hAnsi="Arial" w:cs="Arial"/>
          <w:sz w:val="24"/>
        </w:rPr>
        <w:t xml:space="preserve"> Investigate the change on crop yields, input cost, environmental sustainability and efficiency to judge whether the </w:t>
      </w:r>
      <w:proofErr w:type="spellStart"/>
      <w:r w:rsidRPr="00CA3F94">
        <w:rPr>
          <w:rFonts w:ascii="Arial" w:hAnsi="Arial" w:cs="Arial"/>
          <w:sz w:val="24"/>
        </w:rPr>
        <w:t>agrotool</w:t>
      </w:r>
      <w:proofErr w:type="spellEnd"/>
      <w:r w:rsidRPr="00CA3F94">
        <w:rPr>
          <w:rFonts w:ascii="Arial" w:hAnsi="Arial" w:cs="Arial"/>
          <w:sz w:val="24"/>
        </w:rPr>
        <w:t xml:space="preserve"> has fulfilled its role of integration.</w:t>
      </w:r>
    </w:p>
    <w:p w14:paraId="23F2631D" w14:textId="77777777" w:rsidR="00937DEB" w:rsidRDefault="00937DEB" w:rsidP="00CA3F94">
      <w:pPr>
        <w:spacing w:line="360" w:lineRule="auto"/>
        <w:jc w:val="both"/>
        <w:rPr>
          <w:rFonts w:ascii="Arial" w:hAnsi="Arial" w:cs="Arial"/>
          <w:sz w:val="24"/>
        </w:rPr>
      </w:pPr>
      <w:r>
        <w:rPr>
          <w:rFonts w:ascii="Arial" w:hAnsi="Arial" w:cs="Arial"/>
          <w:sz w:val="24"/>
        </w:rPr>
        <w:br w:type="page"/>
      </w:r>
    </w:p>
    <w:p w14:paraId="24D11EE3" w14:textId="77777777" w:rsidR="00937DEB" w:rsidRPr="008032D3" w:rsidRDefault="00937DEB" w:rsidP="00937DEB">
      <w:pPr>
        <w:pStyle w:val="Heading1"/>
        <w:spacing w:line="360" w:lineRule="auto"/>
        <w:jc w:val="both"/>
        <w:rPr>
          <w:rFonts w:ascii="Arial" w:hAnsi="Arial" w:cs="Arial"/>
        </w:rPr>
      </w:pPr>
      <w:bookmarkStart w:id="7" w:name="_Toc162437852"/>
      <w:bookmarkStart w:id="8" w:name="_Toc162440337"/>
      <w:r w:rsidRPr="008032D3">
        <w:rPr>
          <w:rFonts w:ascii="Arial" w:hAnsi="Arial" w:cs="Arial"/>
        </w:rPr>
        <w:lastRenderedPageBreak/>
        <w:t>References</w:t>
      </w:r>
      <w:bookmarkEnd w:id="7"/>
      <w:bookmarkEnd w:id="8"/>
    </w:p>
    <w:p w14:paraId="059AABA8" w14:textId="77777777" w:rsidR="00937DEB" w:rsidRPr="008032D3" w:rsidRDefault="00937DEB" w:rsidP="00937DEB">
      <w:pPr>
        <w:spacing w:line="360" w:lineRule="auto"/>
        <w:jc w:val="both"/>
        <w:rPr>
          <w:rFonts w:ascii="Arial" w:hAnsi="Arial" w:cs="Arial"/>
          <w:sz w:val="24"/>
          <w:szCs w:val="24"/>
        </w:rPr>
      </w:pPr>
      <w:r w:rsidRPr="008032D3">
        <w:rPr>
          <w:rFonts w:ascii="Arial" w:hAnsi="Arial" w:cs="Arial"/>
          <w:color w:val="222222"/>
          <w:sz w:val="24"/>
          <w:szCs w:val="24"/>
          <w:shd w:val="clear" w:color="auto" w:fill="FFFFFF"/>
        </w:rPr>
        <w:t xml:space="preserve">Amirul, S.R. and Shaari, S.C., (2021) ‘An overview: twenty years of flexible working </w:t>
      </w:r>
      <w:proofErr w:type="gramStart"/>
      <w:r w:rsidRPr="008032D3">
        <w:rPr>
          <w:rFonts w:ascii="Arial" w:hAnsi="Arial" w:cs="Arial"/>
          <w:color w:val="222222"/>
          <w:sz w:val="24"/>
          <w:szCs w:val="24"/>
          <w:shd w:val="clear" w:color="auto" w:fill="FFFFFF"/>
        </w:rPr>
        <w:t>arrangements’</w:t>
      </w:r>
      <w:proofErr w:type="gramEnd"/>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Advances in Business Research International Journal</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7</w:t>
      </w:r>
      <w:r w:rsidRPr="008032D3">
        <w:rPr>
          <w:rFonts w:ascii="Arial" w:hAnsi="Arial" w:cs="Arial"/>
          <w:color w:val="222222"/>
          <w:sz w:val="24"/>
          <w:szCs w:val="24"/>
          <w:shd w:val="clear" w:color="auto" w:fill="FFFFFF"/>
        </w:rPr>
        <w:t>(2), pp.27-41.</w:t>
      </w:r>
    </w:p>
    <w:p w14:paraId="19B8008F" w14:textId="77777777" w:rsidR="00937DEB" w:rsidRPr="008032D3" w:rsidRDefault="00937DEB" w:rsidP="00937DEB">
      <w:pPr>
        <w:spacing w:line="360" w:lineRule="auto"/>
        <w:jc w:val="both"/>
        <w:rPr>
          <w:rFonts w:ascii="Arial" w:hAnsi="Arial" w:cs="Arial"/>
          <w:color w:val="222222"/>
          <w:sz w:val="24"/>
          <w:szCs w:val="24"/>
          <w:shd w:val="clear" w:color="auto" w:fill="FFFFFF"/>
        </w:rPr>
      </w:pPr>
      <w:proofErr w:type="spellStart"/>
      <w:r w:rsidRPr="008032D3">
        <w:rPr>
          <w:rFonts w:ascii="Arial" w:hAnsi="Arial" w:cs="Arial"/>
          <w:color w:val="222222"/>
          <w:sz w:val="24"/>
          <w:szCs w:val="24"/>
          <w:shd w:val="clear" w:color="auto" w:fill="FFFFFF"/>
        </w:rPr>
        <w:t>Angelici</w:t>
      </w:r>
      <w:proofErr w:type="spellEnd"/>
      <w:r w:rsidRPr="008032D3">
        <w:rPr>
          <w:rFonts w:ascii="Arial" w:hAnsi="Arial" w:cs="Arial"/>
          <w:color w:val="222222"/>
          <w:sz w:val="24"/>
          <w:szCs w:val="24"/>
          <w:shd w:val="clear" w:color="auto" w:fill="FFFFFF"/>
        </w:rPr>
        <w:t xml:space="preserve">, M. and Profeta, P., (2023) ‘Smart working: work flexibility without </w:t>
      </w:r>
      <w:proofErr w:type="gramStart"/>
      <w:r w:rsidRPr="008032D3">
        <w:rPr>
          <w:rFonts w:ascii="Arial" w:hAnsi="Arial" w:cs="Arial"/>
          <w:color w:val="222222"/>
          <w:sz w:val="24"/>
          <w:szCs w:val="24"/>
          <w:shd w:val="clear" w:color="auto" w:fill="FFFFFF"/>
        </w:rPr>
        <w:t>constraints’</w:t>
      </w:r>
      <w:proofErr w:type="gramEnd"/>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Management Science</w:t>
      </w:r>
      <w:r w:rsidRPr="008032D3">
        <w:rPr>
          <w:rFonts w:ascii="Arial" w:hAnsi="Arial" w:cs="Arial"/>
          <w:color w:val="222222"/>
          <w:sz w:val="24"/>
          <w:szCs w:val="24"/>
          <w:shd w:val="clear" w:color="auto" w:fill="FFFFFF"/>
        </w:rPr>
        <w:t>.</w:t>
      </w:r>
    </w:p>
    <w:p w14:paraId="42FA2E17" w14:textId="77777777" w:rsidR="00937DEB" w:rsidRPr="008032D3" w:rsidRDefault="00937DEB" w:rsidP="00937DEB">
      <w:pPr>
        <w:spacing w:line="360" w:lineRule="auto"/>
        <w:jc w:val="both"/>
        <w:rPr>
          <w:rFonts w:ascii="Arial" w:hAnsi="Arial" w:cs="Arial"/>
          <w:sz w:val="24"/>
          <w:szCs w:val="24"/>
        </w:rPr>
      </w:pPr>
      <w:r w:rsidRPr="008032D3">
        <w:rPr>
          <w:rFonts w:ascii="Arial" w:hAnsi="Arial" w:cs="Arial"/>
          <w:color w:val="222222"/>
          <w:sz w:val="24"/>
          <w:szCs w:val="24"/>
          <w:shd w:val="clear" w:color="auto" w:fill="FFFFFF"/>
        </w:rPr>
        <w:t>Austin-</w:t>
      </w:r>
      <w:proofErr w:type="spellStart"/>
      <w:r w:rsidRPr="008032D3">
        <w:rPr>
          <w:rFonts w:ascii="Arial" w:hAnsi="Arial" w:cs="Arial"/>
          <w:color w:val="222222"/>
          <w:sz w:val="24"/>
          <w:szCs w:val="24"/>
          <w:shd w:val="clear" w:color="auto" w:fill="FFFFFF"/>
        </w:rPr>
        <w:t>Egole</w:t>
      </w:r>
      <w:proofErr w:type="spellEnd"/>
      <w:r w:rsidRPr="008032D3">
        <w:rPr>
          <w:rFonts w:ascii="Arial" w:hAnsi="Arial" w:cs="Arial"/>
          <w:color w:val="222222"/>
          <w:sz w:val="24"/>
          <w:szCs w:val="24"/>
          <w:shd w:val="clear" w:color="auto" w:fill="FFFFFF"/>
        </w:rPr>
        <w:t>, I.S.</w:t>
      </w:r>
      <w:proofErr w:type="gramStart"/>
      <w:r w:rsidRPr="008032D3">
        <w:rPr>
          <w:rFonts w:ascii="Arial" w:hAnsi="Arial" w:cs="Arial"/>
          <w:color w:val="222222"/>
          <w:sz w:val="24"/>
          <w:szCs w:val="24"/>
          <w:shd w:val="clear" w:color="auto" w:fill="FFFFFF"/>
        </w:rPr>
        <w:t>,  et al.</w:t>
      </w:r>
      <w:proofErr w:type="gramEnd"/>
      <w:r w:rsidRPr="008032D3">
        <w:rPr>
          <w:rFonts w:ascii="Arial" w:hAnsi="Arial" w:cs="Arial"/>
          <w:color w:val="222222"/>
          <w:sz w:val="24"/>
          <w:szCs w:val="24"/>
          <w:shd w:val="clear" w:color="auto" w:fill="FFFFFF"/>
        </w:rPr>
        <w:t>, (2020) ‘Flexible working arrangements and organizational performance: An overview’. </w:t>
      </w:r>
      <w:r w:rsidRPr="008032D3">
        <w:rPr>
          <w:rFonts w:ascii="Arial" w:hAnsi="Arial" w:cs="Arial"/>
          <w:i/>
          <w:iCs/>
          <w:color w:val="222222"/>
          <w:sz w:val="24"/>
          <w:szCs w:val="24"/>
          <w:shd w:val="clear" w:color="auto" w:fill="FFFFFF"/>
        </w:rPr>
        <w:t>IOSR Journal of Humanities and Social Science (IOSR-JHSS)</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25</w:t>
      </w:r>
      <w:r w:rsidRPr="008032D3">
        <w:rPr>
          <w:rFonts w:ascii="Arial" w:hAnsi="Arial" w:cs="Arial"/>
          <w:color w:val="222222"/>
          <w:sz w:val="24"/>
          <w:szCs w:val="24"/>
          <w:shd w:val="clear" w:color="auto" w:fill="FFFFFF"/>
        </w:rPr>
        <w:t>(5), pp.50-59.</w:t>
      </w:r>
    </w:p>
    <w:p w14:paraId="12C6EE6B"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t xml:space="preserve">Bucklin, B.R. et al., (2022) ‘Pay-for-performance: </w:t>
      </w:r>
      <w:proofErr w:type="spellStart"/>
      <w:r w:rsidRPr="008032D3">
        <w:rPr>
          <w:rFonts w:ascii="Arial" w:hAnsi="Arial" w:cs="Arial"/>
          <w:color w:val="222222"/>
          <w:sz w:val="24"/>
          <w:szCs w:val="24"/>
          <w:shd w:val="clear" w:color="auto" w:fill="FFFFFF"/>
        </w:rPr>
        <w:t>Behavior</w:t>
      </w:r>
      <w:proofErr w:type="spellEnd"/>
      <w:r w:rsidRPr="008032D3">
        <w:rPr>
          <w:rFonts w:ascii="Arial" w:hAnsi="Arial" w:cs="Arial"/>
          <w:color w:val="222222"/>
          <w:sz w:val="24"/>
          <w:szCs w:val="24"/>
          <w:shd w:val="clear" w:color="auto" w:fill="FFFFFF"/>
        </w:rPr>
        <w:t>-based recommendations from research and practice’. </w:t>
      </w:r>
      <w:r w:rsidRPr="008032D3">
        <w:rPr>
          <w:rFonts w:ascii="Arial" w:hAnsi="Arial" w:cs="Arial"/>
          <w:i/>
          <w:iCs/>
          <w:color w:val="222222"/>
          <w:sz w:val="24"/>
          <w:szCs w:val="24"/>
          <w:shd w:val="clear" w:color="auto" w:fill="FFFFFF"/>
        </w:rPr>
        <w:t xml:space="preserve">Journal of Organizational </w:t>
      </w:r>
      <w:proofErr w:type="spellStart"/>
      <w:r w:rsidRPr="008032D3">
        <w:rPr>
          <w:rFonts w:ascii="Arial" w:hAnsi="Arial" w:cs="Arial"/>
          <w:i/>
          <w:iCs/>
          <w:color w:val="222222"/>
          <w:sz w:val="24"/>
          <w:szCs w:val="24"/>
          <w:shd w:val="clear" w:color="auto" w:fill="FFFFFF"/>
        </w:rPr>
        <w:t>Behavior</w:t>
      </w:r>
      <w:proofErr w:type="spellEnd"/>
      <w:r w:rsidRPr="008032D3">
        <w:rPr>
          <w:rFonts w:ascii="Arial" w:hAnsi="Arial" w:cs="Arial"/>
          <w:i/>
          <w:iCs/>
          <w:color w:val="222222"/>
          <w:sz w:val="24"/>
          <w:szCs w:val="24"/>
          <w:shd w:val="clear" w:color="auto" w:fill="FFFFFF"/>
        </w:rPr>
        <w:t xml:space="preserve"> Management</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42</w:t>
      </w:r>
      <w:r w:rsidRPr="008032D3">
        <w:rPr>
          <w:rFonts w:ascii="Arial" w:hAnsi="Arial" w:cs="Arial"/>
          <w:color w:val="222222"/>
          <w:sz w:val="24"/>
          <w:szCs w:val="24"/>
          <w:shd w:val="clear" w:color="auto" w:fill="FFFFFF"/>
        </w:rPr>
        <w:t>(4), pp.309-335.</w:t>
      </w:r>
    </w:p>
    <w:p w14:paraId="74B52BFA"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t>Cahyono, S.E. et al., (2021) ‘October. The Smart Application Approval Feasibility of Potential Customers Based on Decision Support System’. In </w:t>
      </w:r>
      <w:r w:rsidRPr="008032D3">
        <w:rPr>
          <w:rFonts w:ascii="Arial" w:hAnsi="Arial" w:cs="Arial"/>
          <w:i/>
          <w:iCs/>
          <w:color w:val="222222"/>
          <w:sz w:val="24"/>
          <w:szCs w:val="24"/>
          <w:shd w:val="clear" w:color="auto" w:fill="FFFFFF"/>
        </w:rPr>
        <w:t>2021 3rd International Conference on Research and Academic Community Services (ICRACOS)</w:t>
      </w:r>
      <w:r w:rsidRPr="008032D3">
        <w:rPr>
          <w:rFonts w:ascii="Arial" w:hAnsi="Arial" w:cs="Arial"/>
          <w:color w:val="222222"/>
          <w:sz w:val="24"/>
          <w:szCs w:val="24"/>
          <w:shd w:val="clear" w:color="auto" w:fill="FFFFFF"/>
        </w:rPr>
        <w:t> (pp. 234-238). IEEE.</w:t>
      </w:r>
    </w:p>
    <w:p w14:paraId="6564FCFF"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t>Char, D.S.</w:t>
      </w:r>
      <w:proofErr w:type="gramStart"/>
      <w:r w:rsidRPr="008032D3">
        <w:rPr>
          <w:rFonts w:ascii="Arial" w:hAnsi="Arial" w:cs="Arial"/>
          <w:color w:val="222222"/>
          <w:sz w:val="24"/>
          <w:szCs w:val="24"/>
          <w:shd w:val="clear" w:color="auto" w:fill="FFFFFF"/>
        </w:rPr>
        <w:t>,  et al.</w:t>
      </w:r>
      <w:proofErr w:type="gramEnd"/>
      <w:r w:rsidRPr="008032D3">
        <w:rPr>
          <w:rFonts w:ascii="Arial" w:hAnsi="Arial" w:cs="Arial"/>
          <w:color w:val="222222"/>
          <w:sz w:val="24"/>
          <w:szCs w:val="24"/>
          <w:shd w:val="clear" w:color="auto" w:fill="FFFFFF"/>
        </w:rPr>
        <w:t>, (2020) ‘Identifying ethical considerations for machine learning healthcare applications’. </w:t>
      </w:r>
      <w:r w:rsidRPr="008032D3">
        <w:rPr>
          <w:rFonts w:ascii="Arial" w:hAnsi="Arial" w:cs="Arial"/>
          <w:i/>
          <w:iCs/>
          <w:color w:val="222222"/>
          <w:sz w:val="24"/>
          <w:szCs w:val="24"/>
          <w:shd w:val="clear" w:color="auto" w:fill="FFFFFF"/>
        </w:rPr>
        <w:t>The American Journal of Bioethics</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20</w:t>
      </w:r>
      <w:r w:rsidRPr="008032D3">
        <w:rPr>
          <w:rFonts w:ascii="Arial" w:hAnsi="Arial" w:cs="Arial"/>
          <w:color w:val="222222"/>
          <w:sz w:val="24"/>
          <w:szCs w:val="24"/>
          <w:shd w:val="clear" w:color="auto" w:fill="FFFFFF"/>
        </w:rPr>
        <w:t>(11), pp.7-17.</w:t>
      </w:r>
    </w:p>
    <w:p w14:paraId="6E4AA11E"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t>Ghorpade, Y. et al., (2023) ‘The Valuation of Flexible Work Arrangements’.</w:t>
      </w:r>
    </w:p>
    <w:p w14:paraId="4013FDF9" w14:textId="77777777" w:rsidR="00937DEB" w:rsidRPr="008032D3" w:rsidRDefault="00937DEB" w:rsidP="00937DEB">
      <w:pPr>
        <w:spacing w:line="360" w:lineRule="auto"/>
        <w:jc w:val="both"/>
        <w:rPr>
          <w:rFonts w:ascii="Arial" w:hAnsi="Arial" w:cs="Arial"/>
          <w:sz w:val="24"/>
          <w:szCs w:val="24"/>
        </w:rPr>
      </w:pPr>
      <w:r w:rsidRPr="008032D3">
        <w:rPr>
          <w:rFonts w:ascii="Arial" w:hAnsi="Arial" w:cs="Arial"/>
          <w:color w:val="222222"/>
          <w:sz w:val="24"/>
          <w:szCs w:val="24"/>
          <w:shd w:val="clear" w:color="auto" w:fill="FFFFFF"/>
        </w:rPr>
        <w:t xml:space="preserve">Green, N. et al., (2020) ‘Working from home before, during and after the Covid-19 pandemic: implications for workers and </w:t>
      </w:r>
      <w:proofErr w:type="gramStart"/>
      <w:r w:rsidRPr="008032D3">
        <w:rPr>
          <w:rFonts w:ascii="Arial" w:hAnsi="Arial" w:cs="Arial"/>
          <w:color w:val="222222"/>
          <w:sz w:val="24"/>
          <w:szCs w:val="24"/>
          <w:shd w:val="clear" w:color="auto" w:fill="FFFFFF"/>
        </w:rPr>
        <w:t>organisations’</w:t>
      </w:r>
      <w:proofErr w:type="gramEnd"/>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New Zealand Journal of Employment Relations</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45</w:t>
      </w:r>
      <w:r w:rsidRPr="008032D3">
        <w:rPr>
          <w:rFonts w:ascii="Arial" w:hAnsi="Arial" w:cs="Arial"/>
          <w:color w:val="222222"/>
          <w:sz w:val="24"/>
          <w:szCs w:val="24"/>
          <w:shd w:val="clear" w:color="auto" w:fill="FFFFFF"/>
        </w:rPr>
        <w:t>(2), pp.5-16.</w:t>
      </w:r>
    </w:p>
    <w:p w14:paraId="5A031FE2" w14:textId="77777777" w:rsidR="00937DEB" w:rsidRPr="008032D3" w:rsidRDefault="00937DEB" w:rsidP="00937DEB">
      <w:pPr>
        <w:spacing w:line="360" w:lineRule="auto"/>
        <w:jc w:val="both"/>
        <w:rPr>
          <w:rFonts w:ascii="Arial" w:hAnsi="Arial" w:cs="Arial"/>
          <w:sz w:val="24"/>
          <w:szCs w:val="24"/>
        </w:rPr>
      </w:pPr>
      <w:proofErr w:type="spellStart"/>
      <w:r w:rsidRPr="008032D3">
        <w:rPr>
          <w:rFonts w:ascii="Arial" w:hAnsi="Arial" w:cs="Arial"/>
          <w:color w:val="222222"/>
          <w:sz w:val="24"/>
          <w:szCs w:val="24"/>
          <w:shd w:val="clear" w:color="auto" w:fill="FFFFFF"/>
        </w:rPr>
        <w:t>Karoso</w:t>
      </w:r>
      <w:proofErr w:type="spellEnd"/>
      <w:r w:rsidRPr="008032D3">
        <w:rPr>
          <w:rFonts w:ascii="Arial" w:hAnsi="Arial" w:cs="Arial"/>
          <w:color w:val="222222"/>
          <w:sz w:val="24"/>
          <w:szCs w:val="24"/>
          <w:shd w:val="clear" w:color="auto" w:fill="FFFFFF"/>
        </w:rPr>
        <w:t>, S. et al.</w:t>
      </w:r>
      <w:proofErr w:type="gramStart"/>
      <w:r w:rsidRPr="008032D3">
        <w:rPr>
          <w:rFonts w:ascii="Arial" w:hAnsi="Arial" w:cs="Arial"/>
          <w:color w:val="222222"/>
          <w:sz w:val="24"/>
          <w:szCs w:val="24"/>
          <w:shd w:val="clear" w:color="auto" w:fill="FFFFFF"/>
        </w:rPr>
        <w:t>,  (</w:t>
      </w:r>
      <w:proofErr w:type="gramEnd"/>
      <w:r w:rsidRPr="008032D3">
        <w:rPr>
          <w:rFonts w:ascii="Arial" w:hAnsi="Arial" w:cs="Arial"/>
          <w:color w:val="222222"/>
          <w:sz w:val="24"/>
          <w:szCs w:val="24"/>
          <w:shd w:val="clear" w:color="auto" w:fill="FFFFFF"/>
        </w:rPr>
        <w:t>2022) ‘</w:t>
      </w:r>
      <w:proofErr w:type="spellStart"/>
      <w:r w:rsidRPr="008032D3">
        <w:rPr>
          <w:rFonts w:ascii="Arial" w:hAnsi="Arial" w:cs="Arial"/>
          <w:color w:val="222222"/>
          <w:sz w:val="24"/>
          <w:szCs w:val="24"/>
          <w:shd w:val="clear" w:color="auto" w:fill="FFFFFF"/>
        </w:rPr>
        <w:t>Analyzing</w:t>
      </w:r>
      <w:proofErr w:type="spellEnd"/>
      <w:r w:rsidRPr="008032D3">
        <w:rPr>
          <w:rFonts w:ascii="Arial" w:hAnsi="Arial" w:cs="Arial"/>
          <w:color w:val="222222"/>
          <w:sz w:val="24"/>
          <w:szCs w:val="24"/>
          <w:shd w:val="clear" w:color="auto" w:fill="FFFFFF"/>
        </w:rPr>
        <w:t xml:space="preserve"> the relationship of work environment and quality of work life on employee performance: The mediating role of organizational commitment’. </w:t>
      </w:r>
      <w:r w:rsidRPr="008032D3">
        <w:rPr>
          <w:rFonts w:ascii="Arial" w:hAnsi="Arial" w:cs="Arial"/>
          <w:i/>
          <w:iCs/>
          <w:color w:val="222222"/>
          <w:sz w:val="24"/>
          <w:szCs w:val="24"/>
          <w:shd w:val="clear" w:color="auto" w:fill="FFFFFF"/>
        </w:rPr>
        <w:t>Journal of Madani Society</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1</w:t>
      </w:r>
      <w:r w:rsidRPr="008032D3">
        <w:rPr>
          <w:rFonts w:ascii="Arial" w:hAnsi="Arial" w:cs="Arial"/>
          <w:color w:val="222222"/>
          <w:sz w:val="24"/>
          <w:szCs w:val="24"/>
          <w:shd w:val="clear" w:color="auto" w:fill="FFFFFF"/>
        </w:rPr>
        <w:t>(3), pp.167-173.</w:t>
      </w:r>
    </w:p>
    <w:p w14:paraId="44EB068E"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t>Marques, V.C. and Berry, G.R., (2021) ‘Enhancing work</w:t>
      </w:r>
      <w:r w:rsidRPr="008032D3">
        <w:rPr>
          <w:rFonts w:ascii="Cambria Math" w:hAnsi="Cambria Math" w:cs="Cambria Math"/>
          <w:color w:val="222222"/>
          <w:sz w:val="24"/>
          <w:szCs w:val="24"/>
          <w:shd w:val="clear" w:color="auto" w:fill="FFFFFF"/>
        </w:rPr>
        <w:t>‐</w:t>
      </w:r>
      <w:r w:rsidRPr="008032D3">
        <w:rPr>
          <w:rFonts w:ascii="Arial" w:hAnsi="Arial" w:cs="Arial"/>
          <w:color w:val="222222"/>
          <w:sz w:val="24"/>
          <w:szCs w:val="24"/>
          <w:shd w:val="clear" w:color="auto" w:fill="FFFFFF"/>
        </w:rPr>
        <w:t>life balance using a resilience framework’. </w:t>
      </w:r>
      <w:r w:rsidRPr="008032D3">
        <w:rPr>
          <w:rFonts w:ascii="Arial" w:hAnsi="Arial" w:cs="Arial"/>
          <w:i/>
          <w:iCs/>
          <w:color w:val="222222"/>
          <w:sz w:val="24"/>
          <w:szCs w:val="24"/>
          <w:shd w:val="clear" w:color="auto" w:fill="FFFFFF"/>
        </w:rPr>
        <w:t>Business and Society Review</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126</w:t>
      </w:r>
      <w:r w:rsidRPr="008032D3">
        <w:rPr>
          <w:rFonts w:ascii="Arial" w:hAnsi="Arial" w:cs="Arial"/>
          <w:color w:val="222222"/>
          <w:sz w:val="24"/>
          <w:szCs w:val="24"/>
          <w:shd w:val="clear" w:color="auto" w:fill="FFFFFF"/>
        </w:rPr>
        <w:t>(3), pp.263-281.</w:t>
      </w:r>
    </w:p>
    <w:p w14:paraId="07674D2E"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lastRenderedPageBreak/>
        <w:t xml:space="preserve">Mazzetti, G. and Schaufeli, W.B., (2022) ‘The impact of engaging leadership on employee engagement and team effectiveness: A longitudinal, multi-level study on the mediating role of personal-and team </w:t>
      </w:r>
      <w:proofErr w:type="gramStart"/>
      <w:r w:rsidRPr="008032D3">
        <w:rPr>
          <w:rFonts w:ascii="Arial" w:hAnsi="Arial" w:cs="Arial"/>
          <w:color w:val="222222"/>
          <w:sz w:val="24"/>
          <w:szCs w:val="24"/>
          <w:shd w:val="clear" w:color="auto" w:fill="FFFFFF"/>
        </w:rPr>
        <w:t>resources’</w:t>
      </w:r>
      <w:proofErr w:type="gramEnd"/>
      <w:r w:rsidRPr="008032D3">
        <w:rPr>
          <w:rFonts w:ascii="Arial" w:hAnsi="Arial" w:cs="Arial"/>
          <w:color w:val="222222"/>
          <w:sz w:val="24"/>
          <w:szCs w:val="24"/>
          <w:shd w:val="clear" w:color="auto" w:fill="FFFFFF"/>
        </w:rPr>
        <w:t>. </w:t>
      </w:r>
      <w:proofErr w:type="spellStart"/>
      <w:r w:rsidRPr="008032D3">
        <w:rPr>
          <w:rFonts w:ascii="Arial" w:hAnsi="Arial" w:cs="Arial"/>
          <w:i/>
          <w:iCs/>
          <w:color w:val="222222"/>
          <w:sz w:val="24"/>
          <w:szCs w:val="24"/>
          <w:shd w:val="clear" w:color="auto" w:fill="FFFFFF"/>
        </w:rPr>
        <w:t>Plos</w:t>
      </w:r>
      <w:proofErr w:type="spellEnd"/>
      <w:r w:rsidRPr="008032D3">
        <w:rPr>
          <w:rFonts w:ascii="Arial" w:hAnsi="Arial" w:cs="Arial"/>
          <w:i/>
          <w:iCs/>
          <w:color w:val="222222"/>
          <w:sz w:val="24"/>
          <w:szCs w:val="24"/>
          <w:shd w:val="clear" w:color="auto" w:fill="FFFFFF"/>
        </w:rPr>
        <w:t xml:space="preserve"> one</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17</w:t>
      </w:r>
      <w:r w:rsidRPr="008032D3">
        <w:rPr>
          <w:rFonts w:ascii="Arial" w:hAnsi="Arial" w:cs="Arial"/>
          <w:color w:val="222222"/>
          <w:sz w:val="24"/>
          <w:szCs w:val="24"/>
          <w:shd w:val="clear" w:color="auto" w:fill="FFFFFF"/>
        </w:rPr>
        <w:t>(6), p.e0269433.</w:t>
      </w:r>
    </w:p>
    <w:p w14:paraId="21089E27" w14:textId="77777777" w:rsidR="00937DEB" w:rsidRPr="008032D3" w:rsidRDefault="00937DEB" w:rsidP="00937DEB">
      <w:pPr>
        <w:spacing w:line="360" w:lineRule="auto"/>
        <w:jc w:val="both"/>
        <w:rPr>
          <w:rFonts w:ascii="Arial" w:hAnsi="Arial" w:cs="Arial"/>
          <w:sz w:val="24"/>
          <w:szCs w:val="24"/>
        </w:rPr>
      </w:pPr>
      <w:r w:rsidRPr="008032D3">
        <w:rPr>
          <w:rFonts w:ascii="Arial" w:hAnsi="Arial" w:cs="Arial"/>
          <w:color w:val="222222"/>
          <w:sz w:val="24"/>
          <w:szCs w:val="24"/>
          <w:shd w:val="clear" w:color="auto" w:fill="FFFFFF"/>
        </w:rPr>
        <w:t>Montani, F., et al., (2020) ‘Employee recognition, meaningfulness and behavioural involvement: Test of a moderated mediation model’. </w:t>
      </w:r>
      <w:r w:rsidRPr="008032D3">
        <w:rPr>
          <w:rFonts w:ascii="Arial" w:hAnsi="Arial" w:cs="Arial"/>
          <w:i/>
          <w:iCs/>
          <w:color w:val="222222"/>
          <w:sz w:val="24"/>
          <w:szCs w:val="24"/>
          <w:shd w:val="clear" w:color="auto" w:fill="FFFFFF"/>
        </w:rPr>
        <w:t>The International Journal of Human Resource Management</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31</w:t>
      </w:r>
      <w:r w:rsidRPr="008032D3">
        <w:rPr>
          <w:rFonts w:ascii="Arial" w:hAnsi="Arial" w:cs="Arial"/>
          <w:color w:val="222222"/>
          <w:sz w:val="24"/>
          <w:szCs w:val="24"/>
          <w:shd w:val="clear" w:color="auto" w:fill="FFFFFF"/>
        </w:rPr>
        <w:t>(3), pp.356-384.</w:t>
      </w:r>
    </w:p>
    <w:p w14:paraId="62A7F9BC" w14:textId="77777777" w:rsidR="00937DEB" w:rsidRPr="008032D3" w:rsidRDefault="00937DEB" w:rsidP="00937DEB">
      <w:pPr>
        <w:spacing w:line="360" w:lineRule="auto"/>
        <w:jc w:val="both"/>
        <w:rPr>
          <w:rFonts w:ascii="Arial" w:hAnsi="Arial" w:cs="Arial"/>
          <w:sz w:val="24"/>
          <w:szCs w:val="24"/>
        </w:rPr>
      </w:pPr>
      <w:r w:rsidRPr="008032D3">
        <w:rPr>
          <w:rFonts w:ascii="Arial" w:hAnsi="Arial" w:cs="Arial"/>
          <w:color w:val="222222"/>
          <w:sz w:val="24"/>
          <w:szCs w:val="24"/>
          <w:shd w:val="clear" w:color="auto" w:fill="FFFFFF"/>
        </w:rPr>
        <w:t>Nienaber, H. and Martins, N., (2020) ‘Exploratory study: Determine which dimensions enhance the levels of employee engagement to improve organisational effectiveness’. </w:t>
      </w:r>
      <w:r w:rsidRPr="008032D3">
        <w:rPr>
          <w:rFonts w:ascii="Arial" w:hAnsi="Arial" w:cs="Arial"/>
          <w:i/>
          <w:iCs/>
          <w:color w:val="222222"/>
          <w:sz w:val="24"/>
          <w:szCs w:val="24"/>
          <w:shd w:val="clear" w:color="auto" w:fill="FFFFFF"/>
        </w:rPr>
        <w:t>The TQM Journal</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32</w:t>
      </w:r>
      <w:r w:rsidRPr="008032D3">
        <w:rPr>
          <w:rFonts w:ascii="Arial" w:hAnsi="Arial" w:cs="Arial"/>
          <w:color w:val="222222"/>
          <w:sz w:val="24"/>
          <w:szCs w:val="24"/>
          <w:shd w:val="clear" w:color="auto" w:fill="FFFFFF"/>
        </w:rPr>
        <w:t>(3), pp.475-495.</w:t>
      </w:r>
    </w:p>
    <w:p w14:paraId="61248AA5" w14:textId="77777777" w:rsidR="00937DEB" w:rsidRPr="008032D3" w:rsidRDefault="00937DEB" w:rsidP="00937DEB">
      <w:pPr>
        <w:spacing w:line="360" w:lineRule="auto"/>
        <w:jc w:val="both"/>
        <w:rPr>
          <w:rFonts w:ascii="Arial" w:hAnsi="Arial" w:cs="Arial"/>
          <w:color w:val="222222"/>
          <w:sz w:val="24"/>
          <w:szCs w:val="24"/>
          <w:shd w:val="clear" w:color="auto" w:fill="FFFFFF"/>
        </w:rPr>
      </w:pPr>
      <w:proofErr w:type="spellStart"/>
      <w:r w:rsidRPr="008032D3">
        <w:rPr>
          <w:rFonts w:ascii="Arial" w:hAnsi="Arial" w:cs="Arial"/>
          <w:color w:val="222222"/>
          <w:sz w:val="24"/>
          <w:szCs w:val="24"/>
          <w:shd w:val="clear" w:color="auto" w:fill="FFFFFF"/>
        </w:rPr>
        <w:t>Ostovari</w:t>
      </w:r>
      <w:proofErr w:type="spellEnd"/>
      <w:r w:rsidRPr="008032D3">
        <w:rPr>
          <w:rFonts w:ascii="Arial" w:hAnsi="Arial" w:cs="Arial"/>
          <w:color w:val="222222"/>
          <w:sz w:val="24"/>
          <w:szCs w:val="24"/>
          <w:shd w:val="clear" w:color="auto" w:fill="FFFFFF"/>
        </w:rPr>
        <w:t xml:space="preserve">, A. et al., (2024) ‘Multi-Objective Workforce and Process Planning </w:t>
      </w:r>
      <w:proofErr w:type="gramStart"/>
      <w:r w:rsidRPr="008032D3">
        <w:rPr>
          <w:rFonts w:ascii="Arial" w:hAnsi="Arial" w:cs="Arial"/>
          <w:color w:val="222222"/>
          <w:sz w:val="24"/>
          <w:szCs w:val="24"/>
          <w:shd w:val="clear" w:color="auto" w:fill="FFFFFF"/>
        </w:rPr>
        <w:t>For</w:t>
      </w:r>
      <w:proofErr w:type="gramEnd"/>
      <w:r w:rsidRPr="008032D3">
        <w:rPr>
          <w:rFonts w:ascii="Arial" w:hAnsi="Arial" w:cs="Arial"/>
          <w:color w:val="222222"/>
          <w:sz w:val="24"/>
          <w:szCs w:val="24"/>
          <w:shd w:val="clear" w:color="auto" w:fill="FFFFFF"/>
        </w:rPr>
        <w:t xml:space="preserve"> Socio-Economic Sustainable RMS: </w:t>
      </w:r>
      <w:proofErr w:type="spellStart"/>
      <w:r w:rsidRPr="008032D3">
        <w:rPr>
          <w:rFonts w:ascii="Arial" w:hAnsi="Arial" w:cs="Arial"/>
          <w:color w:val="222222"/>
          <w:sz w:val="24"/>
          <w:szCs w:val="24"/>
          <w:shd w:val="clear" w:color="auto" w:fill="FFFFFF"/>
        </w:rPr>
        <w:t>Lp</w:t>
      </w:r>
      <w:proofErr w:type="spellEnd"/>
      <w:r w:rsidRPr="008032D3">
        <w:rPr>
          <w:rFonts w:ascii="Arial" w:hAnsi="Arial" w:cs="Arial"/>
          <w:color w:val="222222"/>
          <w:sz w:val="24"/>
          <w:szCs w:val="24"/>
          <w:shd w:val="clear" w:color="auto" w:fill="FFFFFF"/>
        </w:rPr>
        <w:t>-metric vs Epsilon Constraint’. </w:t>
      </w:r>
      <w:r w:rsidRPr="008032D3">
        <w:rPr>
          <w:rFonts w:ascii="Arial" w:hAnsi="Arial" w:cs="Arial"/>
          <w:i/>
          <w:iCs/>
          <w:color w:val="222222"/>
          <w:sz w:val="24"/>
          <w:szCs w:val="24"/>
          <w:shd w:val="clear" w:color="auto" w:fill="FFFFFF"/>
        </w:rPr>
        <w:t>Procedia Computer Science</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232</w:t>
      </w:r>
      <w:r w:rsidRPr="008032D3">
        <w:rPr>
          <w:rFonts w:ascii="Arial" w:hAnsi="Arial" w:cs="Arial"/>
          <w:color w:val="222222"/>
          <w:sz w:val="24"/>
          <w:szCs w:val="24"/>
          <w:shd w:val="clear" w:color="auto" w:fill="FFFFFF"/>
        </w:rPr>
        <w:t>, pp.456-464.</w:t>
      </w:r>
    </w:p>
    <w:p w14:paraId="51E7C49E" w14:textId="77777777" w:rsidR="00937DEB" w:rsidRPr="008032D3" w:rsidRDefault="00937DEB" w:rsidP="00937DEB">
      <w:pPr>
        <w:spacing w:line="360" w:lineRule="auto"/>
        <w:jc w:val="both"/>
        <w:rPr>
          <w:rFonts w:ascii="Arial" w:hAnsi="Arial" w:cs="Arial"/>
          <w:color w:val="222222"/>
          <w:sz w:val="24"/>
          <w:szCs w:val="24"/>
          <w:shd w:val="clear" w:color="auto" w:fill="FFFFFF"/>
        </w:rPr>
      </w:pPr>
      <w:r w:rsidRPr="008032D3">
        <w:rPr>
          <w:rFonts w:ascii="Arial" w:hAnsi="Arial" w:cs="Arial"/>
          <w:color w:val="222222"/>
          <w:sz w:val="24"/>
          <w:szCs w:val="24"/>
          <w:shd w:val="clear" w:color="auto" w:fill="FFFFFF"/>
        </w:rPr>
        <w:t>Rasool, S.F. et al., (2021) ‘How toxic workplace environment effects the employee engagement: The mediating role of organizational support and employee wellbeing’. </w:t>
      </w:r>
      <w:r w:rsidRPr="008032D3">
        <w:rPr>
          <w:rFonts w:ascii="Arial" w:hAnsi="Arial" w:cs="Arial"/>
          <w:i/>
          <w:iCs/>
          <w:color w:val="222222"/>
          <w:sz w:val="24"/>
          <w:szCs w:val="24"/>
          <w:shd w:val="clear" w:color="auto" w:fill="FFFFFF"/>
        </w:rPr>
        <w:t>International journal of environmental research and public health</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18</w:t>
      </w:r>
      <w:r w:rsidRPr="008032D3">
        <w:rPr>
          <w:rFonts w:ascii="Arial" w:hAnsi="Arial" w:cs="Arial"/>
          <w:color w:val="222222"/>
          <w:sz w:val="24"/>
          <w:szCs w:val="24"/>
          <w:shd w:val="clear" w:color="auto" w:fill="FFFFFF"/>
        </w:rPr>
        <w:t>(5), p.2294.</w:t>
      </w:r>
    </w:p>
    <w:p w14:paraId="436EB1B9" w14:textId="77777777" w:rsidR="00937DEB" w:rsidRPr="008032D3" w:rsidRDefault="00937DEB" w:rsidP="00937DEB">
      <w:pPr>
        <w:spacing w:line="360" w:lineRule="auto"/>
        <w:jc w:val="both"/>
        <w:rPr>
          <w:rFonts w:ascii="Arial" w:hAnsi="Arial" w:cs="Arial"/>
          <w:color w:val="222222"/>
          <w:sz w:val="24"/>
          <w:szCs w:val="24"/>
          <w:shd w:val="clear" w:color="auto" w:fill="FFFFFF"/>
        </w:rPr>
      </w:pPr>
      <w:proofErr w:type="spellStart"/>
      <w:r w:rsidRPr="008032D3">
        <w:rPr>
          <w:rFonts w:ascii="Arial" w:hAnsi="Arial" w:cs="Arial"/>
          <w:color w:val="222222"/>
          <w:sz w:val="24"/>
          <w:szCs w:val="24"/>
          <w:shd w:val="clear" w:color="auto" w:fill="FFFFFF"/>
        </w:rPr>
        <w:t>Verčič</w:t>
      </w:r>
      <w:proofErr w:type="spellEnd"/>
      <w:r w:rsidRPr="008032D3">
        <w:rPr>
          <w:rFonts w:ascii="Arial" w:hAnsi="Arial" w:cs="Arial"/>
          <w:color w:val="222222"/>
          <w:sz w:val="24"/>
          <w:szCs w:val="24"/>
          <w:shd w:val="clear" w:color="auto" w:fill="FFFFFF"/>
        </w:rPr>
        <w:t>, A.T., (2021) ‘The impact of employee engagement, organisational support and employer branding on internal communication satisfaction’. </w:t>
      </w:r>
      <w:r w:rsidRPr="008032D3">
        <w:rPr>
          <w:rFonts w:ascii="Arial" w:hAnsi="Arial" w:cs="Arial"/>
          <w:i/>
          <w:iCs/>
          <w:color w:val="222222"/>
          <w:sz w:val="24"/>
          <w:szCs w:val="24"/>
          <w:shd w:val="clear" w:color="auto" w:fill="FFFFFF"/>
        </w:rPr>
        <w:t>Public Relations Review</w:t>
      </w:r>
      <w:r w:rsidRPr="008032D3">
        <w:rPr>
          <w:rFonts w:ascii="Arial" w:hAnsi="Arial" w:cs="Arial"/>
          <w:color w:val="222222"/>
          <w:sz w:val="24"/>
          <w:szCs w:val="24"/>
          <w:shd w:val="clear" w:color="auto" w:fill="FFFFFF"/>
        </w:rPr>
        <w:t>, </w:t>
      </w:r>
      <w:r w:rsidRPr="008032D3">
        <w:rPr>
          <w:rFonts w:ascii="Arial" w:hAnsi="Arial" w:cs="Arial"/>
          <w:i/>
          <w:iCs/>
          <w:color w:val="222222"/>
          <w:sz w:val="24"/>
          <w:szCs w:val="24"/>
          <w:shd w:val="clear" w:color="auto" w:fill="FFFFFF"/>
        </w:rPr>
        <w:t>47</w:t>
      </w:r>
      <w:r w:rsidRPr="008032D3">
        <w:rPr>
          <w:rFonts w:ascii="Arial" w:hAnsi="Arial" w:cs="Arial"/>
          <w:color w:val="222222"/>
          <w:sz w:val="24"/>
          <w:szCs w:val="24"/>
          <w:shd w:val="clear" w:color="auto" w:fill="FFFFFF"/>
        </w:rPr>
        <w:t>(1), p.102009.</w:t>
      </w:r>
    </w:p>
    <w:p w14:paraId="08A4D543" w14:textId="77777777" w:rsidR="00A5268C" w:rsidRPr="00937DEB" w:rsidRDefault="00A5268C" w:rsidP="00937DEB">
      <w:pPr>
        <w:spacing w:line="360" w:lineRule="auto"/>
        <w:jc w:val="both"/>
        <w:rPr>
          <w:rFonts w:ascii="Arial" w:hAnsi="Arial" w:cs="Arial"/>
          <w:sz w:val="24"/>
        </w:rPr>
      </w:pPr>
    </w:p>
    <w:sectPr w:rsidR="00A5268C" w:rsidRPr="00937DEB" w:rsidSect="00872734">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74D3D" w14:textId="77777777" w:rsidR="00D17500" w:rsidRDefault="00D17500" w:rsidP="00937DEB">
      <w:pPr>
        <w:spacing w:after="0" w:line="240" w:lineRule="auto"/>
      </w:pPr>
      <w:r>
        <w:separator/>
      </w:r>
    </w:p>
  </w:endnote>
  <w:endnote w:type="continuationSeparator" w:id="0">
    <w:p w14:paraId="0323A68B" w14:textId="77777777" w:rsidR="00D17500" w:rsidRDefault="00D17500" w:rsidP="00937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212978"/>
      <w:docPartObj>
        <w:docPartGallery w:val="Page Numbers (Bottom of Page)"/>
        <w:docPartUnique/>
      </w:docPartObj>
    </w:sdtPr>
    <w:sdtEndPr>
      <w:rPr>
        <w:noProof/>
      </w:rPr>
    </w:sdtEndPr>
    <w:sdtContent>
      <w:p w14:paraId="45DD9ADD" w14:textId="4E4A9725" w:rsidR="00872734" w:rsidRDefault="008727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BB4812" w14:textId="77777777" w:rsidR="00872734" w:rsidRDefault="00872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2C989" w14:textId="77777777" w:rsidR="00D17500" w:rsidRDefault="00D17500" w:rsidP="00937DEB">
      <w:pPr>
        <w:spacing w:after="0" w:line="240" w:lineRule="auto"/>
      </w:pPr>
      <w:r>
        <w:separator/>
      </w:r>
    </w:p>
  </w:footnote>
  <w:footnote w:type="continuationSeparator" w:id="0">
    <w:p w14:paraId="5C54CA2C" w14:textId="77777777" w:rsidR="00D17500" w:rsidRDefault="00D17500" w:rsidP="00937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D111D"/>
    <w:multiLevelType w:val="hybridMultilevel"/>
    <w:tmpl w:val="5650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28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7DEB"/>
    <w:rsid w:val="00163290"/>
    <w:rsid w:val="0058523B"/>
    <w:rsid w:val="006064D5"/>
    <w:rsid w:val="00694B6D"/>
    <w:rsid w:val="00872734"/>
    <w:rsid w:val="00932E5E"/>
    <w:rsid w:val="00937DEB"/>
    <w:rsid w:val="00973724"/>
    <w:rsid w:val="00973B60"/>
    <w:rsid w:val="00A5268C"/>
    <w:rsid w:val="00A64FA5"/>
    <w:rsid w:val="00CA3F94"/>
    <w:rsid w:val="00D17500"/>
    <w:rsid w:val="00D52A6D"/>
    <w:rsid w:val="00F90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7EEA"/>
  <w15:docId w15:val="{84B73AA7-CA5E-4B6F-83C9-BBBE44F1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D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7DEB"/>
    <w:pPr>
      <w:ind w:left="720"/>
      <w:contextualSpacing/>
    </w:pPr>
  </w:style>
  <w:style w:type="character" w:customStyle="1" w:styleId="Heading1Char">
    <w:name w:val="Heading 1 Char"/>
    <w:basedOn w:val="DefaultParagraphFont"/>
    <w:link w:val="Heading1"/>
    <w:uiPriority w:val="9"/>
    <w:rsid w:val="00937DE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37DEB"/>
    <w:pPr>
      <w:outlineLvl w:val="9"/>
    </w:pPr>
    <w:rPr>
      <w:lang w:val="en-US" w:eastAsia="ja-JP"/>
    </w:rPr>
  </w:style>
  <w:style w:type="paragraph" w:styleId="TOC1">
    <w:name w:val="toc 1"/>
    <w:basedOn w:val="Normal"/>
    <w:next w:val="Normal"/>
    <w:autoRedefine/>
    <w:uiPriority w:val="39"/>
    <w:unhideWhenUsed/>
    <w:rsid w:val="00937DEB"/>
    <w:pPr>
      <w:spacing w:after="100"/>
    </w:pPr>
  </w:style>
  <w:style w:type="character" w:styleId="Hyperlink">
    <w:name w:val="Hyperlink"/>
    <w:basedOn w:val="DefaultParagraphFont"/>
    <w:uiPriority w:val="99"/>
    <w:unhideWhenUsed/>
    <w:rsid w:val="00937DEB"/>
    <w:rPr>
      <w:color w:val="0000FF" w:themeColor="hyperlink"/>
      <w:u w:val="single"/>
    </w:rPr>
  </w:style>
  <w:style w:type="paragraph" w:styleId="BalloonText">
    <w:name w:val="Balloon Text"/>
    <w:basedOn w:val="Normal"/>
    <w:link w:val="BalloonTextChar"/>
    <w:uiPriority w:val="99"/>
    <w:semiHidden/>
    <w:unhideWhenUsed/>
    <w:rsid w:val="00937D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DEB"/>
    <w:rPr>
      <w:rFonts w:ascii="Tahoma" w:hAnsi="Tahoma" w:cs="Tahoma"/>
      <w:sz w:val="16"/>
      <w:szCs w:val="16"/>
    </w:rPr>
  </w:style>
  <w:style w:type="paragraph" w:styleId="Header">
    <w:name w:val="header"/>
    <w:basedOn w:val="Normal"/>
    <w:link w:val="HeaderChar"/>
    <w:uiPriority w:val="99"/>
    <w:unhideWhenUsed/>
    <w:rsid w:val="00937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DEB"/>
  </w:style>
  <w:style w:type="paragraph" w:styleId="Footer">
    <w:name w:val="footer"/>
    <w:basedOn w:val="Normal"/>
    <w:link w:val="FooterChar"/>
    <w:uiPriority w:val="99"/>
    <w:unhideWhenUsed/>
    <w:rsid w:val="00937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83DAC-1EAA-48EE-A869-DDBE5E11F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2848</Words>
  <Characters>16236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forby vassy</cp:lastModifiedBy>
  <cp:revision>3</cp:revision>
  <dcterms:created xsi:type="dcterms:W3CDTF">2024-03-28T11:02:00Z</dcterms:created>
  <dcterms:modified xsi:type="dcterms:W3CDTF">2024-03-30T13:03:00Z</dcterms:modified>
</cp:coreProperties>
</file>