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2799482"/>
        <w:docPartObj>
          <w:docPartGallery w:val="Cover Pages"/>
          <w:docPartUnique/>
        </w:docPartObj>
      </w:sdtPr>
      <w:sdtEndPr>
        <w:rPr>
          <w:rStyle w:val="Hyperlink"/>
          <w:rFonts w:ascii="Arial" w:eastAsiaTheme="minorHAnsi" w:hAnsi="Arial" w:cs="Arial"/>
          <w:color w:val="467886" w:themeColor="hyperlink"/>
          <w:kern w:val="2"/>
          <w:sz w:val="24"/>
          <w:szCs w:val="24"/>
          <w:u w:val="single"/>
          <w:lang w:val="en-GB"/>
          <w14:ligatures w14:val="standardContextual"/>
        </w:rPr>
      </w:sdtEndPr>
      <w:sdtContent>
        <w:p w14:paraId="4EF15B64" w14:textId="69124A76" w:rsidR="000B166E" w:rsidRDefault="000B166E">
          <w:pPr>
            <w:pStyle w:val="NoSpacing"/>
          </w:pPr>
          <w:r>
            <w:rPr>
              <w:noProof/>
            </w:rPr>
            <mc:AlternateContent>
              <mc:Choice Requires="wpg">
                <w:drawing>
                  <wp:anchor distT="0" distB="0" distL="114300" distR="114300" simplePos="0" relativeHeight="251659264" behindDoc="1" locked="0" layoutInCell="1" allowOverlap="1" wp14:anchorId="1C4BE924" wp14:editId="273BCD7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30T00:00:00Z">
                                      <w:dateFormat w:val="M/d/yyyy"/>
                                      <w:lid w:val="en-US"/>
                                      <w:storeMappedDataAs w:val="dateTime"/>
                                      <w:calendar w:val="gregorian"/>
                                    </w:date>
                                  </w:sdtPr>
                                  <w:sdtContent>
                                    <w:p w14:paraId="00DB5CAD" w14:textId="788E27DB" w:rsidR="000B166E" w:rsidRDefault="000B166E">
                                      <w:pPr>
                                        <w:pStyle w:val="NoSpacing"/>
                                        <w:jc w:val="right"/>
                                        <w:rPr>
                                          <w:color w:val="FFFFFF" w:themeColor="background1"/>
                                          <w:sz w:val="28"/>
                                          <w:szCs w:val="28"/>
                                        </w:rPr>
                                      </w:pPr>
                                      <w:r>
                                        <w:rPr>
                                          <w:color w:val="FFFFFF" w:themeColor="background1"/>
                                          <w:sz w:val="28"/>
                                          <w:szCs w:val="28"/>
                                        </w:rPr>
                                        <w:t>10/30/2025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4BE92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30T00:00:00Z">
                                <w:dateFormat w:val="M/d/yyyy"/>
                                <w:lid w:val="en-US"/>
                                <w:storeMappedDataAs w:val="dateTime"/>
                                <w:calendar w:val="gregorian"/>
                              </w:date>
                            </w:sdtPr>
                            <w:sdtContent>
                              <w:p w14:paraId="00DB5CAD" w14:textId="788E27DB" w:rsidR="000B166E" w:rsidRDefault="000B166E">
                                <w:pPr>
                                  <w:pStyle w:val="NoSpacing"/>
                                  <w:jc w:val="right"/>
                                  <w:rPr>
                                    <w:color w:val="FFFFFF" w:themeColor="background1"/>
                                    <w:sz w:val="28"/>
                                    <w:szCs w:val="28"/>
                                  </w:rPr>
                                </w:pPr>
                                <w:r>
                                  <w:rPr>
                                    <w:color w:val="FFFFFF" w:themeColor="background1"/>
                                    <w:sz w:val="28"/>
                                    <w:szCs w:val="28"/>
                                  </w:rPr>
                                  <w:t>10/30/2025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C4526D7" wp14:editId="283FF12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B7F5EF" w14:textId="38F0EA9E" w:rsidR="000B166E" w:rsidRDefault="000B166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Velislava Hristova</w:t>
                                    </w:r>
                                  </w:sdtContent>
                                </w:sdt>
                              </w:p>
                              <w:p w14:paraId="6762C7FC" w14:textId="331664AB" w:rsidR="000B166E" w:rsidRDefault="000B166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723E7">
                                      <w:rPr>
                                        <w:caps/>
                                        <w:color w:val="595959" w:themeColor="text1" w:themeTint="A6"/>
                                        <w:sz w:val="20"/>
                                        <w:szCs w:val="20"/>
                                      </w:rPr>
                                      <w:t>2</w:t>
                                    </w:r>
                                  </w:sdtContent>
                                </w:sdt>
                                <w:r w:rsidR="000723E7" w:rsidRPr="000723E7">
                                  <w:rPr>
                                    <w:caps/>
                                    <w:color w:val="595959" w:themeColor="text1" w:themeTint="A6"/>
                                    <w:sz w:val="20"/>
                                    <w:szCs w:val="20"/>
                                    <w:lang w:val="en-GB"/>
                                  </w:rPr>
                                  <w:t>233502@student.uwtsd.ac.uk</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C4526D7"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7B7F5EF" w14:textId="38F0EA9E" w:rsidR="000B166E" w:rsidRDefault="000B166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Velislava Hristova</w:t>
                              </w:r>
                            </w:sdtContent>
                          </w:sdt>
                        </w:p>
                        <w:p w14:paraId="6762C7FC" w14:textId="331664AB" w:rsidR="000B166E" w:rsidRDefault="000B166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723E7">
                                <w:rPr>
                                  <w:caps/>
                                  <w:color w:val="595959" w:themeColor="text1" w:themeTint="A6"/>
                                  <w:sz w:val="20"/>
                                  <w:szCs w:val="20"/>
                                </w:rPr>
                                <w:t>2</w:t>
                              </w:r>
                            </w:sdtContent>
                          </w:sdt>
                          <w:r w:rsidR="000723E7" w:rsidRPr="000723E7">
                            <w:rPr>
                              <w:caps/>
                              <w:color w:val="595959" w:themeColor="text1" w:themeTint="A6"/>
                              <w:sz w:val="20"/>
                              <w:szCs w:val="20"/>
                              <w:lang w:val="en-GB"/>
                            </w:rPr>
                            <w:t>233502@student.uwtsd.ac.uk</w:t>
                          </w:r>
                        </w:p>
                      </w:txbxContent>
                    </v:textbox>
                    <w10:wrap anchorx="page" anchory="page"/>
                  </v:shape>
                </w:pict>
              </mc:Fallback>
            </mc:AlternateContent>
          </w:r>
        </w:p>
        <w:p w14:paraId="607FA32E" w14:textId="20BF61A9" w:rsidR="000B166E" w:rsidRDefault="000B166E">
          <w:pPr>
            <w:rPr>
              <w:rStyle w:val="Hyperlink"/>
              <w:rFonts w:ascii="Arial" w:hAnsi="Arial" w:cs="Arial"/>
            </w:rPr>
          </w:pPr>
          <w:r>
            <w:rPr>
              <w:noProof/>
            </w:rPr>
            <mc:AlternateContent>
              <mc:Choice Requires="wps">
                <w:drawing>
                  <wp:anchor distT="0" distB="0" distL="114300" distR="114300" simplePos="0" relativeHeight="251660288" behindDoc="0" locked="0" layoutInCell="1" allowOverlap="1" wp14:anchorId="65AB4A5C" wp14:editId="65D1FAE5">
                    <wp:simplePos x="0" y="0"/>
                    <wp:positionH relativeFrom="page">
                      <wp:posOffset>2880360</wp:posOffset>
                    </wp:positionH>
                    <wp:positionV relativeFrom="page">
                      <wp:posOffset>1874520</wp:posOffset>
                    </wp:positionV>
                    <wp:extent cx="4648200" cy="1069340"/>
                    <wp:effectExtent l="0" t="0" r="0" b="8890"/>
                    <wp:wrapNone/>
                    <wp:docPr id="1" name="Text Box 30"/>
                    <wp:cNvGraphicFramePr/>
                    <a:graphic xmlns:a="http://schemas.openxmlformats.org/drawingml/2006/main">
                      <a:graphicData uri="http://schemas.microsoft.com/office/word/2010/wordprocessingShape">
                        <wps:wsp>
                          <wps:cNvSpPr txBox="1"/>
                          <wps:spPr>
                            <a:xfrm>
                              <a:off x="0" y="0"/>
                              <a:ext cx="46482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B11E5" w14:textId="506F6D06" w:rsidR="000B166E" w:rsidRDefault="000B166E" w:rsidP="000B16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B166E">
                                      <w:rPr>
                                        <w:rFonts w:asciiTheme="majorHAnsi" w:eastAsiaTheme="majorEastAsia" w:hAnsiTheme="majorHAnsi" w:cstheme="majorBidi"/>
                                        <w:color w:val="262626" w:themeColor="text1" w:themeTint="D9"/>
                                        <w:kern w:val="2"/>
                                        <w:sz w:val="72"/>
                                        <w:szCs w:val="72"/>
                                        <w:lang w:val="en-GB"/>
                                        <w14:ligatures w14:val="standardContextual"/>
                                      </w:rPr>
                                      <w:t>The Deepening Mental Health Crisis in the Hospitality Industry</w:t>
                                    </w:r>
                                  </w:sdtContent>
                                </w:sdt>
                              </w:p>
                              <w:p w14:paraId="334A3C75" w14:textId="3AB241C3" w:rsidR="000B166E" w:rsidRDefault="000B166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5AB4A5C" id="Text Box 30" o:spid="_x0000_s1056" type="#_x0000_t202" style="position:absolute;margin-left:226.8pt;margin-top:147.6pt;width:366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" filled="f" stroked="f" strokeweight=".5pt">
                    <v:textbox style="mso-fit-shape-to-text:t" inset="0,0,0,0">
                      <w:txbxContent>
                        <w:p w14:paraId="14DB11E5" w14:textId="506F6D06" w:rsidR="000B166E" w:rsidRDefault="000B166E" w:rsidP="000B16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B166E">
                                <w:rPr>
                                  <w:rFonts w:asciiTheme="majorHAnsi" w:eastAsiaTheme="majorEastAsia" w:hAnsiTheme="majorHAnsi" w:cstheme="majorBidi"/>
                                  <w:color w:val="262626" w:themeColor="text1" w:themeTint="D9"/>
                                  <w:kern w:val="2"/>
                                  <w:sz w:val="72"/>
                                  <w:szCs w:val="72"/>
                                  <w:lang w:val="en-GB"/>
                                  <w14:ligatures w14:val="standardContextual"/>
                                </w:rPr>
                                <w:t>The Deepening Mental Health Crisis in the Hospitality Industry</w:t>
                              </w:r>
                            </w:sdtContent>
                          </w:sdt>
                        </w:p>
                        <w:p w14:paraId="334A3C75" w14:textId="3AB241C3" w:rsidR="000B166E" w:rsidRDefault="000B166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rPr>
              <w:rStyle w:val="Hyperlink"/>
              <w:rFonts w:ascii="Arial" w:hAnsi="Arial" w:cs="Arial"/>
            </w:rPr>
            <w:br w:type="page"/>
          </w:r>
        </w:p>
      </w:sdtContent>
    </w:sdt>
    <w:p w14:paraId="37508080" w14:textId="58F23F9F" w:rsidR="003E4144" w:rsidRPr="003E4144" w:rsidRDefault="00DB0CA4" w:rsidP="005F07E6">
      <w:pPr>
        <w:spacing w:line="360" w:lineRule="auto"/>
        <w:jc w:val="both"/>
        <w:rPr>
          <w:rFonts w:ascii="Arial" w:hAnsi="Arial" w:cs="Arial"/>
        </w:rPr>
      </w:pPr>
      <w:bookmarkStart w:id="0" w:name="_Hlk212840514"/>
      <w:r w:rsidRPr="00DB0CA4">
        <w:rPr>
          <w:rFonts w:ascii="Arial" w:hAnsi="Arial" w:cs="Arial"/>
        </w:rPr>
        <w:lastRenderedPageBreak/>
        <w:t xml:space="preserve"> </w:t>
      </w:r>
    </w:p>
    <w:bookmarkEnd w:id="0"/>
    <w:p w14:paraId="2A92E39B" w14:textId="3A6019CC" w:rsidR="00234421" w:rsidRPr="00234421" w:rsidRDefault="00234421" w:rsidP="00234421">
      <w:pPr>
        <w:spacing w:line="360" w:lineRule="auto"/>
        <w:jc w:val="both"/>
        <w:rPr>
          <w:rFonts w:ascii="Arial" w:hAnsi="Arial" w:cs="Arial"/>
        </w:rPr>
      </w:pPr>
    </w:p>
    <w:p w14:paraId="60327F3B" w14:textId="77777777" w:rsidR="00234421" w:rsidRDefault="00234421" w:rsidP="00234421">
      <w:pPr>
        <w:spacing w:line="360" w:lineRule="auto"/>
        <w:jc w:val="both"/>
        <w:rPr>
          <w:rFonts w:ascii="Arial" w:hAnsi="Arial" w:cs="Arial"/>
          <w:b/>
          <w:bCs/>
        </w:rPr>
      </w:pPr>
      <w:r w:rsidRPr="00234421">
        <w:rPr>
          <w:rFonts w:ascii="Arial" w:hAnsi="Arial" w:cs="Arial"/>
          <w:b/>
          <w:bCs/>
        </w:rPr>
        <w:t>Abstract</w:t>
      </w:r>
    </w:p>
    <w:p w14:paraId="710FC2BD" w14:textId="77777777" w:rsidR="000723E7" w:rsidRPr="00234421" w:rsidRDefault="000723E7" w:rsidP="00234421">
      <w:pPr>
        <w:spacing w:line="360" w:lineRule="auto"/>
        <w:jc w:val="both"/>
        <w:rPr>
          <w:rFonts w:ascii="Arial" w:hAnsi="Arial" w:cs="Arial"/>
          <w:b/>
          <w:bCs/>
        </w:rPr>
      </w:pPr>
    </w:p>
    <w:p w14:paraId="0C47F70B" w14:textId="77777777" w:rsidR="00234421" w:rsidRPr="000723E7" w:rsidRDefault="00234421" w:rsidP="00234421">
      <w:pPr>
        <w:spacing w:line="360" w:lineRule="auto"/>
        <w:jc w:val="both"/>
        <w:rPr>
          <w:rFonts w:ascii="Arial" w:hAnsi="Arial" w:cs="Arial"/>
        </w:rPr>
      </w:pPr>
      <w:r w:rsidRPr="000723E7">
        <w:rPr>
          <w:rFonts w:ascii="Arial" w:hAnsi="Arial" w:cs="Arial"/>
        </w:rPr>
        <w:t>The hospitality industry has experienced a pronounced escalation in employee mental health problems during the 2020–2025 period. International hotel chains—Marriott, Hilton, and Accor—have publicly recognised the challenge, yet organisational responses have varied in depth and efficacy. This paper examines the deepening mental health crisis through a multi-framework analysis using PESTEL (macro-environmental factors), SWOT (internal and external strategic factors), and DPSIR (Drivers, Pressures, State, Impact, Response). Drawing exclusively on published data and peer-reviewed literature from 2020–2025, the study synthesises evidence on causes, organisational practices, and industry outcomes. Findings show that while awareness and programme deployment increased post-COVID, many interventions remain fragmented, under-resourced, and focused on short-term resilience rather than systemic prevention. The analysis highlights key structural drivers — precarious employment practices, managerial capability gaps, and economic constraints — and documents the limited translation of policy to practice. The paper concludes with three time-bound recommendations (short-, mid-, and long-term) to embed mental health into corporate governance, operational design, and performance measurement for global hospitality firms.</w:t>
      </w:r>
    </w:p>
    <w:p w14:paraId="3FDD1718" w14:textId="5F599979" w:rsidR="00234421" w:rsidRDefault="00234421" w:rsidP="00234421">
      <w:pPr>
        <w:spacing w:line="360" w:lineRule="auto"/>
        <w:jc w:val="both"/>
        <w:rPr>
          <w:rFonts w:ascii="Arial" w:hAnsi="Arial" w:cs="Arial"/>
        </w:rPr>
      </w:pPr>
    </w:p>
    <w:p w14:paraId="04281C39" w14:textId="77777777" w:rsidR="000723E7" w:rsidRDefault="000723E7" w:rsidP="00234421">
      <w:pPr>
        <w:spacing w:line="360" w:lineRule="auto"/>
        <w:jc w:val="both"/>
        <w:rPr>
          <w:rFonts w:ascii="Arial" w:hAnsi="Arial" w:cs="Arial"/>
        </w:rPr>
      </w:pPr>
    </w:p>
    <w:p w14:paraId="5C57882F" w14:textId="77777777" w:rsidR="000723E7" w:rsidRDefault="000723E7" w:rsidP="00234421">
      <w:pPr>
        <w:spacing w:line="360" w:lineRule="auto"/>
        <w:jc w:val="both"/>
        <w:rPr>
          <w:rFonts w:ascii="Arial" w:hAnsi="Arial" w:cs="Arial"/>
        </w:rPr>
      </w:pPr>
    </w:p>
    <w:p w14:paraId="022927B8" w14:textId="77777777" w:rsidR="000723E7" w:rsidRDefault="000723E7" w:rsidP="00234421">
      <w:pPr>
        <w:spacing w:line="360" w:lineRule="auto"/>
        <w:jc w:val="both"/>
        <w:rPr>
          <w:rFonts w:ascii="Arial" w:hAnsi="Arial" w:cs="Arial"/>
        </w:rPr>
      </w:pPr>
    </w:p>
    <w:p w14:paraId="2224B25A" w14:textId="77777777" w:rsidR="000723E7" w:rsidRDefault="000723E7" w:rsidP="00234421">
      <w:pPr>
        <w:spacing w:line="360" w:lineRule="auto"/>
        <w:jc w:val="both"/>
        <w:rPr>
          <w:rFonts w:ascii="Arial" w:hAnsi="Arial" w:cs="Arial"/>
        </w:rPr>
      </w:pPr>
    </w:p>
    <w:p w14:paraId="0C328D2D" w14:textId="77777777" w:rsidR="000723E7" w:rsidRDefault="000723E7" w:rsidP="00234421">
      <w:pPr>
        <w:spacing w:line="360" w:lineRule="auto"/>
        <w:jc w:val="both"/>
        <w:rPr>
          <w:rFonts w:ascii="Arial" w:hAnsi="Arial" w:cs="Arial"/>
        </w:rPr>
      </w:pPr>
    </w:p>
    <w:p w14:paraId="6C92B4E9" w14:textId="77777777" w:rsidR="000723E7" w:rsidRDefault="000723E7" w:rsidP="00234421">
      <w:pPr>
        <w:spacing w:line="360" w:lineRule="auto"/>
        <w:jc w:val="both"/>
        <w:rPr>
          <w:rFonts w:ascii="Arial" w:hAnsi="Arial" w:cs="Arial"/>
        </w:rPr>
      </w:pPr>
    </w:p>
    <w:p w14:paraId="6D6E25BD" w14:textId="77777777" w:rsidR="000723E7" w:rsidRDefault="000723E7" w:rsidP="00234421">
      <w:pPr>
        <w:spacing w:line="360" w:lineRule="auto"/>
        <w:jc w:val="both"/>
        <w:rPr>
          <w:rFonts w:ascii="Arial" w:hAnsi="Arial" w:cs="Arial"/>
        </w:rPr>
      </w:pPr>
    </w:p>
    <w:p w14:paraId="71263E1B" w14:textId="77777777" w:rsidR="000723E7" w:rsidRPr="00234421" w:rsidRDefault="000723E7" w:rsidP="00234421">
      <w:pPr>
        <w:spacing w:line="360" w:lineRule="auto"/>
        <w:jc w:val="both"/>
        <w:rPr>
          <w:rFonts w:ascii="Arial" w:hAnsi="Arial" w:cs="Arial"/>
        </w:rPr>
      </w:pPr>
    </w:p>
    <w:p w14:paraId="7C44928A" w14:textId="713C6EB6" w:rsidR="000723E7" w:rsidRDefault="00234421" w:rsidP="000723E7">
      <w:pPr>
        <w:pStyle w:val="ListParagraph"/>
        <w:numPr>
          <w:ilvl w:val="0"/>
          <w:numId w:val="18"/>
        </w:numPr>
        <w:spacing w:line="360" w:lineRule="auto"/>
        <w:jc w:val="both"/>
        <w:rPr>
          <w:rFonts w:ascii="Arial" w:hAnsi="Arial" w:cs="Arial"/>
          <w:b/>
          <w:bCs/>
        </w:rPr>
      </w:pPr>
      <w:r w:rsidRPr="000723E7">
        <w:rPr>
          <w:rFonts w:ascii="Arial" w:hAnsi="Arial" w:cs="Arial"/>
          <w:b/>
          <w:bCs/>
        </w:rPr>
        <w:t>Introduction</w:t>
      </w:r>
    </w:p>
    <w:p w14:paraId="068298AF" w14:textId="77777777" w:rsidR="000723E7" w:rsidRPr="000723E7" w:rsidRDefault="000723E7" w:rsidP="000723E7">
      <w:pPr>
        <w:pStyle w:val="ListParagraph"/>
        <w:spacing w:line="360" w:lineRule="auto"/>
        <w:jc w:val="both"/>
        <w:rPr>
          <w:rFonts w:ascii="Arial" w:hAnsi="Arial" w:cs="Arial"/>
          <w:b/>
          <w:bCs/>
        </w:rPr>
      </w:pPr>
    </w:p>
    <w:p w14:paraId="696E6F0C" w14:textId="77777777" w:rsidR="00234421" w:rsidRPr="00234421" w:rsidRDefault="00234421" w:rsidP="00234421">
      <w:pPr>
        <w:spacing w:line="360" w:lineRule="auto"/>
        <w:jc w:val="both"/>
        <w:rPr>
          <w:rFonts w:ascii="Arial" w:hAnsi="Arial" w:cs="Arial"/>
        </w:rPr>
      </w:pPr>
      <w:r w:rsidRPr="00234421">
        <w:rPr>
          <w:rFonts w:ascii="Arial" w:hAnsi="Arial" w:cs="Arial"/>
        </w:rPr>
        <w:t xml:space="preserve">The hospitality industry is uniquely exposed to occupational factors that elevate risk for poor mental health: variable hours, customer-facing emotional labour, seasonality, and often precarious employment contracts (Karatepe &amp; Kim, 2020; ILO, 2023). International hotel chains such as </w:t>
      </w:r>
      <w:r w:rsidRPr="007527A5">
        <w:rPr>
          <w:rFonts w:ascii="Arial" w:hAnsi="Arial" w:cs="Arial"/>
        </w:rPr>
        <w:t>Marriott, Hilton, and Accor</w:t>
      </w:r>
      <w:r w:rsidRPr="00234421">
        <w:rPr>
          <w:rFonts w:ascii="Arial" w:hAnsi="Arial" w:cs="Arial"/>
        </w:rPr>
        <w:t xml:space="preserve"> operate complex, global workforce systems in which operational standards and brand </w:t>
      </w:r>
      <w:proofErr w:type="gramStart"/>
      <w:r w:rsidRPr="00234421">
        <w:rPr>
          <w:rFonts w:ascii="Arial" w:hAnsi="Arial" w:cs="Arial"/>
        </w:rPr>
        <w:t>promises</w:t>
      </w:r>
      <w:proofErr w:type="gramEnd"/>
      <w:r w:rsidRPr="00234421">
        <w:rPr>
          <w:rFonts w:ascii="Arial" w:hAnsi="Arial" w:cs="Arial"/>
        </w:rPr>
        <w:t xml:space="preserve"> place heavy emotional and time demands on front-line staff. The COVID-19 pandemic (2020–2022) intensified these pressures, producing mass redundancies, truncated careers, rapid rehiring, and elevated job insecurity for millions of hospitality workers worldwide (Baum, Mooney &amp; Robinson, 2021; Sonnenschein et al., 2022). As the industry recovered, high demand collided with labour shortages and inflation — conditions that deepened stressors for existing staff (OECD, 2022; UNWTO, 2022).</w:t>
      </w:r>
    </w:p>
    <w:p w14:paraId="4CA7210F" w14:textId="77777777" w:rsidR="00234421" w:rsidRPr="00234421" w:rsidRDefault="00234421" w:rsidP="00234421">
      <w:pPr>
        <w:spacing w:line="360" w:lineRule="auto"/>
        <w:jc w:val="both"/>
        <w:rPr>
          <w:rFonts w:ascii="Arial" w:hAnsi="Arial" w:cs="Arial"/>
        </w:rPr>
      </w:pPr>
      <w:r w:rsidRPr="00234421">
        <w:rPr>
          <w:rFonts w:ascii="Arial" w:hAnsi="Arial" w:cs="Arial"/>
        </w:rPr>
        <w:t xml:space="preserve">This paper addresses the mental health crisis among employees of international hotel chains by applying three complementary analytical lenses. </w:t>
      </w:r>
      <w:r w:rsidRPr="007527A5">
        <w:rPr>
          <w:rFonts w:ascii="Arial" w:hAnsi="Arial" w:cs="Arial"/>
        </w:rPr>
        <w:t>PESTEL</w:t>
      </w:r>
      <w:r w:rsidRPr="00234421">
        <w:rPr>
          <w:rFonts w:ascii="Arial" w:hAnsi="Arial" w:cs="Arial"/>
        </w:rPr>
        <w:t xml:space="preserve"> situates workforce well-being within political, economic, social, technological, environmental, and legal contexts. </w:t>
      </w:r>
      <w:r w:rsidRPr="007527A5">
        <w:rPr>
          <w:rFonts w:ascii="Arial" w:hAnsi="Arial" w:cs="Arial"/>
        </w:rPr>
        <w:t>SWOT</w:t>
      </w:r>
      <w:r w:rsidRPr="00234421">
        <w:rPr>
          <w:rFonts w:ascii="Arial" w:hAnsi="Arial" w:cs="Arial"/>
        </w:rPr>
        <w:t xml:space="preserve"> examines strengths and weaknesses in organisational responses, and </w:t>
      </w:r>
      <w:r w:rsidRPr="007527A5">
        <w:rPr>
          <w:rFonts w:ascii="Arial" w:hAnsi="Arial" w:cs="Arial"/>
        </w:rPr>
        <w:t>DPSIR</w:t>
      </w:r>
      <w:r w:rsidRPr="00234421">
        <w:rPr>
          <w:rFonts w:ascii="Arial" w:hAnsi="Arial" w:cs="Arial"/>
        </w:rPr>
        <w:t xml:space="preserve"> traces causal pathways from macro drivers to corporate and regulatory responses. The focus on Marriott, Hilton, and Accor enables discussion of large-scale practices and cross-jurisdictional challenges. The objective is pragmatic: to identify systemic gaps and provide time-bound recommendations that increase the resilience and psychological safety of hospitality workforces.</w:t>
      </w:r>
    </w:p>
    <w:p w14:paraId="42AC2666" w14:textId="142D1B4F" w:rsidR="00234421" w:rsidRPr="00234421" w:rsidRDefault="00234421" w:rsidP="00234421">
      <w:pPr>
        <w:spacing w:line="360" w:lineRule="auto"/>
        <w:jc w:val="both"/>
        <w:rPr>
          <w:rFonts w:ascii="Arial" w:hAnsi="Arial" w:cs="Arial"/>
        </w:rPr>
      </w:pPr>
    </w:p>
    <w:p w14:paraId="2E13D60B" w14:textId="02780761" w:rsidR="000723E7" w:rsidRDefault="00234421" w:rsidP="000723E7">
      <w:pPr>
        <w:pStyle w:val="ListParagraph"/>
        <w:numPr>
          <w:ilvl w:val="0"/>
          <w:numId w:val="18"/>
        </w:numPr>
        <w:spacing w:line="360" w:lineRule="auto"/>
        <w:jc w:val="both"/>
        <w:rPr>
          <w:rFonts w:ascii="Arial" w:hAnsi="Arial" w:cs="Arial"/>
          <w:b/>
          <w:bCs/>
        </w:rPr>
      </w:pPr>
      <w:r w:rsidRPr="000723E7">
        <w:rPr>
          <w:rFonts w:ascii="Arial" w:hAnsi="Arial" w:cs="Arial"/>
          <w:b/>
          <w:bCs/>
        </w:rPr>
        <w:t>Literature Review</w:t>
      </w:r>
    </w:p>
    <w:p w14:paraId="457767FE" w14:textId="77777777" w:rsidR="000723E7" w:rsidRPr="000723E7" w:rsidRDefault="000723E7" w:rsidP="000723E7">
      <w:pPr>
        <w:pStyle w:val="ListParagraph"/>
        <w:spacing w:line="360" w:lineRule="auto"/>
        <w:jc w:val="both"/>
        <w:rPr>
          <w:rFonts w:ascii="Arial" w:hAnsi="Arial" w:cs="Arial"/>
          <w:b/>
          <w:bCs/>
        </w:rPr>
      </w:pPr>
    </w:p>
    <w:p w14:paraId="6BBF9D77" w14:textId="77777777" w:rsidR="00234421" w:rsidRDefault="00234421" w:rsidP="00234421">
      <w:pPr>
        <w:spacing w:line="360" w:lineRule="auto"/>
        <w:jc w:val="both"/>
        <w:rPr>
          <w:rFonts w:ascii="Arial" w:hAnsi="Arial" w:cs="Arial"/>
        </w:rPr>
      </w:pPr>
      <w:r w:rsidRPr="00234421">
        <w:rPr>
          <w:rFonts w:ascii="Arial" w:hAnsi="Arial" w:cs="Arial"/>
        </w:rPr>
        <w:t xml:space="preserve">The literature published between 2020 and 2025 has rapidly expanded on mental health in hospitality. Three interlinked themes dominate: </w:t>
      </w:r>
      <w:r w:rsidRPr="007527A5">
        <w:rPr>
          <w:rFonts w:ascii="Arial" w:hAnsi="Arial" w:cs="Arial"/>
        </w:rPr>
        <w:t>emotional labour and burnout, organisational culture and leadership, and structural employment factors.</w:t>
      </w:r>
    </w:p>
    <w:p w14:paraId="13E9644D" w14:textId="77777777" w:rsidR="000723E7" w:rsidRPr="007527A5" w:rsidRDefault="000723E7" w:rsidP="00234421">
      <w:pPr>
        <w:spacing w:line="360" w:lineRule="auto"/>
        <w:jc w:val="both"/>
        <w:rPr>
          <w:rFonts w:ascii="Arial" w:hAnsi="Arial" w:cs="Arial"/>
        </w:rPr>
      </w:pPr>
    </w:p>
    <w:p w14:paraId="3108D6A4" w14:textId="77777777" w:rsidR="00234421" w:rsidRPr="00234421" w:rsidRDefault="00234421" w:rsidP="00234421">
      <w:pPr>
        <w:spacing w:line="360" w:lineRule="auto"/>
        <w:jc w:val="both"/>
        <w:rPr>
          <w:rFonts w:ascii="Arial" w:hAnsi="Arial" w:cs="Arial"/>
          <w:b/>
          <w:bCs/>
        </w:rPr>
      </w:pPr>
      <w:r w:rsidRPr="00234421">
        <w:rPr>
          <w:rFonts w:ascii="Arial" w:hAnsi="Arial" w:cs="Arial"/>
          <w:b/>
          <w:bCs/>
        </w:rPr>
        <w:lastRenderedPageBreak/>
        <w:t>Emotional labour and burnout</w:t>
      </w:r>
    </w:p>
    <w:p w14:paraId="3B1F2786" w14:textId="77777777" w:rsidR="00234421" w:rsidRDefault="00234421" w:rsidP="00234421">
      <w:pPr>
        <w:spacing w:line="360" w:lineRule="auto"/>
        <w:jc w:val="both"/>
        <w:rPr>
          <w:rFonts w:ascii="Arial" w:hAnsi="Arial" w:cs="Arial"/>
        </w:rPr>
      </w:pPr>
      <w:r w:rsidRPr="00234421">
        <w:rPr>
          <w:rFonts w:ascii="Arial" w:hAnsi="Arial" w:cs="Arial"/>
        </w:rPr>
        <w:t>Hochschild’s emotional labour concept remains central: hospitality roles require consistent display of positive affect irrespective of employees’ internal states (Hochschild, 1983; Shani &amp; Pizam, 2020). Research in 2020–2024 found that sustained surface acting predicts exhaustion, cynicism, and intention to leave (Karatepe &amp; Kim, 2020; Brown et al., 2021). In luxury and full-service segments—key areas for Marriott and Hilton—service norms amplify emotional demands, particularly in guest recovery and complaint-handling scenarios.</w:t>
      </w:r>
    </w:p>
    <w:p w14:paraId="1810C5D5" w14:textId="77777777" w:rsidR="000723E7" w:rsidRPr="00234421" w:rsidRDefault="000723E7" w:rsidP="00234421">
      <w:pPr>
        <w:spacing w:line="360" w:lineRule="auto"/>
        <w:jc w:val="both"/>
        <w:rPr>
          <w:rFonts w:ascii="Arial" w:hAnsi="Arial" w:cs="Arial"/>
        </w:rPr>
      </w:pPr>
    </w:p>
    <w:p w14:paraId="353C0045" w14:textId="77777777" w:rsidR="00234421" w:rsidRPr="00234421" w:rsidRDefault="00234421" w:rsidP="00234421">
      <w:pPr>
        <w:spacing w:line="360" w:lineRule="auto"/>
        <w:jc w:val="both"/>
        <w:rPr>
          <w:rFonts w:ascii="Arial" w:hAnsi="Arial" w:cs="Arial"/>
          <w:b/>
          <w:bCs/>
        </w:rPr>
      </w:pPr>
      <w:r w:rsidRPr="00234421">
        <w:rPr>
          <w:rFonts w:ascii="Arial" w:hAnsi="Arial" w:cs="Arial"/>
          <w:b/>
          <w:bCs/>
        </w:rPr>
        <w:t>Organisational culture, leadership and managerial competence</w:t>
      </w:r>
    </w:p>
    <w:p w14:paraId="59E32092" w14:textId="77777777" w:rsidR="00234421" w:rsidRPr="00234421" w:rsidRDefault="00234421" w:rsidP="00234421">
      <w:pPr>
        <w:spacing w:line="360" w:lineRule="auto"/>
        <w:jc w:val="both"/>
        <w:rPr>
          <w:rFonts w:ascii="Arial" w:hAnsi="Arial" w:cs="Arial"/>
        </w:rPr>
      </w:pPr>
      <w:r w:rsidRPr="00234421">
        <w:rPr>
          <w:rFonts w:ascii="Arial" w:hAnsi="Arial" w:cs="Arial"/>
        </w:rPr>
        <w:t xml:space="preserve">Leadership emerges as a pivot point for employee well-being. Studies between 2020 and 2024 show transformational leaders who demonstrate empathy and psychological safety reduce burnout and increase retention (Paek, Schuckert &amp; Lee, 2021; Yoo &amp; Jeong, 2022). Global programmes—Hilton’s </w:t>
      </w:r>
      <w:r w:rsidRPr="00234421">
        <w:rPr>
          <w:rFonts w:ascii="Arial" w:hAnsi="Arial" w:cs="Arial"/>
          <w:i/>
          <w:iCs/>
        </w:rPr>
        <w:t>Thrive@Hilton</w:t>
      </w:r>
      <w:r w:rsidRPr="00234421">
        <w:rPr>
          <w:rFonts w:ascii="Arial" w:hAnsi="Arial" w:cs="Arial"/>
        </w:rPr>
        <w:t xml:space="preserve">, Marriott’s </w:t>
      </w:r>
      <w:r w:rsidRPr="00234421">
        <w:rPr>
          <w:rFonts w:ascii="Arial" w:hAnsi="Arial" w:cs="Arial"/>
          <w:i/>
          <w:iCs/>
        </w:rPr>
        <w:t>TakeCare</w:t>
      </w:r>
      <w:r w:rsidRPr="00234421">
        <w:rPr>
          <w:rFonts w:ascii="Arial" w:hAnsi="Arial" w:cs="Arial"/>
        </w:rPr>
        <w:t xml:space="preserve">, and Accor’s </w:t>
      </w:r>
      <w:r w:rsidRPr="00234421">
        <w:rPr>
          <w:rFonts w:ascii="Arial" w:hAnsi="Arial" w:cs="Arial"/>
          <w:i/>
          <w:iCs/>
        </w:rPr>
        <w:t>Heartist Culture</w:t>
      </w:r>
      <w:r w:rsidRPr="00234421">
        <w:rPr>
          <w:rFonts w:ascii="Arial" w:hAnsi="Arial" w:cs="Arial"/>
        </w:rPr>
        <w:t>—indicate corporate recognition of mental health but vary in managerial training depth and local implementation (Accor Group, 2023; Hilton, 2023). Empirical evaluations are limited; early assessments suggest participation rates and outcomes differ widely between corporate headquarters and franchise or outsourced operations (Giousmpasoglou et al., 2021).</w:t>
      </w:r>
    </w:p>
    <w:p w14:paraId="79656225" w14:textId="77777777" w:rsidR="00234421" w:rsidRPr="00234421" w:rsidRDefault="00234421" w:rsidP="00234421">
      <w:pPr>
        <w:spacing w:line="360" w:lineRule="auto"/>
        <w:jc w:val="both"/>
        <w:rPr>
          <w:rFonts w:ascii="Arial" w:hAnsi="Arial" w:cs="Arial"/>
          <w:b/>
          <w:bCs/>
        </w:rPr>
      </w:pPr>
      <w:r w:rsidRPr="00234421">
        <w:rPr>
          <w:rFonts w:ascii="Arial" w:hAnsi="Arial" w:cs="Arial"/>
          <w:b/>
          <w:bCs/>
        </w:rPr>
        <w:t>Structural employment factors and economic pressures</w:t>
      </w:r>
    </w:p>
    <w:p w14:paraId="41730EDE" w14:textId="77777777" w:rsidR="00234421" w:rsidRPr="00234421" w:rsidRDefault="00234421" w:rsidP="00234421">
      <w:pPr>
        <w:spacing w:line="360" w:lineRule="auto"/>
        <w:jc w:val="both"/>
        <w:rPr>
          <w:rFonts w:ascii="Arial" w:hAnsi="Arial" w:cs="Arial"/>
        </w:rPr>
      </w:pPr>
      <w:r w:rsidRPr="00234421">
        <w:rPr>
          <w:rFonts w:ascii="Arial" w:hAnsi="Arial" w:cs="Arial"/>
        </w:rPr>
        <w:t>Precarity is recurrent in the literature: part-time work, agency staffing, and low wages create chronic financial stress and reduce access to employer-provided benefits (OECD, 2022; UNWTO, 2022). Post-COVID labour shortages forced many hotels to operate with reduced staffing levels, creating excessive workloads for remaining employees and exacerbating mental health risks (Baum, 2021). Simultaneously, rising operational costs limited the ability of smaller properties and franchisees to fund comprehensive well-being interventions (ILO, 2023).</w:t>
      </w:r>
    </w:p>
    <w:p w14:paraId="760E2400" w14:textId="77777777" w:rsidR="00234421" w:rsidRPr="00234421" w:rsidRDefault="00234421" w:rsidP="00234421">
      <w:pPr>
        <w:spacing w:line="360" w:lineRule="auto"/>
        <w:jc w:val="both"/>
        <w:rPr>
          <w:rFonts w:ascii="Arial" w:hAnsi="Arial" w:cs="Arial"/>
          <w:b/>
          <w:bCs/>
        </w:rPr>
      </w:pPr>
      <w:r w:rsidRPr="00234421">
        <w:rPr>
          <w:rFonts w:ascii="Arial" w:hAnsi="Arial" w:cs="Arial"/>
          <w:b/>
          <w:bCs/>
        </w:rPr>
        <w:t>Programmatic responses and evidence gaps</w:t>
      </w:r>
    </w:p>
    <w:p w14:paraId="17880D89" w14:textId="77777777" w:rsidR="00234421" w:rsidRPr="00234421" w:rsidRDefault="00234421" w:rsidP="00234421">
      <w:pPr>
        <w:spacing w:line="360" w:lineRule="auto"/>
        <w:jc w:val="both"/>
        <w:rPr>
          <w:rFonts w:ascii="Arial" w:hAnsi="Arial" w:cs="Arial"/>
        </w:rPr>
      </w:pPr>
      <w:r w:rsidRPr="00234421">
        <w:rPr>
          <w:rFonts w:ascii="Arial" w:hAnsi="Arial" w:cs="Arial"/>
        </w:rPr>
        <w:t xml:space="preserve">From 2020 onward, industry and NGO actors promoted Employee Assistance Programs (EAPs), mental health awareness campaigns, and digital wellbeing tools </w:t>
      </w:r>
      <w:r w:rsidRPr="00234421">
        <w:rPr>
          <w:rFonts w:ascii="Arial" w:hAnsi="Arial" w:cs="Arial"/>
        </w:rPr>
        <w:lastRenderedPageBreak/>
        <w:t>(WHO, 2023; PwC, 2022). However, systematic, longitudinal evaluations of these programmes’ impacts on mental health outcomes are scarce (Chen &amp; Eyoun, 2021). Scholars stress the need to shift from individual-focused resilience training toward structural interventions affecting work design, leadership development, and measurement (Robinson, Kralj &amp; Solnet, 2021).</w:t>
      </w:r>
    </w:p>
    <w:p w14:paraId="597C0C39" w14:textId="77777777" w:rsidR="00234421" w:rsidRPr="00234421" w:rsidRDefault="00234421" w:rsidP="00234421">
      <w:pPr>
        <w:spacing w:line="360" w:lineRule="auto"/>
        <w:jc w:val="both"/>
        <w:rPr>
          <w:rFonts w:ascii="Arial" w:hAnsi="Arial" w:cs="Arial"/>
        </w:rPr>
      </w:pPr>
      <w:r w:rsidRPr="00234421">
        <w:rPr>
          <w:rFonts w:ascii="Arial" w:hAnsi="Arial" w:cs="Arial"/>
        </w:rPr>
        <w:t>This body of work provides the basis for a multi-framework analysis that integrates macro forces, organisational dynamics, and causal pathways to policy responses.</w:t>
      </w:r>
    </w:p>
    <w:p w14:paraId="06EDBD2E" w14:textId="2ADAED22" w:rsidR="00234421" w:rsidRPr="00234421" w:rsidRDefault="00234421" w:rsidP="00234421">
      <w:pPr>
        <w:spacing w:line="360" w:lineRule="auto"/>
        <w:jc w:val="both"/>
        <w:rPr>
          <w:rFonts w:ascii="Arial" w:hAnsi="Arial" w:cs="Arial"/>
        </w:rPr>
      </w:pPr>
    </w:p>
    <w:p w14:paraId="697F3259" w14:textId="117C1DE6" w:rsidR="00234421" w:rsidRPr="000723E7" w:rsidRDefault="00234421" w:rsidP="000723E7">
      <w:pPr>
        <w:pStyle w:val="ListParagraph"/>
        <w:numPr>
          <w:ilvl w:val="0"/>
          <w:numId w:val="18"/>
        </w:numPr>
        <w:spacing w:line="360" w:lineRule="auto"/>
        <w:jc w:val="both"/>
        <w:rPr>
          <w:rFonts w:ascii="Arial" w:hAnsi="Arial" w:cs="Arial"/>
          <w:b/>
          <w:bCs/>
        </w:rPr>
      </w:pPr>
      <w:r w:rsidRPr="000723E7">
        <w:rPr>
          <w:rFonts w:ascii="Arial" w:hAnsi="Arial" w:cs="Arial"/>
          <w:b/>
          <w:bCs/>
        </w:rPr>
        <w:t>Method</w:t>
      </w:r>
    </w:p>
    <w:p w14:paraId="5E0218BE" w14:textId="77777777" w:rsidR="000723E7" w:rsidRPr="000723E7" w:rsidRDefault="000723E7" w:rsidP="000723E7">
      <w:pPr>
        <w:pStyle w:val="ListParagraph"/>
        <w:spacing w:line="360" w:lineRule="auto"/>
        <w:jc w:val="both"/>
        <w:rPr>
          <w:rFonts w:ascii="Arial" w:hAnsi="Arial" w:cs="Arial"/>
          <w:b/>
          <w:bCs/>
        </w:rPr>
      </w:pPr>
    </w:p>
    <w:p w14:paraId="4FBB79B7" w14:textId="77777777" w:rsidR="00234421" w:rsidRPr="00234421" w:rsidRDefault="00234421" w:rsidP="00234421">
      <w:pPr>
        <w:spacing w:line="360" w:lineRule="auto"/>
        <w:jc w:val="both"/>
        <w:rPr>
          <w:rFonts w:ascii="Arial" w:hAnsi="Arial" w:cs="Arial"/>
        </w:rPr>
      </w:pPr>
      <w:r w:rsidRPr="00234421">
        <w:rPr>
          <w:rFonts w:ascii="Arial" w:hAnsi="Arial" w:cs="Arial"/>
        </w:rPr>
        <w:t xml:space="preserve">This study </w:t>
      </w:r>
      <w:r w:rsidRPr="007527A5">
        <w:rPr>
          <w:rFonts w:ascii="Arial" w:hAnsi="Arial" w:cs="Arial"/>
        </w:rPr>
        <w:t>adopted</w:t>
      </w:r>
      <w:r w:rsidRPr="00234421">
        <w:rPr>
          <w:rFonts w:ascii="Arial" w:hAnsi="Arial" w:cs="Arial"/>
        </w:rPr>
        <w:t xml:space="preserve"> a qualitative approach centred on </w:t>
      </w:r>
      <w:r w:rsidRPr="007527A5">
        <w:rPr>
          <w:rFonts w:ascii="Arial" w:hAnsi="Arial" w:cs="Arial"/>
        </w:rPr>
        <w:t>secondary data</w:t>
      </w:r>
      <w:r w:rsidRPr="00234421">
        <w:rPr>
          <w:rFonts w:ascii="Arial" w:hAnsi="Arial" w:cs="Arial"/>
        </w:rPr>
        <w:t xml:space="preserve"> published between </w:t>
      </w:r>
      <w:r w:rsidRPr="007527A5">
        <w:rPr>
          <w:rFonts w:ascii="Arial" w:hAnsi="Arial" w:cs="Arial"/>
        </w:rPr>
        <w:t>2020 and 2025</w:t>
      </w:r>
      <w:r w:rsidRPr="00234421">
        <w:rPr>
          <w:rFonts w:ascii="Arial" w:hAnsi="Arial" w:cs="Arial"/>
        </w:rPr>
        <w:t xml:space="preserve">. The primary sources </w:t>
      </w:r>
      <w:r w:rsidRPr="007527A5">
        <w:rPr>
          <w:rFonts w:ascii="Arial" w:hAnsi="Arial" w:cs="Arial"/>
        </w:rPr>
        <w:t>were</w:t>
      </w:r>
      <w:r w:rsidRPr="00234421">
        <w:rPr>
          <w:rFonts w:ascii="Arial" w:hAnsi="Arial" w:cs="Arial"/>
        </w:rPr>
        <w:t xml:space="preserve"> peer-reviewed journal articles, industry reports (ILO, UNWTO, OECD), corporate sustainability and wellbeing reports from Marriott, Hilton, and Accor, and policy papers from WHO and ETUC. Searches </w:t>
      </w:r>
      <w:r w:rsidRPr="007527A5">
        <w:rPr>
          <w:rFonts w:ascii="Arial" w:hAnsi="Arial" w:cs="Arial"/>
        </w:rPr>
        <w:t>were</w:t>
      </w:r>
      <w:r w:rsidRPr="00234421">
        <w:rPr>
          <w:rFonts w:ascii="Arial" w:hAnsi="Arial" w:cs="Arial"/>
        </w:rPr>
        <w:t xml:space="preserve"> conducted on ScienceDirect, Emerald Insight, Taylor &amp; Francis Online, and official organisational websites using keywords including “hospitality mental health,” “employee well-being hotel,” “emotional labour hospitality,” “post-COVID hospitality workforce,” and “hotel well-being programmes.”</w:t>
      </w:r>
    </w:p>
    <w:p w14:paraId="66394535" w14:textId="77777777" w:rsidR="00234421" w:rsidRPr="00234421" w:rsidRDefault="00234421" w:rsidP="00234421">
      <w:pPr>
        <w:spacing w:line="360" w:lineRule="auto"/>
        <w:jc w:val="both"/>
        <w:rPr>
          <w:rFonts w:ascii="Arial" w:hAnsi="Arial" w:cs="Arial"/>
        </w:rPr>
      </w:pPr>
      <w:r w:rsidRPr="00234421">
        <w:rPr>
          <w:rFonts w:ascii="Arial" w:hAnsi="Arial" w:cs="Arial"/>
        </w:rPr>
        <w:t xml:space="preserve">A </w:t>
      </w:r>
      <w:r w:rsidRPr="007527A5">
        <w:rPr>
          <w:rFonts w:ascii="Arial" w:hAnsi="Arial" w:cs="Arial"/>
        </w:rPr>
        <w:t>triangulated, multi-framework analytical strategy was</w:t>
      </w:r>
      <w:r w:rsidRPr="00234421">
        <w:rPr>
          <w:rFonts w:ascii="Arial" w:hAnsi="Arial" w:cs="Arial"/>
        </w:rPr>
        <w:t xml:space="preserve"> used. The </w:t>
      </w:r>
      <w:r w:rsidRPr="007527A5">
        <w:rPr>
          <w:rFonts w:ascii="Arial" w:hAnsi="Arial" w:cs="Arial"/>
        </w:rPr>
        <w:t xml:space="preserve">PESTEL </w:t>
      </w:r>
      <w:r w:rsidRPr="00234421">
        <w:rPr>
          <w:rFonts w:ascii="Arial" w:hAnsi="Arial" w:cs="Arial"/>
        </w:rPr>
        <w:t xml:space="preserve">model </w:t>
      </w:r>
      <w:r w:rsidRPr="007527A5">
        <w:rPr>
          <w:rFonts w:ascii="Arial" w:hAnsi="Arial" w:cs="Arial"/>
        </w:rPr>
        <w:t xml:space="preserve">was </w:t>
      </w:r>
      <w:r w:rsidRPr="00234421">
        <w:rPr>
          <w:rFonts w:ascii="Arial" w:hAnsi="Arial" w:cs="Arial"/>
        </w:rPr>
        <w:t xml:space="preserve">applied to structure evidence of macro-level influences. A </w:t>
      </w:r>
      <w:r w:rsidRPr="007527A5">
        <w:rPr>
          <w:rFonts w:ascii="Arial" w:hAnsi="Arial" w:cs="Arial"/>
        </w:rPr>
        <w:t>SWOT</w:t>
      </w:r>
      <w:r w:rsidRPr="00234421">
        <w:rPr>
          <w:rFonts w:ascii="Arial" w:hAnsi="Arial" w:cs="Arial"/>
        </w:rPr>
        <w:t xml:space="preserve"> analysis </w:t>
      </w:r>
      <w:r w:rsidRPr="007527A5">
        <w:rPr>
          <w:rFonts w:ascii="Arial" w:hAnsi="Arial" w:cs="Arial"/>
        </w:rPr>
        <w:t>was</w:t>
      </w:r>
      <w:r w:rsidRPr="00234421">
        <w:rPr>
          <w:rFonts w:ascii="Arial" w:hAnsi="Arial" w:cs="Arial"/>
        </w:rPr>
        <w:t xml:space="preserve"> conducted to synthesise organisational strengths and weaknesses alongside opportunities and threats identified in the literature and corporate reports. Finally, the </w:t>
      </w:r>
      <w:r w:rsidRPr="00AD137D">
        <w:rPr>
          <w:rFonts w:ascii="Arial" w:hAnsi="Arial" w:cs="Arial"/>
        </w:rPr>
        <w:t>DPSIR</w:t>
      </w:r>
      <w:r w:rsidRPr="00234421">
        <w:rPr>
          <w:rFonts w:ascii="Arial" w:hAnsi="Arial" w:cs="Arial"/>
        </w:rPr>
        <w:t xml:space="preserve"> model </w:t>
      </w:r>
      <w:r w:rsidRPr="00AD137D">
        <w:rPr>
          <w:rFonts w:ascii="Arial" w:hAnsi="Arial" w:cs="Arial"/>
        </w:rPr>
        <w:t>was</w:t>
      </w:r>
      <w:r w:rsidRPr="00234421">
        <w:rPr>
          <w:rFonts w:ascii="Arial" w:hAnsi="Arial" w:cs="Arial"/>
        </w:rPr>
        <w:t xml:space="preserve"> used to map causal chains from drivers and pressures to the state of employee well-being, impacts on performance, and corporate or regulatory responses. Data </w:t>
      </w:r>
      <w:r w:rsidRPr="00AD137D">
        <w:rPr>
          <w:rFonts w:ascii="Arial" w:hAnsi="Arial" w:cs="Arial"/>
        </w:rPr>
        <w:t xml:space="preserve">were </w:t>
      </w:r>
      <w:r w:rsidRPr="00234421">
        <w:rPr>
          <w:rFonts w:ascii="Arial" w:hAnsi="Arial" w:cs="Arial"/>
        </w:rPr>
        <w:t>coded thematically, enabling cross-comparison among hotel chains and jurisdictions. Limitations</w:t>
      </w:r>
      <w:r w:rsidRPr="00AD137D">
        <w:rPr>
          <w:rFonts w:ascii="Arial" w:hAnsi="Arial" w:cs="Arial"/>
        </w:rPr>
        <w:t xml:space="preserve"> included </w:t>
      </w:r>
      <w:r w:rsidRPr="00234421">
        <w:rPr>
          <w:rFonts w:ascii="Arial" w:hAnsi="Arial" w:cs="Arial"/>
        </w:rPr>
        <w:t>dependence on published data (no original interviews) and variability in reporting quality across firms and regions; nevertheless, the method</w:t>
      </w:r>
      <w:r w:rsidRPr="00AD137D">
        <w:rPr>
          <w:rFonts w:ascii="Arial" w:hAnsi="Arial" w:cs="Arial"/>
        </w:rPr>
        <w:t xml:space="preserve"> provided</w:t>
      </w:r>
      <w:r w:rsidRPr="00234421">
        <w:rPr>
          <w:rFonts w:ascii="Arial" w:hAnsi="Arial" w:cs="Arial"/>
        </w:rPr>
        <w:t xml:space="preserve"> comprehensive, current insights appropriate for conference-level analysis and practical recommendations.</w:t>
      </w:r>
    </w:p>
    <w:p w14:paraId="3E20F964" w14:textId="68684954" w:rsidR="00234421" w:rsidRPr="00234421" w:rsidRDefault="00234421" w:rsidP="00234421">
      <w:pPr>
        <w:spacing w:line="360" w:lineRule="auto"/>
        <w:jc w:val="both"/>
        <w:rPr>
          <w:rFonts w:ascii="Arial" w:hAnsi="Arial" w:cs="Arial"/>
        </w:rPr>
      </w:pPr>
    </w:p>
    <w:p w14:paraId="120C43D4" w14:textId="77777777" w:rsidR="00234421" w:rsidRPr="00234421" w:rsidRDefault="00234421" w:rsidP="00234421">
      <w:pPr>
        <w:spacing w:line="360" w:lineRule="auto"/>
        <w:jc w:val="both"/>
        <w:rPr>
          <w:rFonts w:ascii="Arial" w:hAnsi="Arial" w:cs="Arial"/>
          <w:b/>
          <w:bCs/>
        </w:rPr>
      </w:pPr>
      <w:r w:rsidRPr="00234421">
        <w:rPr>
          <w:rFonts w:ascii="Arial" w:hAnsi="Arial" w:cs="Arial"/>
          <w:b/>
          <w:bCs/>
        </w:rPr>
        <w:t>4. Theme Impact Analysis</w:t>
      </w:r>
    </w:p>
    <w:p w14:paraId="7B92CEF7" w14:textId="77777777" w:rsidR="00234421" w:rsidRDefault="00234421" w:rsidP="00234421">
      <w:pPr>
        <w:spacing w:line="360" w:lineRule="auto"/>
        <w:jc w:val="both"/>
        <w:rPr>
          <w:rFonts w:ascii="Arial" w:hAnsi="Arial" w:cs="Arial"/>
          <w:b/>
          <w:bCs/>
        </w:rPr>
      </w:pPr>
      <w:r w:rsidRPr="00234421">
        <w:rPr>
          <w:rFonts w:ascii="Arial" w:hAnsi="Arial" w:cs="Arial"/>
          <w:b/>
          <w:bCs/>
        </w:rPr>
        <w:lastRenderedPageBreak/>
        <w:t>4.1 PESTEL Analysis</w:t>
      </w:r>
    </w:p>
    <w:p w14:paraId="258D623F" w14:textId="77777777" w:rsidR="000723E7" w:rsidRPr="00234421" w:rsidRDefault="000723E7" w:rsidP="00234421">
      <w:pPr>
        <w:spacing w:line="360" w:lineRule="auto"/>
        <w:jc w:val="both"/>
        <w:rPr>
          <w:rFonts w:ascii="Arial" w:hAnsi="Arial" w:cs="Arial"/>
          <w:b/>
          <w:bCs/>
        </w:rPr>
      </w:pPr>
    </w:p>
    <w:p w14:paraId="4A1AC75A" w14:textId="77777777" w:rsidR="00234421" w:rsidRPr="00234421" w:rsidRDefault="00234421" w:rsidP="00234421">
      <w:pPr>
        <w:spacing w:line="360" w:lineRule="auto"/>
        <w:jc w:val="both"/>
        <w:rPr>
          <w:rFonts w:ascii="Arial" w:hAnsi="Arial" w:cs="Arial"/>
        </w:rPr>
      </w:pPr>
      <w:r w:rsidRPr="00234421">
        <w:rPr>
          <w:rFonts w:ascii="Arial" w:hAnsi="Arial" w:cs="Arial"/>
          <w:b/>
          <w:bCs/>
        </w:rPr>
        <w:t>Political:</w:t>
      </w:r>
      <w:r w:rsidRPr="00234421">
        <w:rPr>
          <w:rFonts w:ascii="Arial" w:hAnsi="Arial" w:cs="Arial"/>
        </w:rPr>
        <w:t xml:space="preserve"> Governments and supranational bodies have elevated psychosocial risk management. The ILO and EU-level initiatives prompted guidance for workplace mental health (ILO, 2023; ETUC, 2024). However, hospitality’s fragmented labour models—franchises, outsourced services, and seasonal hires—create uneven policy uptake. Marriott, Hilton, and Accor are subject to multiple jurisdictions, complicating standardised compliance and enforcement.</w:t>
      </w:r>
    </w:p>
    <w:p w14:paraId="005E97A6" w14:textId="77777777" w:rsidR="00234421" w:rsidRPr="00234421" w:rsidRDefault="00234421" w:rsidP="00234421">
      <w:pPr>
        <w:spacing w:line="360" w:lineRule="auto"/>
        <w:jc w:val="both"/>
        <w:rPr>
          <w:rFonts w:ascii="Arial" w:hAnsi="Arial" w:cs="Arial"/>
        </w:rPr>
      </w:pPr>
      <w:r w:rsidRPr="00234421">
        <w:rPr>
          <w:rFonts w:ascii="Arial" w:hAnsi="Arial" w:cs="Arial"/>
          <w:b/>
          <w:bCs/>
        </w:rPr>
        <w:t>Economic:</w:t>
      </w:r>
      <w:r w:rsidRPr="00234421">
        <w:rPr>
          <w:rFonts w:ascii="Arial" w:hAnsi="Arial" w:cs="Arial"/>
        </w:rPr>
        <w:t xml:space="preserve"> The slow recovery from pandemic losses, combined with inflation and wage pressures, increased operational constraints. Many properties reduced staffing to manage costs but maintained service expectations, producing chronic overwork. Economic strain also limited the capacity of franchises and independent properties affiliated with global brands to implement comprehensive programmes (OECD, 2022; UNWTO, 2022).</w:t>
      </w:r>
    </w:p>
    <w:p w14:paraId="47EC6783" w14:textId="77777777" w:rsidR="00234421" w:rsidRPr="00234421" w:rsidRDefault="00234421" w:rsidP="00234421">
      <w:pPr>
        <w:spacing w:line="360" w:lineRule="auto"/>
        <w:jc w:val="both"/>
        <w:rPr>
          <w:rFonts w:ascii="Arial" w:hAnsi="Arial" w:cs="Arial"/>
        </w:rPr>
      </w:pPr>
      <w:r w:rsidRPr="00234421">
        <w:rPr>
          <w:rFonts w:ascii="Arial" w:hAnsi="Arial" w:cs="Arial"/>
          <w:b/>
          <w:bCs/>
        </w:rPr>
        <w:t>Social:</w:t>
      </w:r>
      <w:r w:rsidRPr="00234421">
        <w:rPr>
          <w:rFonts w:ascii="Arial" w:hAnsi="Arial" w:cs="Arial"/>
        </w:rPr>
        <w:t xml:space="preserve"> Social attitudes toward mental health improved among younger cohorts; employees expect employers to act on well-being (Deloitte, 2023). Yet the hospitality culture of “service above self” persists, discouraging disclosure and help-seeking. Stigma is particularly acute among migrant and seasonal staff lacking secure employment status (Hollis &amp; Roper, 2022).</w:t>
      </w:r>
    </w:p>
    <w:p w14:paraId="534BECE0" w14:textId="77777777" w:rsidR="00234421" w:rsidRPr="00234421" w:rsidRDefault="00234421" w:rsidP="00234421">
      <w:pPr>
        <w:spacing w:line="360" w:lineRule="auto"/>
        <w:jc w:val="both"/>
        <w:rPr>
          <w:rFonts w:ascii="Arial" w:hAnsi="Arial" w:cs="Arial"/>
        </w:rPr>
      </w:pPr>
      <w:r w:rsidRPr="00234421">
        <w:rPr>
          <w:rFonts w:ascii="Arial" w:hAnsi="Arial" w:cs="Arial"/>
          <w:b/>
          <w:bCs/>
        </w:rPr>
        <w:t>Technological:</w:t>
      </w:r>
      <w:r w:rsidRPr="00234421">
        <w:rPr>
          <w:rFonts w:ascii="Arial" w:hAnsi="Arial" w:cs="Arial"/>
        </w:rPr>
        <w:t xml:space="preserve"> Digital wellbeing platforms, teletherapy, and AI-driven HR analytics offer potential for early detection and support (Schoemaker, Patel &amp; Hill, 2023). Nevertheless, surveillance concerns (stress monitoring, performance analytics) can erode trust, and digital solutions cannot substitute for systemic workload changes (PwC, 2022).</w:t>
      </w:r>
    </w:p>
    <w:p w14:paraId="22CB1EE6" w14:textId="77777777" w:rsidR="00234421" w:rsidRPr="00234421" w:rsidRDefault="00234421" w:rsidP="00234421">
      <w:pPr>
        <w:spacing w:line="360" w:lineRule="auto"/>
        <w:jc w:val="both"/>
        <w:rPr>
          <w:rFonts w:ascii="Arial" w:hAnsi="Arial" w:cs="Arial"/>
        </w:rPr>
      </w:pPr>
      <w:r w:rsidRPr="00234421">
        <w:rPr>
          <w:rFonts w:ascii="Arial" w:hAnsi="Arial" w:cs="Arial"/>
          <w:b/>
          <w:bCs/>
        </w:rPr>
        <w:t>Environmental:</w:t>
      </w:r>
      <w:r w:rsidRPr="00234421">
        <w:rPr>
          <w:rFonts w:ascii="Arial" w:hAnsi="Arial" w:cs="Arial"/>
        </w:rPr>
        <w:t xml:space="preserve"> Physical workplace conditions—noise, thermal comfort, lighting—and facility design influence fatigue and morale. Biophilic design and ergonomic improvements were shown to support employee wellbeing in case studies from Accor and other brands (Green Hotelier, 2021; Kim et al., 2022).</w:t>
      </w:r>
    </w:p>
    <w:p w14:paraId="656D2901" w14:textId="77777777" w:rsidR="00234421" w:rsidRPr="00234421" w:rsidRDefault="00234421" w:rsidP="00234421">
      <w:pPr>
        <w:spacing w:line="360" w:lineRule="auto"/>
        <w:jc w:val="both"/>
        <w:rPr>
          <w:rFonts w:ascii="Arial" w:hAnsi="Arial" w:cs="Arial"/>
        </w:rPr>
      </w:pPr>
      <w:r w:rsidRPr="00234421">
        <w:rPr>
          <w:rFonts w:ascii="Arial" w:hAnsi="Arial" w:cs="Arial"/>
          <w:b/>
          <w:bCs/>
        </w:rPr>
        <w:t>Legal:</w:t>
      </w:r>
      <w:r w:rsidRPr="00234421">
        <w:rPr>
          <w:rFonts w:ascii="Arial" w:hAnsi="Arial" w:cs="Arial"/>
        </w:rPr>
        <w:t xml:space="preserve"> Jurisdictions increasingly consider mental health within health and safety legislation. However, the reach of legal protections depends on employment contracts and whether staff are direct employees or contractors. Rising legal accountability, </w:t>
      </w:r>
      <w:r w:rsidRPr="00234421">
        <w:rPr>
          <w:rFonts w:ascii="Arial" w:hAnsi="Arial" w:cs="Arial"/>
        </w:rPr>
        <w:lastRenderedPageBreak/>
        <w:t>including class claims relating to workplace stress, intensifies reputational and financial risk for brands (ETUC, 2024).</w:t>
      </w:r>
    </w:p>
    <w:p w14:paraId="3763C140" w14:textId="7E8C3F22" w:rsidR="000723E7" w:rsidRPr="00234421" w:rsidRDefault="00234421" w:rsidP="00234421">
      <w:pPr>
        <w:spacing w:line="360" w:lineRule="auto"/>
        <w:jc w:val="both"/>
        <w:rPr>
          <w:rFonts w:ascii="Arial" w:hAnsi="Arial" w:cs="Arial"/>
          <w:b/>
          <w:bCs/>
        </w:rPr>
      </w:pPr>
      <w:r w:rsidRPr="00234421">
        <w:rPr>
          <w:rFonts w:ascii="Arial" w:hAnsi="Arial" w:cs="Arial"/>
          <w:b/>
          <w:bCs/>
        </w:rPr>
        <w:t>4.2 SWOT Analysis</w:t>
      </w:r>
    </w:p>
    <w:p w14:paraId="3306312B" w14:textId="77777777" w:rsidR="00234421" w:rsidRPr="00234421" w:rsidRDefault="00234421" w:rsidP="00234421">
      <w:pPr>
        <w:spacing w:line="360" w:lineRule="auto"/>
        <w:jc w:val="both"/>
        <w:rPr>
          <w:rFonts w:ascii="Arial" w:hAnsi="Arial" w:cs="Arial"/>
        </w:rPr>
      </w:pPr>
      <w:r w:rsidRPr="00234421">
        <w:rPr>
          <w:rFonts w:ascii="Arial" w:hAnsi="Arial" w:cs="Arial"/>
          <w:b/>
          <w:bCs/>
        </w:rPr>
        <w:t>Strengths:</w:t>
      </w:r>
    </w:p>
    <w:p w14:paraId="0F9911A5" w14:textId="77777777" w:rsidR="00234421" w:rsidRPr="00234421" w:rsidRDefault="00234421" w:rsidP="00234421">
      <w:pPr>
        <w:numPr>
          <w:ilvl w:val="0"/>
          <w:numId w:val="13"/>
        </w:numPr>
        <w:spacing w:line="360" w:lineRule="auto"/>
        <w:jc w:val="both"/>
        <w:rPr>
          <w:rFonts w:ascii="Arial" w:hAnsi="Arial" w:cs="Arial"/>
        </w:rPr>
      </w:pPr>
      <w:r w:rsidRPr="00234421">
        <w:rPr>
          <w:rFonts w:ascii="Arial" w:hAnsi="Arial" w:cs="Arial"/>
        </w:rPr>
        <w:t>Global brand scale enables investment in centralised wellbeing programmes and publicity.</w:t>
      </w:r>
    </w:p>
    <w:p w14:paraId="7E46A44E" w14:textId="77777777" w:rsidR="00234421" w:rsidRPr="00234421" w:rsidRDefault="00234421" w:rsidP="00234421">
      <w:pPr>
        <w:numPr>
          <w:ilvl w:val="0"/>
          <w:numId w:val="13"/>
        </w:numPr>
        <w:spacing w:line="360" w:lineRule="auto"/>
        <w:jc w:val="both"/>
        <w:rPr>
          <w:rFonts w:ascii="Arial" w:hAnsi="Arial" w:cs="Arial"/>
        </w:rPr>
      </w:pPr>
      <w:r w:rsidRPr="00234421">
        <w:rPr>
          <w:rFonts w:ascii="Arial" w:hAnsi="Arial" w:cs="Arial"/>
        </w:rPr>
        <w:t>Existing EAPs and corporate wellness initiatives provide infrastructure for expansion.</w:t>
      </w:r>
    </w:p>
    <w:p w14:paraId="771A3B78" w14:textId="77777777" w:rsidR="00234421" w:rsidRPr="00234421" w:rsidRDefault="00234421" w:rsidP="00234421">
      <w:pPr>
        <w:numPr>
          <w:ilvl w:val="0"/>
          <w:numId w:val="13"/>
        </w:numPr>
        <w:spacing w:line="360" w:lineRule="auto"/>
        <w:jc w:val="both"/>
        <w:rPr>
          <w:rFonts w:ascii="Arial" w:hAnsi="Arial" w:cs="Arial"/>
        </w:rPr>
      </w:pPr>
      <w:r w:rsidRPr="00234421">
        <w:rPr>
          <w:rFonts w:ascii="Arial" w:hAnsi="Arial" w:cs="Arial"/>
        </w:rPr>
        <w:t>Corporate sustainability frameworks are increasingly receptive to employee wellbeing metrics.</w:t>
      </w:r>
    </w:p>
    <w:p w14:paraId="4468639A" w14:textId="77777777" w:rsidR="00234421" w:rsidRPr="00234421" w:rsidRDefault="00234421" w:rsidP="00234421">
      <w:pPr>
        <w:spacing w:line="360" w:lineRule="auto"/>
        <w:jc w:val="both"/>
        <w:rPr>
          <w:rFonts w:ascii="Arial" w:hAnsi="Arial" w:cs="Arial"/>
        </w:rPr>
      </w:pPr>
      <w:r w:rsidRPr="00234421">
        <w:rPr>
          <w:rFonts w:ascii="Arial" w:hAnsi="Arial" w:cs="Arial"/>
          <w:b/>
          <w:bCs/>
        </w:rPr>
        <w:t>Weaknesses:</w:t>
      </w:r>
    </w:p>
    <w:p w14:paraId="73C1F245" w14:textId="77777777" w:rsidR="00234421" w:rsidRPr="00234421" w:rsidRDefault="00234421" w:rsidP="00234421">
      <w:pPr>
        <w:numPr>
          <w:ilvl w:val="0"/>
          <w:numId w:val="14"/>
        </w:numPr>
        <w:spacing w:line="360" w:lineRule="auto"/>
        <w:jc w:val="both"/>
        <w:rPr>
          <w:rFonts w:ascii="Arial" w:hAnsi="Arial" w:cs="Arial"/>
        </w:rPr>
      </w:pPr>
      <w:r w:rsidRPr="00234421">
        <w:rPr>
          <w:rFonts w:ascii="Arial" w:hAnsi="Arial" w:cs="Arial"/>
        </w:rPr>
        <w:t>Uneven implementation across franchises, managed properties, and outsourced operations.</w:t>
      </w:r>
    </w:p>
    <w:p w14:paraId="72782D69" w14:textId="77777777" w:rsidR="00234421" w:rsidRPr="00234421" w:rsidRDefault="00234421" w:rsidP="00234421">
      <w:pPr>
        <w:numPr>
          <w:ilvl w:val="0"/>
          <w:numId w:val="14"/>
        </w:numPr>
        <w:spacing w:line="360" w:lineRule="auto"/>
        <w:jc w:val="both"/>
        <w:rPr>
          <w:rFonts w:ascii="Arial" w:hAnsi="Arial" w:cs="Arial"/>
        </w:rPr>
      </w:pPr>
      <w:r w:rsidRPr="00234421">
        <w:rPr>
          <w:rFonts w:ascii="Arial" w:hAnsi="Arial" w:cs="Arial"/>
        </w:rPr>
        <w:t>Managerial capacity for mental health identification and support is often underdeveloped.</w:t>
      </w:r>
    </w:p>
    <w:p w14:paraId="0773082A" w14:textId="77777777" w:rsidR="00234421" w:rsidRPr="00234421" w:rsidRDefault="00234421" w:rsidP="00234421">
      <w:pPr>
        <w:numPr>
          <w:ilvl w:val="0"/>
          <w:numId w:val="14"/>
        </w:numPr>
        <w:spacing w:line="360" w:lineRule="auto"/>
        <w:jc w:val="both"/>
        <w:rPr>
          <w:rFonts w:ascii="Arial" w:hAnsi="Arial" w:cs="Arial"/>
        </w:rPr>
      </w:pPr>
      <w:r w:rsidRPr="00234421">
        <w:rPr>
          <w:rFonts w:ascii="Arial" w:hAnsi="Arial" w:cs="Arial"/>
        </w:rPr>
        <w:t>Programs sometimes prioritise optics over measurable change.</w:t>
      </w:r>
    </w:p>
    <w:p w14:paraId="630CDFD7" w14:textId="77777777" w:rsidR="00234421" w:rsidRPr="00234421" w:rsidRDefault="00234421" w:rsidP="00234421">
      <w:pPr>
        <w:spacing w:line="360" w:lineRule="auto"/>
        <w:jc w:val="both"/>
        <w:rPr>
          <w:rFonts w:ascii="Arial" w:hAnsi="Arial" w:cs="Arial"/>
        </w:rPr>
      </w:pPr>
      <w:r w:rsidRPr="00234421">
        <w:rPr>
          <w:rFonts w:ascii="Arial" w:hAnsi="Arial" w:cs="Arial"/>
          <w:b/>
          <w:bCs/>
        </w:rPr>
        <w:t>Opportunities:</w:t>
      </w:r>
    </w:p>
    <w:p w14:paraId="7FF417DD" w14:textId="77777777" w:rsidR="00234421" w:rsidRPr="00234421" w:rsidRDefault="00234421" w:rsidP="00234421">
      <w:pPr>
        <w:numPr>
          <w:ilvl w:val="0"/>
          <w:numId w:val="15"/>
        </w:numPr>
        <w:spacing w:line="360" w:lineRule="auto"/>
        <w:jc w:val="both"/>
        <w:rPr>
          <w:rFonts w:ascii="Arial" w:hAnsi="Arial" w:cs="Arial"/>
        </w:rPr>
      </w:pPr>
      <w:r w:rsidRPr="00234421">
        <w:rPr>
          <w:rFonts w:ascii="Arial" w:hAnsi="Arial" w:cs="Arial"/>
        </w:rPr>
        <w:t>Integrating wellbeing into ESG reporting creates accountability and investor interest.</w:t>
      </w:r>
    </w:p>
    <w:p w14:paraId="5244748B" w14:textId="77777777" w:rsidR="00234421" w:rsidRPr="00234421" w:rsidRDefault="00234421" w:rsidP="00234421">
      <w:pPr>
        <w:numPr>
          <w:ilvl w:val="0"/>
          <w:numId w:val="15"/>
        </w:numPr>
        <w:spacing w:line="360" w:lineRule="auto"/>
        <w:jc w:val="both"/>
        <w:rPr>
          <w:rFonts w:ascii="Arial" w:hAnsi="Arial" w:cs="Arial"/>
        </w:rPr>
      </w:pPr>
      <w:r w:rsidRPr="00234421">
        <w:rPr>
          <w:rFonts w:ascii="Arial" w:hAnsi="Arial" w:cs="Arial"/>
        </w:rPr>
        <w:t>Partnerships with mental health NGOs and digital health providers can expand access.</w:t>
      </w:r>
    </w:p>
    <w:p w14:paraId="2737CAB2" w14:textId="77777777" w:rsidR="00234421" w:rsidRPr="00234421" w:rsidRDefault="00234421" w:rsidP="00234421">
      <w:pPr>
        <w:numPr>
          <w:ilvl w:val="0"/>
          <w:numId w:val="15"/>
        </w:numPr>
        <w:spacing w:line="360" w:lineRule="auto"/>
        <w:jc w:val="both"/>
        <w:rPr>
          <w:rFonts w:ascii="Arial" w:hAnsi="Arial" w:cs="Arial"/>
        </w:rPr>
      </w:pPr>
      <w:r w:rsidRPr="00234421">
        <w:rPr>
          <w:rFonts w:ascii="Arial" w:hAnsi="Arial" w:cs="Arial"/>
        </w:rPr>
        <w:t>Re-designing work practices (scheduling, staffing ratios) offers systemic improvements.</w:t>
      </w:r>
    </w:p>
    <w:p w14:paraId="2267CC1B" w14:textId="77777777" w:rsidR="00234421" w:rsidRPr="00234421" w:rsidRDefault="00234421" w:rsidP="00234421">
      <w:pPr>
        <w:spacing w:line="360" w:lineRule="auto"/>
        <w:jc w:val="both"/>
        <w:rPr>
          <w:rFonts w:ascii="Arial" w:hAnsi="Arial" w:cs="Arial"/>
        </w:rPr>
      </w:pPr>
      <w:r w:rsidRPr="00234421">
        <w:rPr>
          <w:rFonts w:ascii="Arial" w:hAnsi="Arial" w:cs="Arial"/>
          <w:b/>
          <w:bCs/>
        </w:rPr>
        <w:t>Threats:</w:t>
      </w:r>
    </w:p>
    <w:p w14:paraId="030DFF8E" w14:textId="77777777" w:rsidR="00234421" w:rsidRPr="00234421" w:rsidRDefault="00234421" w:rsidP="00234421">
      <w:pPr>
        <w:numPr>
          <w:ilvl w:val="0"/>
          <w:numId w:val="16"/>
        </w:numPr>
        <w:spacing w:line="360" w:lineRule="auto"/>
        <w:jc w:val="both"/>
        <w:rPr>
          <w:rFonts w:ascii="Arial" w:hAnsi="Arial" w:cs="Arial"/>
        </w:rPr>
      </w:pPr>
      <w:r w:rsidRPr="00234421">
        <w:rPr>
          <w:rFonts w:ascii="Arial" w:hAnsi="Arial" w:cs="Arial"/>
        </w:rPr>
        <w:t>Persistent labour shortages and cost pressures may limit programme scaling.</w:t>
      </w:r>
    </w:p>
    <w:p w14:paraId="4B119299" w14:textId="77777777" w:rsidR="00234421" w:rsidRPr="00234421" w:rsidRDefault="00234421" w:rsidP="00234421">
      <w:pPr>
        <w:numPr>
          <w:ilvl w:val="0"/>
          <w:numId w:val="16"/>
        </w:numPr>
        <w:spacing w:line="360" w:lineRule="auto"/>
        <w:jc w:val="both"/>
        <w:rPr>
          <w:rFonts w:ascii="Arial" w:hAnsi="Arial" w:cs="Arial"/>
        </w:rPr>
      </w:pPr>
      <w:r w:rsidRPr="00234421">
        <w:rPr>
          <w:rFonts w:ascii="Arial" w:hAnsi="Arial" w:cs="Arial"/>
        </w:rPr>
        <w:t>Reputational damage and legal exposure from failure to protect psychosocial safety.</w:t>
      </w:r>
    </w:p>
    <w:p w14:paraId="7C31D145" w14:textId="77777777" w:rsidR="00234421" w:rsidRPr="00234421" w:rsidRDefault="00234421" w:rsidP="00234421">
      <w:pPr>
        <w:numPr>
          <w:ilvl w:val="0"/>
          <w:numId w:val="16"/>
        </w:numPr>
        <w:spacing w:line="360" w:lineRule="auto"/>
        <w:jc w:val="both"/>
        <w:rPr>
          <w:rFonts w:ascii="Arial" w:hAnsi="Arial" w:cs="Arial"/>
        </w:rPr>
      </w:pPr>
      <w:r w:rsidRPr="00234421">
        <w:rPr>
          <w:rFonts w:ascii="Arial" w:hAnsi="Arial" w:cs="Arial"/>
        </w:rPr>
        <w:lastRenderedPageBreak/>
        <w:t>Rising employee expectations could increase turnover if change is slow.</w:t>
      </w:r>
    </w:p>
    <w:p w14:paraId="1E36452C" w14:textId="77777777" w:rsidR="00234421" w:rsidRDefault="00234421" w:rsidP="00234421">
      <w:pPr>
        <w:spacing w:line="360" w:lineRule="auto"/>
        <w:jc w:val="both"/>
        <w:rPr>
          <w:rFonts w:ascii="Arial" w:hAnsi="Arial" w:cs="Arial"/>
        </w:rPr>
      </w:pPr>
      <w:r w:rsidRPr="00234421">
        <w:rPr>
          <w:rFonts w:ascii="Arial" w:hAnsi="Arial" w:cs="Arial"/>
        </w:rPr>
        <w:t>This SWOT synthesis shows that international hotel chains have resources and frameworks available but face structural barriers—particularly in franchising and outsourced labour—that limit the translation of corporate policy into practice.</w:t>
      </w:r>
    </w:p>
    <w:p w14:paraId="09BFAA00" w14:textId="77777777" w:rsidR="00F1020E" w:rsidRPr="00234421" w:rsidRDefault="00F1020E" w:rsidP="00234421">
      <w:pPr>
        <w:spacing w:line="360" w:lineRule="auto"/>
        <w:jc w:val="both"/>
        <w:rPr>
          <w:rFonts w:ascii="Arial" w:hAnsi="Arial" w:cs="Arial"/>
        </w:rPr>
      </w:pPr>
    </w:p>
    <w:p w14:paraId="50802D27" w14:textId="60511DF6" w:rsidR="00F1020E" w:rsidRPr="00234421" w:rsidRDefault="00234421" w:rsidP="00234421">
      <w:pPr>
        <w:spacing w:line="360" w:lineRule="auto"/>
        <w:jc w:val="both"/>
        <w:rPr>
          <w:rFonts w:ascii="Arial" w:hAnsi="Arial" w:cs="Arial"/>
          <w:b/>
          <w:bCs/>
        </w:rPr>
      </w:pPr>
      <w:r w:rsidRPr="00234421">
        <w:rPr>
          <w:rFonts w:ascii="Arial" w:hAnsi="Arial" w:cs="Arial"/>
          <w:b/>
          <w:bCs/>
        </w:rPr>
        <w:t>4.3 DPSIR Framework</w:t>
      </w:r>
    </w:p>
    <w:p w14:paraId="12A1EE9D" w14:textId="77777777" w:rsidR="00234421" w:rsidRPr="00234421" w:rsidRDefault="00234421" w:rsidP="00234421">
      <w:pPr>
        <w:spacing w:line="360" w:lineRule="auto"/>
        <w:jc w:val="both"/>
        <w:rPr>
          <w:rFonts w:ascii="Arial" w:hAnsi="Arial" w:cs="Arial"/>
        </w:rPr>
      </w:pPr>
      <w:r w:rsidRPr="00234421">
        <w:rPr>
          <w:rFonts w:ascii="Arial" w:hAnsi="Arial" w:cs="Arial"/>
          <w:b/>
          <w:bCs/>
        </w:rPr>
        <w:t>Drivers:</w:t>
      </w:r>
      <w:r w:rsidRPr="00234421">
        <w:rPr>
          <w:rFonts w:ascii="Arial" w:hAnsi="Arial" w:cs="Arial"/>
        </w:rPr>
        <w:t xml:space="preserve"> Market competition, guest expectations for consistent service, cost containment strategies, and the legacies of pandemic-era staffing disruptions. These drivers motivate both operational intensification and programmatic responses.</w:t>
      </w:r>
    </w:p>
    <w:p w14:paraId="694BA545" w14:textId="77777777" w:rsidR="00234421" w:rsidRPr="00234421" w:rsidRDefault="00234421" w:rsidP="00234421">
      <w:pPr>
        <w:spacing w:line="360" w:lineRule="auto"/>
        <w:jc w:val="both"/>
        <w:rPr>
          <w:rFonts w:ascii="Arial" w:hAnsi="Arial" w:cs="Arial"/>
        </w:rPr>
      </w:pPr>
      <w:r w:rsidRPr="00234421">
        <w:rPr>
          <w:rFonts w:ascii="Arial" w:hAnsi="Arial" w:cs="Arial"/>
          <w:b/>
          <w:bCs/>
        </w:rPr>
        <w:t>Pressures:</w:t>
      </w:r>
      <w:r w:rsidRPr="00234421">
        <w:rPr>
          <w:rFonts w:ascii="Arial" w:hAnsi="Arial" w:cs="Arial"/>
        </w:rPr>
        <w:t xml:space="preserve"> Resultant pressures include intensified emotional labour (guest-facing demands), longer or more unpredictable shifts, and reliance on precarious labour pools. These pressures disproportionately affect housekeeping, food and beverage, and front desk roles.</w:t>
      </w:r>
    </w:p>
    <w:p w14:paraId="161036AA" w14:textId="77777777" w:rsidR="00234421" w:rsidRPr="00234421" w:rsidRDefault="00234421" w:rsidP="00234421">
      <w:pPr>
        <w:spacing w:line="360" w:lineRule="auto"/>
        <w:jc w:val="both"/>
        <w:rPr>
          <w:rFonts w:ascii="Arial" w:hAnsi="Arial" w:cs="Arial"/>
        </w:rPr>
      </w:pPr>
      <w:r w:rsidRPr="00234421">
        <w:rPr>
          <w:rFonts w:ascii="Arial" w:hAnsi="Arial" w:cs="Arial"/>
          <w:b/>
          <w:bCs/>
        </w:rPr>
        <w:t>State:</w:t>
      </w:r>
      <w:r w:rsidRPr="00234421">
        <w:rPr>
          <w:rFonts w:ascii="Arial" w:hAnsi="Arial" w:cs="Arial"/>
        </w:rPr>
        <w:t xml:space="preserve"> The workforce saw increased rates of exhaustion, anxiety, and absenteeism documented across multiple studies and industry reports (UNWTO, 2022; WHO, 2023). Turnover remained elevated in 2022–2024, affecting institutional knowledge and team cohesion.</w:t>
      </w:r>
    </w:p>
    <w:p w14:paraId="070DCF22" w14:textId="77777777" w:rsidR="00234421" w:rsidRPr="00234421" w:rsidRDefault="00234421" w:rsidP="00234421">
      <w:pPr>
        <w:spacing w:line="360" w:lineRule="auto"/>
        <w:jc w:val="both"/>
        <w:rPr>
          <w:rFonts w:ascii="Arial" w:hAnsi="Arial" w:cs="Arial"/>
        </w:rPr>
      </w:pPr>
      <w:r w:rsidRPr="00234421">
        <w:rPr>
          <w:rFonts w:ascii="Arial" w:hAnsi="Arial" w:cs="Arial"/>
          <w:b/>
          <w:bCs/>
        </w:rPr>
        <w:t>Impact:</w:t>
      </w:r>
      <w:r w:rsidRPr="00234421">
        <w:rPr>
          <w:rFonts w:ascii="Arial" w:hAnsi="Arial" w:cs="Arial"/>
        </w:rPr>
        <w:t xml:space="preserve"> Operational impacts included reduced service quality, guest complaints, and higher recruitment costs. Strategic impacts encompassed reputational risks for brands that failed to demonstrate effective employee care.</w:t>
      </w:r>
    </w:p>
    <w:p w14:paraId="37D007BF" w14:textId="77777777" w:rsidR="00234421" w:rsidRPr="00234421" w:rsidRDefault="00234421" w:rsidP="00234421">
      <w:pPr>
        <w:spacing w:line="360" w:lineRule="auto"/>
        <w:jc w:val="both"/>
        <w:rPr>
          <w:rFonts w:ascii="Arial" w:hAnsi="Arial" w:cs="Arial"/>
        </w:rPr>
      </w:pPr>
      <w:r w:rsidRPr="00234421">
        <w:rPr>
          <w:rFonts w:ascii="Arial" w:hAnsi="Arial" w:cs="Arial"/>
          <w:b/>
          <w:bCs/>
        </w:rPr>
        <w:t>Response:</w:t>
      </w:r>
      <w:r w:rsidRPr="00234421">
        <w:rPr>
          <w:rFonts w:ascii="Arial" w:hAnsi="Arial" w:cs="Arial"/>
        </w:rPr>
        <w:t xml:space="preserve"> Responses varied: Marriott, Hilton, and Accor all launched or expanded mental health programmes, manager training, and EAP provisions (Accor Group, 2023; Hilton, 2023; Marriott, 2022). However, evaluation evidence indicates many responses were short-term and under-resourced. The DPSIR mapping emphasises that without addressing drivers and pressures through job redesign and legal protections, responses risk being palliative rather than transformative.</w:t>
      </w:r>
    </w:p>
    <w:p w14:paraId="42C5ED4C" w14:textId="3F038C51" w:rsidR="00234421" w:rsidRDefault="00234421" w:rsidP="00234421">
      <w:pPr>
        <w:spacing w:line="360" w:lineRule="auto"/>
        <w:jc w:val="both"/>
        <w:rPr>
          <w:rFonts w:ascii="Arial" w:hAnsi="Arial" w:cs="Arial"/>
        </w:rPr>
      </w:pPr>
    </w:p>
    <w:p w14:paraId="06AB51C9" w14:textId="77777777" w:rsidR="00F1020E" w:rsidRDefault="00F1020E" w:rsidP="00234421">
      <w:pPr>
        <w:spacing w:line="360" w:lineRule="auto"/>
        <w:jc w:val="both"/>
        <w:rPr>
          <w:rFonts w:ascii="Arial" w:hAnsi="Arial" w:cs="Arial"/>
        </w:rPr>
      </w:pPr>
    </w:p>
    <w:p w14:paraId="603AA298" w14:textId="77777777" w:rsidR="00F1020E" w:rsidRPr="00234421" w:rsidRDefault="00F1020E" w:rsidP="00234421">
      <w:pPr>
        <w:spacing w:line="360" w:lineRule="auto"/>
        <w:jc w:val="both"/>
        <w:rPr>
          <w:rFonts w:ascii="Arial" w:hAnsi="Arial" w:cs="Arial"/>
        </w:rPr>
      </w:pPr>
    </w:p>
    <w:p w14:paraId="3E2D5E51" w14:textId="77777777" w:rsidR="00234421" w:rsidRDefault="00234421" w:rsidP="00234421">
      <w:pPr>
        <w:spacing w:line="360" w:lineRule="auto"/>
        <w:jc w:val="both"/>
        <w:rPr>
          <w:rFonts w:ascii="Arial" w:hAnsi="Arial" w:cs="Arial"/>
          <w:b/>
          <w:bCs/>
        </w:rPr>
      </w:pPr>
      <w:r w:rsidRPr="00234421">
        <w:rPr>
          <w:rFonts w:ascii="Arial" w:hAnsi="Arial" w:cs="Arial"/>
          <w:b/>
          <w:bCs/>
        </w:rPr>
        <w:lastRenderedPageBreak/>
        <w:t>5. Conclusion</w:t>
      </w:r>
    </w:p>
    <w:p w14:paraId="7613E56C" w14:textId="77777777" w:rsidR="00F1020E" w:rsidRPr="00234421" w:rsidRDefault="00F1020E" w:rsidP="00234421">
      <w:pPr>
        <w:spacing w:line="360" w:lineRule="auto"/>
        <w:jc w:val="both"/>
        <w:rPr>
          <w:rFonts w:ascii="Arial" w:hAnsi="Arial" w:cs="Arial"/>
          <w:b/>
          <w:bCs/>
        </w:rPr>
      </w:pPr>
    </w:p>
    <w:p w14:paraId="6D881DDE" w14:textId="77777777" w:rsidR="00234421" w:rsidRPr="00234421" w:rsidRDefault="00234421" w:rsidP="00234421">
      <w:pPr>
        <w:spacing w:line="360" w:lineRule="auto"/>
        <w:jc w:val="both"/>
        <w:rPr>
          <w:rFonts w:ascii="Arial" w:hAnsi="Arial" w:cs="Arial"/>
        </w:rPr>
      </w:pPr>
      <w:r w:rsidRPr="00234421">
        <w:rPr>
          <w:rFonts w:ascii="Arial" w:hAnsi="Arial" w:cs="Arial"/>
        </w:rPr>
        <w:t>The mental health crisis in hospitality is not an isolated or transient phenomenon; it is an outcome of enduring economic models, managerial practices, and cultural norms that have been stressed by the COVID-19 era and subsequent labour-market dynamics. Large international hotel chains possess the resources and platforms to lead systemic change, but practical barriers—franchise models, outsourcing, inconsistent leadership capability, and economic pressures—impede progress. Using PESTEL, SWOT, and DPSIR frameworks together clarified that macro forces (policy, economics, social change) interact with organisational design to produce the present state of workforce mental health. Genuine improvement will require embedding mental health into governance, operations, and performance measurement rather than treating it as a stand-alone CSR or communications initiative.</w:t>
      </w:r>
    </w:p>
    <w:p w14:paraId="19EEC2B0" w14:textId="20F632BB" w:rsidR="00234421" w:rsidRPr="00234421" w:rsidRDefault="00234421" w:rsidP="00234421">
      <w:pPr>
        <w:spacing w:line="360" w:lineRule="auto"/>
        <w:jc w:val="both"/>
        <w:rPr>
          <w:rFonts w:ascii="Arial" w:hAnsi="Arial" w:cs="Arial"/>
        </w:rPr>
      </w:pPr>
    </w:p>
    <w:p w14:paraId="77AFA949" w14:textId="77777777" w:rsidR="00234421" w:rsidRDefault="00234421" w:rsidP="00234421">
      <w:pPr>
        <w:spacing w:line="360" w:lineRule="auto"/>
        <w:jc w:val="both"/>
        <w:rPr>
          <w:rFonts w:ascii="Arial" w:hAnsi="Arial" w:cs="Arial"/>
          <w:b/>
          <w:bCs/>
        </w:rPr>
      </w:pPr>
      <w:r w:rsidRPr="00234421">
        <w:rPr>
          <w:rFonts w:ascii="Arial" w:hAnsi="Arial" w:cs="Arial"/>
          <w:b/>
          <w:bCs/>
        </w:rPr>
        <w:t>6. Recommendations</w:t>
      </w:r>
    </w:p>
    <w:p w14:paraId="0247C79D" w14:textId="77777777" w:rsidR="00F1020E" w:rsidRPr="00234421" w:rsidRDefault="00F1020E" w:rsidP="00234421">
      <w:pPr>
        <w:spacing w:line="360" w:lineRule="auto"/>
        <w:jc w:val="both"/>
        <w:rPr>
          <w:rFonts w:ascii="Arial" w:hAnsi="Arial" w:cs="Arial"/>
          <w:b/>
          <w:bCs/>
        </w:rPr>
      </w:pPr>
    </w:p>
    <w:p w14:paraId="0C4761F7" w14:textId="77777777" w:rsidR="00F1020E" w:rsidRDefault="00234421" w:rsidP="00234421">
      <w:pPr>
        <w:spacing w:line="360" w:lineRule="auto"/>
        <w:jc w:val="both"/>
        <w:rPr>
          <w:rFonts w:ascii="Arial" w:hAnsi="Arial" w:cs="Arial"/>
          <w:b/>
          <w:bCs/>
        </w:rPr>
      </w:pPr>
      <w:r w:rsidRPr="00234421">
        <w:rPr>
          <w:rFonts w:ascii="Arial" w:hAnsi="Arial" w:cs="Arial"/>
          <w:b/>
          <w:bCs/>
        </w:rPr>
        <w:t>Short-Term (Within 12 months — by December 2026):</w:t>
      </w:r>
      <w:r w:rsidRPr="00234421">
        <w:rPr>
          <w:rFonts w:ascii="Arial" w:hAnsi="Arial" w:cs="Arial"/>
        </w:rPr>
        <w:br/>
      </w:r>
      <w:r w:rsidRPr="00234421">
        <w:rPr>
          <w:rFonts w:ascii="Arial" w:hAnsi="Arial" w:cs="Arial"/>
          <w:b/>
          <w:bCs/>
        </w:rPr>
        <w:t>Mandatory Managerial Mental Health Certification and Immediate Support Access.</w:t>
      </w:r>
    </w:p>
    <w:p w14:paraId="28FE3D12" w14:textId="6C016332" w:rsidR="00234421" w:rsidRDefault="00234421" w:rsidP="00234421">
      <w:pPr>
        <w:spacing w:line="360" w:lineRule="auto"/>
        <w:jc w:val="both"/>
        <w:rPr>
          <w:rFonts w:ascii="Arial" w:hAnsi="Arial" w:cs="Arial"/>
        </w:rPr>
      </w:pPr>
      <w:r w:rsidRPr="00234421">
        <w:rPr>
          <w:rFonts w:ascii="Arial" w:hAnsi="Arial" w:cs="Arial"/>
        </w:rPr>
        <w:br/>
        <w:t>International hotel chains should require all front-line and mid-level managers to complete a certified mental health literacy programme (e.g., modules accredited by WHO or national mental health bodies) within 12 months. Simultaneously, chains must ensure immediate, confidential access to counselling (EAP expansion, teletherapy partnerships) for all staff, including franchise and outsourced workers, by subsidising services where employers lack direct control. Deliverable: 90% of managers certified and EAP access available to 80% of workforce.</w:t>
      </w:r>
    </w:p>
    <w:p w14:paraId="117AF800" w14:textId="77777777" w:rsidR="00F1020E" w:rsidRPr="00234421" w:rsidRDefault="00F1020E" w:rsidP="00234421">
      <w:pPr>
        <w:spacing w:line="360" w:lineRule="auto"/>
        <w:jc w:val="both"/>
        <w:rPr>
          <w:rFonts w:ascii="Arial" w:hAnsi="Arial" w:cs="Arial"/>
        </w:rPr>
      </w:pPr>
    </w:p>
    <w:p w14:paraId="3C79B694" w14:textId="77777777" w:rsidR="00234421" w:rsidRDefault="00234421" w:rsidP="00234421">
      <w:pPr>
        <w:spacing w:line="360" w:lineRule="auto"/>
        <w:jc w:val="both"/>
        <w:rPr>
          <w:rFonts w:ascii="Arial" w:hAnsi="Arial" w:cs="Arial"/>
        </w:rPr>
      </w:pPr>
      <w:r w:rsidRPr="00234421">
        <w:rPr>
          <w:rFonts w:ascii="Arial" w:hAnsi="Arial" w:cs="Arial"/>
          <w:b/>
          <w:bCs/>
        </w:rPr>
        <w:t>Mid-Term (1–3 years — by December 2028):</w:t>
      </w:r>
      <w:r w:rsidRPr="00234421">
        <w:rPr>
          <w:rFonts w:ascii="Arial" w:hAnsi="Arial" w:cs="Arial"/>
        </w:rPr>
        <w:br/>
      </w:r>
      <w:r w:rsidRPr="00234421">
        <w:rPr>
          <w:rFonts w:ascii="Arial" w:hAnsi="Arial" w:cs="Arial"/>
          <w:b/>
          <w:bCs/>
        </w:rPr>
        <w:t>Embed Well-being into Corporate KPIs and Franchise Agreements.</w:t>
      </w:r>
      <w:r w:rsidRPr="00234421">
        <w:rPr>
          <w:rFonts w:ascii="Arial" w:hAnsi="Arial" w:cs="Arial"/>
        </w:rPr>
        <w:br/>
      </w:r>
      <w:r w:rsidRPr="00234421">
        <w:rPr>
          <w:rFonts w:ascii="Arial" w:hAnsi="Arial" w:cs="Arial"/>
        </w:rPr>
        <w:lastRenderedPageBreak/>
        <w:t>Marriott, Hilton, and Accor should integrate employee well-being metrics (turnover, absenteeism, engagement scores, incidence of stress-related leave) into corporate KPIs and require franchisees/managed properties to report these metrics. Well-being should be included in ESG disclosures and linked to management incentives. Deliverable: standardised reporting frameworks adopted across 80% of properties; wellbeing metrics published annually.</w:t>
      </w:r>
    </w:p>
    <w:p w14:paraId="5CEA0DDE" w14:textId="77777777" w:rsidR="00F1020E" w:rsidRPr="00234421" w:rsidRDefault="00F1020E" w:rsidP="00234421">
      <w:pPr>
        <w:spacing w:line="360" w:lineRule="auto"/>
        <w:jc w:val="both"/>
        <w:rPr>
          <w:rFonts w:ascii="Arial" w:hAnsi="Arial" w:cs="Arial"/>
        </w:rPr>
      </w:pPr>
    </w:p>
    <w:p w14:paraId="245E19D8" w14:textId="77777777" w:rsidR="00234421" w:rsidRPr="00234421" w:rsidRDefault="00234421" w:rsidP="00234421">
      <w:pPr>
        <w:spacing w:line="360" w:lineRule="auto"/>
        <w:jc w:val="both"/>
        <w:rPr>
          <w:rFonts w:ascii="Arial" w:hAnsi="Arial" w:cs="Arial"/>
        </w:rPr>
      </w:pPr>
      <w:r w:rsidRPr="00234421">
        <w:rPr>
          <w:rFonts w:ascii="Arial" w:hAnsi="Arial" w:cs="Arial"/>
          <w:b/>
          <w:bCs/>
        </w:rPr>
        <w:t>Long-Term (3–5 years — by December 2030):</w:t>
      </w:r>
      <w:r w:rsidRPr="00234421">
        <w:rPr>
          <w:rFonts w:ascii="Arial" w:hAnsi="Arial" w:cs="Arial"/>
        </w:rPr>
        <w:br/>
      </w:r>
      <w:r w:rsidRPr="00234421">
        <w:rPr>
          <w:rFonts w:ascii="Arial" w:hAnsi="Arial" w:cs="Arial"/>
          <w:b/>
          <w:bCs/>
        </w:rPr>
        <w:t>Operational Redesign: Staffing, Scheduling, and Environmental Standards.</w:t>
      </w:r>
      <w:r w:rsidRPr="00234421">
        <w:rPr>
          <w:rFonts w:ascii="Arial" w:hAnsi="Arial" w:cs="Arial"/>
        </w:rPr>
        <w:br/>
        <w:t>Implement systemic job redesign across property portfolios to reduce excessive emotional labour and unpredictable rostering. Targets include establishing minimum staffing ratios for core functions, fair scheduling policies ensuring predictable hours and rest breaks, and upgrading physical environments (biophilic and ergonomic improvements) that reduce fatigue. These measures should be piloted in representative properties and scaled across portfolios. Deliverable: demonstrable reductions in turnover and improved engagement scores (target: 20% improvement in retention in pilot properties).</w:t>
      </w:r>
    </w:p>
    <w:p w14:paraId="49123149" w14:textId="4EE8C0E9" w:rsidR="00234421" w:rsidRPr="00234421" w:rsidRDefault="00234421" w:rsidP="00234421">
      <w:pPr>
        <w:spacing w:line="360" w:lineRule="auto"/>
        <w:jc w:val="both"/>
        <w:rPr>
          <w:rFonts w:ascii="Arial" w:hAnsi="Arial" w:cs="Arial"/>
        </w:rPr>
      </w:pPr>
      <w:r w:rsidRPr="00234421">
        <w:rPr>
          <w:rFonts w:ascii="Arial" w:hAnsi="Arial" w:cs="Arial"/>
        </w:rPr>
        <w:t>These recommendations are deliberately time-bound and measurable. Short-term measures focus on capacity and access; mid-term actions create accountability through reporting; long-term reforms change work design and environmental conditions to prevent harm</w:t>
      </w:r>
      <w:r w:rsidR="00BC218F">
        <w:rPr>
          <w:rFonts w:ascii="Arial" w:hAnsi="Arial" w:cs="Arial"/>
        </w:rPr>
        <w:t>.</w:t>
      </w:r>
    </w:p>
    <w:p w14:paraId="4B9B8857" w14:textId="265E6DAB" w:rsidR="00FA5F11" w:rsidRPr="00FA5F11" w:rsidRDefault="00FA5F11" w:rsidP="003E4144">
      <w:pPr>
        <w:spacing w:line="360" w:lineRule="auto"/>
        <w:jc w:val="both"/>
        <w:rPr>
          <w:rFonts w:ascii="Arial" w:hAnsi="Arial" w:cs="Arial"/>
        </w:rPr>
      </w:pPr>
    </w:p>
    <w:p w14:paraId="6C11184A" w14:textId="5785B0D8" w:rsidR="003B52AD" w:rsidRDefault="003B52AD" w:rsidP="00FA5F11">
      <w:pPr>
        <w:spacing w:line="360" w:lineRule="auto"/>
        <w:jc w:val="both"/>
        <w:rPr>
          <w:rFonts w:ascii="Arial" w:hAnsi="Arial" w:cs="Arial"/>
        </w:rPr>
      </w:pPr>
    </w:p>
    <w:p w14:paraId="3EDE3D23" w14:textId="77777777" w:rsidR="003B52AD" w:rsidRDefault="003B52AD">
      <w:pPr>
        <w:rPr>
          <w:rFonts w:ascii="Arial" w:hAnsi="Arial" w:cs="Arial"/>
        </w:rPr>
      </w:pPr>
      <w:r>
        <w:rPr>
          <w:rFonts w:ascii="Arial" w:hAnsi="Arial" w:cs="Arial"/>
        </w:rPr>
        <w:br w:type="page"/>
      </w:r>
    </w:p>
    <w:p w14:paraId="2489DA3A" w14:textId="3CF936F2" w:rsidR="00FB79BB" w:rsidRDefault="003B52AD" w:rsidP="00FA5F11">
      <w:pPr>
        <w:spacing w:line="360" w:lineRule="auto"/>
        <w:jc w:val="both"/>
        <w:rPr>
          <w:rFonts w:ascii="Arial" w:hAnsi="Arial" w:cs="Arial"/>
          <w:b/>
          <w:bCs/>
        </w:rPr>
      </w:pPr>
      <w:r>
        <w:rPr>
          <w:rFonts w:ascii="Arial" w:hAnsi="Arial" w:cs="Arial"/>
          <w:b/>
          <w:bCs/>
        </w:rPr>
        <w:lastRenderedPageBreak/>
        <w:t>7.References:</w:t>
      </w:r>
    </w:p>
    <w:p w14:paraId="192EE57E" w14:textId="29A64065"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Accor Group (2023) </w:t>
      </w:r>
      <w:proofErr w:type="spellStart"/>
      <w:r w:rsidRPr="003B52AD">
        <w:rPr>
          <w:rFonts w:ascii="Arial" w:hAnsi="Arial" w:cs="Arial"/>
          <w:i/>
          <w:iCs/>
        </w:rPr>
        <w:t>Heartist</w:t>
      </w:r>
      <w:proofErr w:type="spellEnd"/>
      <w:r w:rsidRPr="003B52AD">
        <w:rPr>
          <w:rFonts w:ascii="Arial" w:hAnsi="Arial" w:cs="Arial"/>
          <w:i/>
          <w:iCs/>
        </w:rPr>
        <w:t xml:space="preserve"> Culture and Wellbeing Report 2023</w:t>
      </w:r>
      <w:r w:rsidRPr="003B52AD">
        <w:rPr>
          <w:rFonts w:ascii="Arial" w:hAnsi="Arial" w:cs="Arial"/>
        </w:rPr>
        <w:t xml:space="preserve">. Available at: </w:t>
      </w:r>
      <w:hyperlink r:id="rId6" w:tgtFrame="_new" w:history="1">
        <w:r w:rsidRPr="003B52AD">
          <w:rPr>
            <w:rStyle w:val="Hyperlink"/>
            <w:rFonts w:ascii="Arial" w:hAnsi="Arial" w:cs="Arial"/>
          </w:rPr>
          <w:t>https://group.accor.com/en/co</w:t>
        </w:r>
        <w:r w:rsidRPr="003B52AD">
          <w:rPr>
            <w:rStyle w:val="Hyperlink"/>
            <w:rFonts w:ascii="Arial" w:hAnsi="Arial" w:cs="Arial"/>
          </w:rPr>
          <w:t>m</w:t>
        </w:r>
        <w:r w:rsidRPr="003B52AD">
          <w:rPr>
            <w:rStyle w:val="Hyperlink"/>
            <w:rFonts w:ascii="Arial" w:hAnsi="Arial" w:cs="Arial"/>
          </w:rPr>
          <w:t>mitment</w:t>
        </w:r>
      </w:hyperlink>
      <w:r w:rsidRPr="003B52AD">
        <w:rPr>
          <w:rFonts w:ascii="Arial" w:hAnsi="Arial" w:cs="Arial"/>
        </w:rPr>
        <w:t xml:space="preserve"> (Accessed: </w:t>
      </w:r>
      <w:r>
        <w:rPr>
          <w:rFonts w:ascii="Arial" w:hAnsi="Arial" w:cs="Arial"/>
        </w:rPr>
        <w:t>29</w:t>
      </w:r>
      <w:r w:rsidRPr="003B52AD">
        <w:rPr>
          <w:rFonts w:ascii="Arial" w:hAnsi="Arial" w:cs="Arial"/>
        </w:rPr>
        <w:t xml:space="preserve"> October 2025).</w:t>
      </w:r>
    </w:p>
    <w:p w14:paraId="3726C4D4"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Baum, T. (2021) ‘Hospitality employment in crisis: post-COVID challenges and strategies’, </w:t>
      </w:r>
      <w:r w:rsidRPr="003B52AD">
        <w:rPr>
          <w:rFonts w:ascii="Arial" w:hAnsi="Arial" w:cs="Arial"/>
          <w:i/>
          <w:iCs/>
        </w:rPr>
        <w:t>International Journal of Contemporary Hospitality Management</w:t>
      </w:r>
      <w:r w:rsidRPr="003B52AD">
        <w:rPr>
          <w:rFonts w:ascii="Arial" w:hAnsi="Arial" w:cs="Arial"/>
        </w:rPr>
        <w:t>, 33(12), pp. 4312–4330.</w:t>
      </w:r>
    </w:p>
    <w:p w14:paraId="6559B961"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Baum, T., Mooney, S.K.K. and Robinson, R.N.S. (2021) ‘COVID-19’s impact on hospitality labour: crisis and recovery’, </w:t>
      </w:r>
      <w:r w:rsidRPr="003B52AD">
        <w:rPr>
          <w:rFonts w:ascii="Arial" w:hAnsi="Arial" w:cs="Arial"/>
          <w:i/>
          <w:iCs/>
        </w:rPr>
        <w:t>Tourism Management Perspectives</w:t>
      </w:r>
      <w:r w:rsidRPr="003B52AD">
        <w:rPr>
          <w:rFonts w:ascii="Arial" w:hAnsi="Arial" w:cs="Arial"/>
        </w:rPr>
        <w:t>, 38, 100822.</w:t>
      </w:r>
    </w:p>
    <w:p w14:paraId="3E299934"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Brown, E., Kim, H. and Karatepe, O.M. (2021) ‘Emotional labour, burnout, and turnover intention in the hospitality sector post-COVID-19’, </w:t>
      </w:r>
      <w:r w:rsidRPr="003B52AD">
        <w:rPr>
          <w:rFonts w:ascii="Arial" w:hAnsi="Arial" w:cs="Arial"/>
          <w:i/>
          <w:iCs/>
        </w:rPr>
        <w:t>Journal of Hospitality and Tourism Management</w:t>
      </w:r>
      <w:r w:rsidRPr="003B52AD">
        <w:rPr>
          <w:rFonts w:ascii="Arial" w:hAnsi="Arial" w:cs="Arial"/>
        </w:rPr>
        <w:t>, 49, pp. 187–195.</w:t>
      </w:r>
    </w:p>
    <w:p w14:paraId="5CE726FF"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Chen, H. and </w:t>
      </w:r>
      <w:proofErr w:type="spellStart"/>
      <w:r w:rsidRPr="003B52AD">
        <w:rPr>
          <w:rFonts w:ascii="Arial" w:hAnsi="Arial" w:cs="Arial"/>
        </w:rPr>
        <w:t>Eyoun</w:t>
      </w:r>
      <w:proofErr w:type="spellEnd"/>
      <w:r w:rsidRPr="003B52AD">
        <w:rPr>
          <w:rFonts w:ascii="Arial" w:hAnsi="Arial" w:cs="Arial"/>
        </w:rPr>
        <w:t xml:space="preserve">, K. (2021) ‘Do mindfulness and perceived organisational support work? A study on hospitality employees’ mental health’, </w:t>
      </w:r>
      <w:r w:rsidRPr="003B52AD">
        <w:rPr>
          <w:rFonts w:ascii="Arial" w:hAnsi="Arial" w:cs="Arial"/>
          <w:i/>
          <w:iCs/>
        </w:rPr>
        <w:t>International Journal of Hospitality Management</w:t>
      </w:r>
      <w:r w:rsidRPr="003B52AD">
        <w:rPr>
          <w:rFonts w:ascii="Arial" w:hAnsi="Arial" w:cs="Arial"/>
        </w:rPr>
        <w:t>, 94, 102865.</w:t>
      </w:r>
    </w:p>
    <w:p w14:paraId="2ACFECF0" w14:textId="25428403"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Deloitte (2023) </w:t>
      </w:r>
      <w:r w:rsidRPr="003B52AD">
        <w:rPr>
          <w:rFonts w:ascii="Arial" w:hAnsi="Arial" w:cs="Arial"/>
          <w:i/>
          <w:iCs/>
        </w:rPr>
        <w:t>Global Millennial and Gen Z Survey 2023</w:t>
      </w:r>
      <w:r w:rsidRPr="003B52AD">
        <w:rPr>
          <w:rFonts w:ascii="Arial" w:hAnsi="Arial" w:cs="Arial"/>
        </w:rPr>
        <w:t xml:space="preserve">. Available at: </w:t>
      </w:r>
      <w:hyperlink r:id="rId7" w:tgtFrame="_new" w:history="1">
        <w:r w:rsidRPr="003B52AD">
          <w:rPr>
            <w:rStyle w:val="Hyperlink"/>
            <w:rFonts w:ascii="Arial" w:hAnsi="Arial" w:cs="Arial"/>
          </w:rPr>
          <w:t>https://www.deloitte.com/global/</w:t>
        </w:r>
        <w:r w:rsidRPr="003B52AD">
          <w:rPr>
            <w:rStyle w:val="Hyperlink"/>
            <w:rFonts w:ascii="Arial" w:hAnsi="Arial" w:cs="Arial"/>
          </w:rPr>
          <w:t>e</w:t>
        </w:r>
        <w:r w:rsidRPr="003B52AD">
          <w:rPr>
            <w:rStyle w:val="Hyperlink"/>
            <w:rFonts w:ascii="Arial" w:hAnsi="Arial" w:cs="Arial"/>
          </w:rPr>
          <w:t>n/issues/work.html</w:t>
        </w:r>
      </w:hyperlink>
      <w:r w:rsidRPr="003B52AD">
        <w:rPr>
          <w:rFonts w:ascii="Arial" w:hAnsi="Arial" w:cs="Arial"/>
        </w:rPr>
        <w:t xml:space="preserve"> (Accessed: </w:t>
      </w:r>
      <w:r>
        <w:rPr>
          <w:rFonts w:ascii="Arial" w:hAnsi="Arial" w:cs="Arial"/>
        </w:rPr>
        <w:t>3</w:t>
      </w:r>
      <w:r w:rsidRPr="003B52AD">
        <w:rPr>
          <w:rFonts w:ascii="Arial" w:hAnsi="Arial" w:cs="Arial"/>
        </w:rPr>
        <w:t>0 October 2025).</w:t>
      </w:r>
    </w:p>
    <w:p w14:paraId="05C18709"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ETUC (2024) </w:t>
      </w:r>
      <w:r w:rsidRPr="003B52AD">
        <w:rPr>
          <w:rFonts w:ascii="Arial" w:hAnsi="Arial" w:cs="Arial"/>
          <w:i/>
          <w:iCs/>
        </w:rPr>
        <w:t>Psychosocial Risks and Mental Health at Work: European Trade Union Report 2024</w:t>
      </w:r>
      <w:r w:rsidRPr="003B52AD">
        <w:rPr>
          <w:rFonts w:ascii="Arial" w:hAnsi="Arial" w:cs="Arial"/>
        </w:rPr>
        <w:t>. Brussels: European Trade Union Confederation.</w:t>
      </w:r>
    </w:p>
    <w:p w14:paraId="6C66218F"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Giousmpasoglou, C., Brown, L. and Cooper, J. (2021) ‘Employee wellbeing in hospitality: examining organisational practices and managerial roles’, </w:t>
      </w:r>
      <w:r w:rsidRPr="003B52AD">
        <w:rPr>
          <w:rFonts w:ascii="Arial" w:hAnsi="Arial" w:cs="Arial"/>
          <w:i/>
          <w:iCs/>
        </w:rPr>
        <w:t>Tourism and Hospitality Research</w:t>
      </w:r>
      <w:r w:rsidRPr="003B52AD">
        <w:rPr>
          <w:rFonts w:ascii="Arial" w:hAnsi="Arial" w:cs="Arial"/>
        </w:rPr>
        <w:t>, 21(4), pp. 425–440.</w:t>
      </w:r>
    </w:p>
    <w:p w14:paraId="25225B1E"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Green Hotelier (2021) </w:t>
      </w:r>
      <w:r w:rsidRPr="003B52AD">
        <w:rPr>
          <w:rFonts w:ascii="Arial" w:hAnsi="Arial" w:cs="Arial"/>
          <w:i/>
          <w:iCs/>
        </w:rPr>
        <w:t>Workplace Design and Employee Wellbeing in Sustainable Hotels</w:t>
      </w:r>
      <w:r w:rsidRPr="003B52AD">
        <w:rPr>
          <w:rFonts w:ascii="Arial" w:hAnsi="Arial" w:cs="Arial"/>
        </w:rPr>
        <w:t>. London: International Tourism Partnership.</w:t>
      </w:r>
    </w:p>
    <w:p w14:paraId="320E6497" w14:textId="7CF23DEF"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Hilton (2023) </w:t>
      </w:r>
      <w:proofErr w:type="spellStart"/>
      <w:r w:rsidRPr="003B52AD">
        <w:rPr>
          <w:rFonts w:ascii="Arial" w:hAnsi="Arial" w:cs="Arial"/>
          <w:i/>
          <w:iCs/>
        </w:rPr>
        <w:t>Thrive@Hilton</w:t>
      </w:r>
      <w:proofErr w:type="spellEnd"/>
      <w:r w:rsidRPr="003B52AD">
        <w:rPr>
          <w:rFonts w:ascii="Arial" w:hAnsi="Arial" w:cs="Arial"/>
          <w:i/>
          <w:iCs/>
        </w:rPr>
        <w:t>: Wellbeing and Inclusion Report 2023</w:t>
      </w:r>
      <w:r w:rsidRPr="003B52AD">
        <w:rPr>
          <w:rFonts w:ascii="Arial" w:hAnsi="Arial" w:cs="Arial"/>
        </w:rPr>
        <w:t xml:space="preserve">. Available at: </w:t>
      </w:r>
      <w:hyperlink r:id="rId8" w:tgtFrame="_new" w:history="1">
        <w:r w:rsidRPr="003B52AD">
          <w:rPr>
            <w:rStyle w:val="Hyperlink"/>
            <w:rFonts w:ascii="Arial" w:hAnsi="Arial" w:cs="Arial"/>
          </w:rPr>
          <w:t>https://esg.h</w:t>
        </w:r>
        <w:r w:rsidRPr="003B52AD">
          <w:rPr>
            <w:rStyle w:val="Hyperlink"/>
            <w:rFonts w:ascii="Arial" w:hAnsi="Arial" w:cs="Arial"/>
          </w:rPr>
          <w:t>i</w:t>
        </w:r>
        <w:r w:rsidRPr="003B52AD">
          <w:rPr>
            <w:rStyle w:val="Hyperlink"/>
            <w:rFonts w:ascii="Arial" w:hAnsi="Arial" w:cs="Arial"/>
          </w:rPr>
          <w:t>lton.com/</w:t>
        </w:r>
      </w:hyperlink>
      <w:r w:rsidRPr="003B52AD">
        <w:rPr>
          <w:rFonts w:ascii="Arial" w:hAnsi="Arial" w:cs="Arial"/>
        </w:rPr>
        <w:t xml:space="preserve"> (Accessed: </w:t>
      </w:r>
      <w:r>
        <w:rPr>
          <w:rFonts w:ascii="Arial" w:hAnsi="Arial" w:cs="Arial"/>
        </w:rPr>
        <w:t>31</w:t>
      </w:r>
      <w:r w:rsidRPr="003B52AD">
        <w:rPr>
          <w:rFonts w:ascii="Arial" w:hAnsi="Arial" w:cs="Arial"/>
        </w:rPr>
        <w:t xml:space="preserve"> October 2025).</w:t>
      </w:r>
    </w:p>
    <w:p w14:paraId="6D35D4C3"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Hochschild, A.R. (1983) </w:t>
      </w:r>
      <w:r w:rsidRPr="003B52AD">
        <w:rPr>
          <w:rFonts w:ascii="Arial" w:hAnsi="Arial" w:cs="Arial"/>
          <w:i/>
          <w:iCs/>
        </w:rPr>
        <w:t>The Managed Heart: Commercialization of Human Feeling</w:t>
      </w:r>
      <w:r w:rsidRPr="003B52AD">
        <w:rPr>
          <w:rFonts w:ascii="Arial" w:hAnsi="Arial" w:cs="Arial"/>
        </w:rPr>
        <w:t>. Berkeley: University of California Press.</w:t>
      </w:r>
    </w:p>
    <w:p w14:paraId="453029DC"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Hollis, J. and Roper, A. (2022) ‘Migrant workers and mental health vulnerability in the hospitality sector’, </w:t>
      </w:r>
      <w:r w:rsidRPr="003B52AD">
        <w:rPr>
          <w:rFonts w:ascii="Arial" w:hAnsi="Arial" w:cs="Arial"/>
          <w:i/>
          <w:iCs/>
        </w:rPr>
        <w:t>International Journal of Hospitality Management</w:t>
      </w:r>
      <w:r w:rsidRPr="003B52AD">
        <w:rPr>
          <w:rFonts w:ascii="Arial" w:hAnsi="Arial" w:cs="Arial"/>
        </w:rPr>
        <w:t>, 102, 103182.</w:t>
      </w:r>
    </w:p>
    <w:p w14:paraId="63C2C1D9"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lastRenderedPageBreak/>
        <w:t xml:space="preserve">International Labour Organization (ILO) (2023) </w:t>
      </w:r>
      <w:r w:rsidRPr="003B52AD">
        <w:rPr>
          <w:rFonts w:ascii="Arial" w:hAnsi="Arial" w:cs="Arial"/>
          <w:i/>
          <w:iCs/>
        </w:rPr>
        <w:t>Mental Health at Work: Policy Brief for the Hospitality Sector</w:t>
      </w:r>
      <w:r w:rsidRPr="003B52AD">
        <w:rPr>
          <w:rFonts w:ascii="Arial" w:hAnsi="Arial" w:cs="Arial"/>
        </w:rPr>
        <w:t>. Geneva: ILO.</w:t>
      </w:r>
    </w:p>
    <w:p w14:paraId="4193955F"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Karatepe, O.M. and Kim, T.T. (2020) ‘The effects of emotional labour and job insecurity on burnout and turnover intention in hospitality’, </w:t>
      </w:r>
      <w:r w:rsidRPr="003B52AD">
        <w:rPr>
          <w:rFonts w:ascii="Arial" w:hAnsi="Arial" w:cs="Arial"/>
          <w:i/>
          <w:iCs/>
        </w:rPr>
        <w:t>Service Industries Journal</w:t>
      </w:r>
      <w:r w:rsidRPr="003B52AD">
        <w:rPr>
          <w:rFonts w:ascii="Arial" w:hAnsi="Arial" w:cs="Arial"/>
        </w:rPr>
        <w:t>, 40(13–14), pp. 977–1000.</w:t>
      </w:r>
    </w:p>
    <w:p w14:paraId="55D63ACC"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Kim, Y., Lee, M.J. and Lee, J. (2022) ‘Biophilic design and employee wellbeing in hotels: evidence from international case studies’, </w:t>
      </w:r>
      <w:r w:rsidRPr="003B52AD">
        <w:rPr>
          <w:rFonts w:ascii="Arial" w:hAnsi="Arial" w:cs="Arial"/>
          <w:i/>
          <w:iCs/>
        </w:rPr>
        <w:t>Journal of Sustainable Tourism</w:t>
      </w:r>
      <w:r w:rsidRPr="003B52AD">
        <w:rPr>
          <w:rFonts w:ascii="Arial" w:hAnsi="Arial" w:cs="Arial"/>
        </w:rPr>
        <w:t>, 30(9), pp. 1991–2009.</w:t>
      </w:r>
    </w:p>
    <w:p w14:paraId="169A836C" w14:textId="486936DD"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Marriott International (2022) </w:t>
      </w:r>
      <w:proofErr w:type="spellStart"/>
      <w:r w:rsidRPr="003B52AD">
        <w:rPr>
          <w:rFonts w:ascii="Arial" w:hAnsi="Arial" w:cs="Arial"/>
          <w:i/>
          <w:iCs/>
        </w:rPr>
        <w:t>TakeCare</w:t>
      </w:r>
      <w:proofErr w:type="spellEnd"/>
      <w:r w:rsidRPr="003B52AD">
        <w:rPr>
          <w:rFonts w:ascii="Arial" w:hAnsi="Arial" w:cs="Arial"/>
          <w:i/>
          <w:iCs/>
        </w:rPr>
        <w:t xml:space="preserve"> Wellbeing Report 2022</w:t>
      </w:r>
      <w:r w:rsidRPr="003B52AD">
        <w:rPr>
          <w:rFonts w:ascii="Arial" w:hAnsi="Arial" w:cs="Arial"/>
        </w:rPr>
        <w:t xml:space="preserve">. Available at: </w:t>
      </w:r>
      <w:hyperlink r:id="rId9" w:tgtFrame="_new" w:history="1">
        <w:r w:rsidRPr="003B52AD">
          <w:rPr>
            <w:rStyle w:val="Hyperlink"/>
            <w:rFonts w:ascii="Arial" w:hAnsi="Arial" w:cs="Arial"/>
          </w:rPr>
          <w:t>https://serve</w:t>
        </w:r>
        <w:r w:rsidRPr="003B52AD">
          <w:rPr>
            <w:rStyle w:val="Hyperlink"/>
            <w:rFonts w:ascii="Arial" w:hAnsi="Arial" w:cs="Arial"/>
          </w:rPr>
          <w:t>3</w:t>
        </w:r>
        <w:r w:rsidRPr="003B52AD">
          <w:rPr>
            <w:rStyle w:val="Hyperlink"/>
            <w:rFonts w:ascii="Arial" w:hAnsi="Arial" w:cs="Arial"/>
          </w:rPr>
          <w:t>60.marriott.com/</w:t>
        </w:r>
      </w:hyperlink>
      <w:r w:rsidRPr="003B52AD">
        <w:rPr>
          <w:rFonts w:ascii="Arial" w:hAnsi="Arial" w:cs="Arial"/>
        </w:rPr>
        <w:t xml:space="preserve"> (Accessed: </w:t>
      </w:r>
      <w:r>
        <w:rPr>
          <w:rFonts w:ascii="Arial" w:hAnsi="Arial" w:cs="Arial"/>
        </w:rPr>
        <w:t>30</w:t>
      </w:r>
      <w:r w:rsidRPr="003B52AD">
        <w:rPr>
          <w:rFonts w:ascii="Arial" w:hAnsi="Arial" w:cs="Arial"/>
        </w:rPr>
        <w:t xml:space="preserve"> October 2025).</w:t>
      </w:r>
    </w:p>
    <w:p w14:paraId="40B07B82"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Organisation for Economic Co-operation and Development (OECD) (2022) </w:t>
      </w:r>
      <w:r w:rsidRPr="003B52AD">
        <w:rPr>
          <w:rFonts w:ascii="Arial" w:hAnsi="Arial" w:cs="Arial"/>
          <w:i/>
          <w:iCs/>
        </w:rPr>
        <w:t>Tourism Trends and Policies 2022</w:t>
      </w:r>
      <w:r w:rsidRPr="003B52AD">
        <w:rPr>
          <w:rFonts w:ascii="Arial" w:hAnsi="Arial" w:cs="Arial"/>
        </w:rPr>
        <w:t>. Paris: OECD Publishing.</w:t>
      </w:r>
    </w:p>
    <w:p w14:paraId="4D7F09AF"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Paek, S., Schuckert, M. and Lee, G. (2021) ‘Transformational leadership, psychological safety, and employee wellbeing in hospitality’, </w:t>
      </w:r>
      <w:r w:rsidRPr="003B52AD">
        <w:rPr>
          <w:rFonts w:ascii="Arial" w:hAnsi="Arial" w:cs="Arial"/>
          <w:i/>
          <w:iCs/>
        </w:rPr>
        <w:t>Cornell Hospitality Quarterly</w:t>
      </w:r>
      <w:r w:rsidRPr="003B52AD">
        <w:rPr>
          <w:rFonts w:ascii="Arial" w:hAnsi="Arial" w:cs="Arial"/>
        </w:rPr>
        <w:t>, 62(4), pp. 456–469.</w:t>
      </w:r>
    </w:p>
    <w:p w14:paraId="1DA36827" w14:textId="2373B373"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PwC (2022) </w:t>
      </w:r>
      <w:r w:rsidRPr="003B52AD">
        <w:rPr>
          <w:rFonts w:ascii="Arial" w:hAnsi="Arial" w:cs="Arial"/>
          <w:i/>
          <w:iCs/>
        </w:rPr>
        <w:t>Mental Health and Digital Wellbeing in the Workplace: Global Insights Report 2022</w:t>
      </w:r>
      <w:r w:rsidRPr="003B52AD">
        <w:rPr>
          <w:rFonts w:ascii="Arial" w:hAnsi="Arial" w:cs="Arial"/>
        </w:rPr>
        <w:t xml:space="preserve">. Available at: </w:t>
      </w:r>
      <w:hyperlink r:id="rId10" w:history="1">
        <w:r w:rsidR="009D508F" w:rsidRPr="00721619">
          <w:rPr>
            <w:rStyle w:val="Hyperlink"/>
            <w:rFonts w:ascii="Arial" w:hAnsi="Arial" w:cs="Arial"/>
          </w:rPr>
          <w:t>https://www.pwc.com/gx/en/issues/workforce/hopes-</w:t>
        </w:r>
        <w:r w:rsidR="009D508F" w:rsidRPr="00721619">
          <w:rPr>
            <w:rStyle w:val="Hyperlink"/>
            <w:rFonts w:ascii="Arial" w:hAnsi="Arial" w:cs="Arial"/>
          </w:rPr>
          <w:t>a</w:t>
        </w:r>
        <w:r w:rsidR="009D508F" w:rsidRPr="00721619">
          <w:rPr>
            <w:rStyle w:val="Hyperlink"/>
            <w:rFonts w:ascii="Arial" w:hAnsi="Arial" w:cs="Arial"/>
          </w:rPr>
          <w:t>nd-fears-2022.html</w:t>
        </w:r>
      </w:hyperlink>
      <w:r w:rsidR="009D508F">
        <w:rPr>
          <w:rFonts w:ascii="Arial" w:hAnsi="Arial" w:cs="Arial"/>
        </w:rPr>
        <w:t xml:space="preserve"> </w:t>
      </w:r>
      <w:r w:rsidR="009D508F" w:rsidRPr="009D508F">
        <w:rPr>
          <w:rFonts w:ascii="Arial" w:hAnsi="Arial" w:cs="Arial"/>
        </w:rPr>
        <w:t xml:space="preserve"> </w:t>
      </w:r>
      <w:r w:rsidRPr="003B52AD">
        <w:rPr>
          <w:rFonts w:ascii="Arial" w:hAnsi="Arial" w:cs="Arial"/>
        </w:rPr>
        <w:t xml:space="preserve">(Accessed: </w:t>
      </w:r>
      <w:r w:rsidR="009D508F">
        <w:rPr>
          <w:rFonts w:ascii="Arial" w:hAnsi="Arial" w:cs="Arial"/>
        </w:rPr>
        <w:t>3</w:t>
      </w:r>
      <w:r w:rsidRPr="003B52AD">
        <w:rPr>
          <w:rFonts w:ascii="Arial" w:hAnsi="Arial" w:cs="Arial"/>
        </w:rPr>
        <w:t>0 October 2025).</w:t>
      </w:r>
    </w:p>
    <w:p w14:paraId="20DF5106"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Robinson, R.N.S., Kralj, A. and </w:t>
      </w:r>
      <w:proofErr w:type="spellStart"/>
      <w:r w:rsidRPr="003B52AD">
        <w:rPr>
          <w:rFonts w:ascii="Arial" w:hAnsi="Arial" w:cs="Arial"/>
        </w:rPr>
        <w:t>Solnet</w:t>
      </w:r>
      <w:proofErr w:type="spellEnd"/>
      <w:r w:rsidRPr="003B52AD">
        <w:rPr>
          <w:rFonts w:ascii="Arial" w:hAnsi="Arial" w:cs="Arial"/>
        </w:rPr>
        <w:t xml:space="preserve">, D. (2021) ‘Work design and mental wellbeing in hospitality: a systems approach’, </w:t>
      </w:r>
      <w:r w:rsidRPr="003B52AD">
        <w:rPr>
          <w:rFonts w:ascii="Arial" w:hAnsi="Arial" w:cs="Arial"/>
          <w:i/>
          <w:iCs/>
        </w:rPr>
        <w:t>International Journal of Hospitality Management</w:t>
      </w:r>
      <w:r w:rsidRPr="003B52AD">
        <w:rPr>
          <w:rFonts w:ascii="Arial" w:hAnsi="Arial" w:cs="Arial"/>
        </w:rPr>
        <w:t>, 94, 102877.</w:t>
      </w:r>
    </w:p>
    <w:p w14:paraId="32341724"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Schoemaker, L., Patel, V. and Hill, C. (2023) ‘Artificial intelligence and employee wellbeing: HR analytics in the post-pandemic hospitality sector’, </w:t>
      </w:r>
      <w:r w:rsidRPr="003B52AD">
        <w:rPr>
          <w:rFonts w:ascii="Arial" w:hAnsi="Arial" w:cs="Arial"/>
          <w:i/>
          <w:iCs/>
        </w:rPr>
        <w:t>Tourism Economics</w:t>
      </w:r>
      <w:r w:rsidRPr="003B52AD">
        <w:rPr>
          <w:rFonts w:ascii="Arial" w:hAnsi="Arial" w:cs="Arial"/>
        </w:rPr>
        <w:t>, 29(5), pp. 1379–1398.</w:t>
      </w:r>
    </w:p>
    <w:p w14:paraId="13689041"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Shani, A. and </w:t>
      </w:r>
      <w:proofErr w:type="spellStart"/>
      <w:r w:rsidRPr="003B52AD">
        <w:rPr>
          <w:rFonts w:ascii="Arial" w:hAnsi="Arial" w:cs="Arial"/>
        </w:rPr>
        <w:t>Pizam</w:t>
      </w:r>
      <w:proofErr w:type="spellEnd"/>
      <w:r w:rsidRPr="003B52AD">
        <w:rPr>
          <w:rFonts w:ascii="Arial" w:hAnsi="Arial" w:cs="Arial"/>
        </w:rPr>
        <w:t xml:space="preserve">, A. (2020) ‘Work-related emotional labour and burnout among hotel employees’, </w:t>
      </w:r>
      <w:r w:rsidRPr="003B52AD">
        <w:rPr>
          <w:rFonts w:ascii="Arial" w:hAnsi="Arial" w:cs="Arial"/>
          <w:i/>
          <w:iCs/>
        </w:rPr>
        <w:t>International Journal of Hospitality Management</w:t>
      </w:r>
      <w:r w:rsidRPr="003B52AD">
        <w:rPr>
          <w:rFonts w:ascii="Arial" w:hAnsi="Arial" w:cs="Arial"/>
        </w:rPr>
        <w:t>, 85, 102352.</w:t>
      </w:r>
    </w:p>
    <w:p w14:paraId="2D72CEBA"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Sonnenschein, K., Williams, A. and Lee, S. (2022) ‘Labour market recovery and stress dynamics in global hospitality post-COVID-19’, </w:t>
      </w:r>
      <w:r w:rsidRPr="003B52AD">
        <w:rPr>
          <w:rFonts w:ascii="Arial" w:hAnsi="Arial" w:cs="Arial"/>
          <w:i/>
          <w:iCs/>
        </w:rPr>
        <w:t>Tourism Management</w:t>
      </w:r>
      <w:r w:rsidRPr="003B52AD">
        <w:rPr>
          <w:rFonts w:ascii="Arial" w:hAnsi="Arial" w:cs="Arial"/>
        </w:rPr>
        <w:t>, 91, 104497.</w:t>
      </w:r>
    </w:p>
    <w:p w14:paraId="2871897E"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United Nations World Tourism Organization (UNWTO) (2022) </w:t>
      </w:r>
      <w:r w:rsidRPr="003B52AD">
        <w:rPr>
          <w:rFonts w:ascii="Arial" w:hAnsi="Arial" w:cs="Arial"/>
          <w:i/>
          <w:iCs/>
        </w:rPr>
        <w:t>World Tourism Barometer: Labour Recovery and Workforce Trends 2022</w:t>
      </w:r>
      <w:r w:rsidRPr="003B52AD">
        <w:rPr>
          <w:rFonts w:ascii="Arial" w:hAnsi="Arial" w:cs="Arial"/>
        </w:rPr>
        <w:t>. Madrid: UNWTO.</w:t>
      </w:r>
    </w:p>
    <w:p w14:paraId="26B46B09"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lastRenderedPageBreak/>
        <w:t xml:space="preserve">World Health Organization (WHO) (2023) </w:t>
      </w:r>
      <w:r w:rsidRPr="003B52AD">
        <w:rPr>
          <w:rFonts w:ascii="Arial" w:hAnsi="Arial" w:cs="Arial"/>
          <w:i/>
          <w:iCs/>
        </w:rPr>
        <w:t>Workplace Mental Health and Wellbeing: Policy and Practice Guide</w:t>
      </w:r>
      <w:r w:rsidRPr="003B52AD">
        <w:rPr>
          <w:rFonts w:ascii="Arial" w:hAnsi="Arial" w:cs="Arial"/>
        </w:rPr>
        <w:t>. Geneva: WHO.</w:t>
      </w:r>
    </w:p>
    <w:p w14:paraId="727AFDF3"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Yoo, J. and Jeong, S. (2022) ‘Empathetic leadership and burnout mitigation in hotels’, </w:t>
      </w:r>
      <w:r w:rsidRPr="003B52AD">
        <w:rPr>
          <w:rFonts w:ascii="Arial" w:hAnsi="Arial" w:cs="Arial"/>
          <w:i/>
          <w:iCs/>
        </w:rPr>
        <w:t>Journal of Hospitality and Tourism Insights</w:t>
      </w:r>
      <w:r w:rsidRPr="003B52AD">
        <w:rPr>
          <w:rFonts w:ascii="Arial" w:hAnsi="Arial" w:cs="Arial"/>
        </w:rPr>
        <w:t>, 5(6), pp. 1324–1340.</w:t>
      </w:r>
    </w:p>
    <w:p w14:paraId="736D50A1" w14:textId="77777777" w:rsidR="003B52AD" w:rsidRPr="003B52AD" w:rsidRDefault="003B52AD" w:rsidP="003B52AD">
      <w:pPr>
        <w:pStyle w:val="ListParagraph"/>
        <w:numPr>
          <w:ilvl w:val="0"/>
          <w:numId w:val="17"/>
        </w:numPr>
        <w:spacing w:line="360" w:lineRule="auto"/>
        <w:jc w:val="both"/>
        <w:rPr>
          <w:rFonts w:ascii="Arial" w:hAnsi="Arial" w:cs="Arial"/>
        </w:rPr>
      </w:pPr>
      <w:r w:rsidRPr="003B52AD">
        <w:rPr>
          <w:rFonts w:ascii="Arial" w:hAnsi="Arial" w:cs="Arial"/>
        </w:rPr>
        <w:t xml:space="preserve">Young, K. and Wood, R. (2024) ‘Gendered experiences of stress and wellbeing in the hospitality industry’, </w:t>
      </w:r>
      <w:r w:rsidRPr="003B52AD">
        <w:rPr>
          <w:rFonts w:ascii="Arial" w:hAnsi="Arial" w:cs="Arial"/>
          <w:i/>
          <w:iCs/>
        </w:rPr>
        <w:t>International Journal of Contemporary Hospitality Management</w:t>
      </w:r>
      <w:r w:rsidRPr="003B52AD">
        <w:rPr>
          <w:rFonts w:ascii="Arial" w:hAnsi="Arial" w:cs="Arial"/>
        </w:rPr>
        <w:t>, 36(2), pp. 512–530.</w:t>
      </w:r>
    </w:p>
    <w:p w14:paraId="693B166D" w14:textId="77777777" w:rsidR="003B52AD" w:rsidRPr="003B52AD" w:rsidRDefault="003B52AD" w:rsidP="003B52AD">
      <w:pPr>
        <w:pStyle w:val="ListParagraph"/>
        <w:spacing w:line="360" w:lineRule="auto"/>
        <w:jc w:val="both"/>
        <w:rPr>
          <w:rFonts w:ascii="Arial" w:hAnsi="Arial" w:cs="Arial"/>
          <w:b/>
          <w:bCs/>
        </w:rPr>
      </w:pPr>
    </w:p>
    <w:sectPr w:rsidR="003B52AD" w:rsidRPr="003B52AD" w:rsidSect="000B166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75D8"/>
    <w:multiLevelType w:val="multilevel"/>
    <w:tmpl w:val="57AC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844E1"/>
    <w:multiLevelType w:val="multilevel"/>
    <w:tmpl w:val="7AF4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D406E"/>
    <w:multiLevelType w:val="multilevel"/>
    <w:tmpl w:val="D8A0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523E7"/>
    <w:multiLevelType w:val="hybridMultilevel"/>
    <w:tmpl w:val="27B82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8570CA"/>
    <w:multiLevelType w:val="multilevel"/>
    <w:tmpl w:val="9B92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EC311B"/>
    <w:multiLevelType w:val="multilevel"/>
    <w:tmpl w:val="1C42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9249A"/>
    <w:multiLevelType w:val="multilevel"/>
    <w:tmpl w:val="9E40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A3789"/>
    <w:multiLevelType w:val="multilevel"/>
    <w:tmpl w:val="97CA8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66249F"/>
    <w:multiLevelType w:val="multilevel"/>
    <w:tmpl w:val="365E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0359A"/>
    <w:multiLevelType w:val="multilevel"/>
    <w:tmpl w:val="4C88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C437C0"/>
    <w:multiLevelType w:val="multilevel"/>
    <w:tmpl w:val="20AE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213658"/>
    <w:multiLevelType w:val="multilevel"/>
    <w:tmpl w:val="F746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30EBB"/>
    <w:multiLevelType w:val="multilevel"/>
    <w:tmpl w:val="9BAA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3549B7"/>
    <w:multiLevelType w:val="hybridMultilevel"/>
    <w:tmpl w:val="8438B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73353C"/>
    <w:multiLevelType w:val="multilevel"/>
    <w:tmpl w:val="E3220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E425A6"/>
    <w:multiLevelType w:val="multilevel"/>
    <w:tmpl w:val="182C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C41B1F"/>
    <w:multiLevelType w:val="multilevel"/>
    <w:tmpl w:val="44BA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744E66"/>
    <w:multiLevelType w:val="multilevel"/>
    <w:tmpl w:val="AA00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4763728">
    <w:abstractNumId w:val="11"/>
  </w:num>
  <w:num w:numId="2" w16cid:durableId="1779133279">
    <w:abstractNumId w:val="1"/>
  </w:num>
  <w:num w:numId="3" w16cid:durableId="417096951">
    <w:abstractNumId w:val="7"/>
  </w:num>
  <w:num w:numId="4" w16cid:durableId="496769445">
    <w:abstractNumId w:val="15"/>
  </w:num>
  <w:num w:numId="5" w16cid:durableId="1937054091">
    <w:abstractNumId w:val="0"/>
  </w:num>
  <w:num w:numId="6" w16cid:durableId="1714233085">
    <w:abstractNumId w:val="9"/>
  </w:num>
  <w:num w:numId="7" w16cid:durableId="541869204">
    <w:abstractNumId w:val="17"/>
  </w:num>
  <w:num w:numId="8" w16cid:durableId="2067214799">
    <w:abstractNumId w:val="5"/>
  </w:num>
  <w:num w:numId="9" w16cid:durableId="552810983">
    <w:abstractNumId w:val="4"/>
  </w:num>
  <w:num w:numId="10" w16cid:durableId="839274647">
    <w:abstractNumId w:val="2"/>
  </w:num>
  <w:num w:numId="11" w16cid:durableId="1612318820">
    <w:abstractNumId w:val="14"/>
  </w:num>
  <w:num w:numId="12" w16cid:durableId="681468310">
    <w:abstractNumId w:val="8"/>
  </w:num>
  <w:num w:numId="13" w16cid:durableId="997851463">
    <w:abstractNumId w:val="10"/>
  </w:num>
  <w:num w:numId="14" w16cid:durableId="1905599526">
    <w:abstractNumId w:val="6"/>
  </w:num>
  <w:num w:numId="15" w16cid:durableId="837961144">
    <w:abstractNumId w:val="16"/>
  </w:num>
  <w:num w:numId="16" w16cid:durableId="1702124618">
    <w:abstractNumId w:val="12"/>
  </w:num>
  <w:num w:numId="17" w16cid:durableId="292715908">
    <w:abstractNumId w:val="3"/>
  </w:num>
  <w:num w:numId="18" w16cid:durableId="11975501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9BB"/>
    <w:rsid w:val="000203AB"/>
    <w:rsid w:val="000723E7"/>
    <w:rsid w:val="000B166E"/>
    <w:rsid w:val="00137EE4"/>
    <w:rsid w:val="00234421"/>
    <w:rsid w:val="0039284F"/>
    <w:rsid w:val="00396EA5"/>
    <w:rsid w:val="003B52AD"/>
    <w:rsid w:val="003E4144"/>
    <w:rsid w:val="004D71F8"/>
    <w:rsid w:val="00564180"/>
    <w:rsid w:val="005F07E6"/>
    <w:rsid w:val="006232F3"/>
    <w:rsid w:val="00623753"/>
    <w:rsid w:val="007527A5"/>
    <w:rsid w:val="007917FF"/>
    <w:rsid w:val="00900937"/>
    <w:rsid w:val="00943136"/>
    <w:rsid w:val="009C7B56"/>
    <w:rsid w:val="009D508F"/>
    <w:rsid w:val="00A934C1"/>
    <w:rsid w:val="00AA5098"/>
    <w:rsid w:val="00AD137D"/>
    <w:rsid w:val="00BC218F"/>
    <w:rsid w:val="00C21103"/>
    <w:rsid w:val="00C63A50"/>
    <w:rsid w:val="00CA48B1"/>
    <w:rsid w:val="00CF176B"/>
    <w:rsid w:val="00DB0CA4"/>
    <w:rsid w:val="00E412C5"/>
    <w:rsid w:val="00E902CA"/>
    <w:rsid w:val="00E965B4"/>
    <w:rsid w:val="00F1020E"/>
    <w:rsid w:val="00F63568"/>
    <w:rsid w:val="00FA5F11"/>
    <w:rsid w:val="00FB79BB"/>
    <w:rsid w:val="00FD2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2EC288E0"/>
  <w15:chartTrackingRefBased/>
  <w15:docId w15:val="{8B7B616F-F84B-4F17-AE38-30523ED1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9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79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79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79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79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79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79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79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79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9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79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79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9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79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79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9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9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9BB"/>
    <w:rPr>
      <w:rFonts w:eastAsiaTheme="majorEastAsia" w:cstheme="majorBidi"/>
      <w:color w:val="272727" w:themeColor="text1" w:themeTint="D8"/>
    </w:rPr>
  </w:style>
  <w:style w:type="paragraph" w:styleId="Title">
    <w:name w:val="Title"/>
    <w:basedOn w:val="Normal"/>
    <w:next w:val="Normal"/>
    <w:link w:val="TitleChar"/>
    <w:uiPriority w:val="10"/>
    <w:qFormat/>
    <w:rsid w:val="00FB7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9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9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9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9BB"/>
    <w:pPr>
      <w:spacing w:before="160"/>
      <w:jc w:val="center"/>
    </w:pPr>
    <w:rPr>
      <w:i/>
      <w:iCs/>
      <w:color w:val="404040" w:themeColor="text1" w:themeTint="BF"/>
    </w:rPr>
  </w:style>
  <w:style w:type="character" w:customStyle="1" w:styleId="QuoteChar">
    <w:name w:val="Quote Char"/>
    <w:basedOn w:val="DefaultParagraphFont"/>
    <w:link w:val="Quote"/>
    <w:uiPriority w:val="29"/>
    <w:rsid w:val="00FB79BB"/>
    <w:rPr>
      <w:i/>
      <w:iCs/>
      <w:color w:val="404040" w:themeColor="text1" w:themeTint="BF"/>
    </w:rPr>
  </w:style>
  <w:style w:type="paragraph" w:styleId="ListParagraph">
    <w:name w:val="List Paragraph"/>
    <w:basedOn w:val="Normal"/>
    <w:uiPriority w:val="34"/>
    <w:qFormat/>
    <w:rsid w:val="00FB79BB"/>
    <w:pPr>
      <w:ind w:left="720"/>
      <w:contextualSpacing/>
    </w:pPr>
  </w:style>
  <w:style w:type="character" w:styleId="IntenseEmphasis">
    <w:name w:val="Intense Emphasis"/>
    <w:basedOn w:val="DefaultParagraphFont"/>
    <w:uiPriority w:val="21"/>
    <w:qFormat/>
    <w:rsid w:val="00FB79BB"/>
    <w:rPr>
      <w:i/>
      <w:iCs/>
      <w:color w:val="0F4761" w:themeColor="accent1" w:themeShade="BF"/>
    </w:rPr>
  </w:style>
  <w:style w:type="paragraph" w:styleId="IntenseQuote">
    <w:name w:val="Intense Quote"/>
    <w:basedOn w:val="Normal"/>
    <w:next w:val="Normal"/>
    <w:link w:val="IntenseQuoteChar"/>
    <w:uiPriority w:val="30"/>
    <w:qFormat/>
    <w:rsid w:val="00FB79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79BB"/>
    <w:rPr>
      <w:i/>
      <w:iCs/>
      <w:color w:val="0F4761" w:themeColor="accent1" w:themeShade="BF"/>
    </w:rPr>
  </w:style>
  <w:style w:type="character" w:styleId="IntenseReference">
    <w:name w:val="Intense Reference"/>
    <w:basedOn w:val="DefaultParagraphFont"/>
    <w:uiPriority w:val="32"/>
    <w:qFormat/>
    <w:rsid w:val="00FB79BB"/>
    <w:rPr>
      <w:b/>
      <w:bCs/>
      <w:smallCaps/>
      <w:color w:val="0F4761" w:themeColor="accent1" w:themeShade="BF"/>
      <w:spacing w:val="5"/>
    </w:rPr>
  </w:style>
  <w:style w:type="character" w:styleId="Hyperlink">
    <w:name w:val="Hyperlink"/>
    <w:basedOn w:val="DefaultParagraphFont"/>
    <w:uiPriority w:val="99"/>
    <w:unhideWhenUsed/>
    <w:rsid w:val="00DB0CA4"/>
    <w:rPr>
      <w:color w:val="467886" w:themeColor="hyperlink"/>
      <w:u w:val="single"/>
    </w:rPr>
  </w:style>
  <w:style w:type="character" w:styleId="UnresolvedMention">
    <w:name w:val="Unresolved Mention"/>
    <w:basedOn w:val="DefaultParagraphFont"/>
    <w:uiPriority w:val="99"/>
    <w:semiHidden/>
    <w:unhideWhenUsed/>
    <w:rsid w:val="00DB0CA4"/>
    <w:rPr>
      <w:color w:val="605E5C"/>
      <w:shd w:val="clear" w:color="auto" w:fill="E1DFDD"/>
    </w:rPr>
  </w:style>
  <w:style w:type="character" w:styleId="FollowedHyperlink">
    <w:name w:val="FollowedHyperlink"/>
    <w:basedOn w:val="DefaultParagraphFont"/>
    <w:uiPriority w:val="99"/>
    <w:semiHidden/>
    <w:unhideWhenUsed/>
    <w:rsid w:val="006232F3"/>
    <w:rPr>
      <w:color w:val="96607D" w:themeColor="followedHyperlink"/>
      <w:u w:val="single"/>
    </w:rPr>
  </w:style>
  <w:style w:type="paragraph" w:styleId="NoSpacing">
    <w:name w:val="No Spacing"/>
    <w:link w:val="NoSpacingChar"/>
    <w:uiPriority w:val="1"/>
    <w:qFormat/>
    <w:rsid w:val="000B166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B166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 TargetMode="External"/><Relationship Id="rId3" Type="http://schemas.openxmlformats.org/officeDocument/2006/relationships/styles" Target="styles.xml"/><Relationship Id="rId7" Type="http://schemas.openxmlformats.org/officeDocument/2006/relationships/hyperlink" Target="https://www.deloitte.com/global/en/issues/work.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roup.accor.com/en/commitmen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pwc.com/gx/en/issues/workforce/hopes-and-fears-2022.html" TargetMode="External"/><Relationship Id="rId4" Type="http://schemas.openxmlformats.org/officeDocument/2006/relationships/settings" Target="settings.xml"/><Relationship Id="rId9" Type="http://schemas.openxmlformats.org/officeDocument/2006/relationships/hyperlink" Target="https://serve360.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2577</Words>
  <Characters>17722</Characters>
  <Application>Microsoft Office Word</Application>
  <DocSecurity>0</DocSecurity>
  <Lines>340</Lines>
  <Paragraphs>99</Paragraphs>
  <ScaleCrop>false</ScaleCrop>
  <HeadingPairs>
    <vt:vector size="2" baseType="variant">
      <vt:variant>
        <vt:lpstr>Title</vt:lpstr>
      </vt:variant>
      <vt:variant>
        <vt:i4>1</vt:i4>
      </vt:variant>
    </vt:vector>
  </HeadingPairs>
  <TitlesOfParts>
    <vt:vector size="1" baseType="lpstr">
      <vt:lpstr/>
    </vt:vector>
  </TitlesOfParts>
  <Company>2</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Deepening Mental Health Crisis in the Hospitality Industry</dc:title>
  <dc:subject/>
  <dc:creator>Velislava Hristova</dc:creator>
  <cp:keywords/>
  <dc:description/>
  <cp:lastModifiedBy>Venelin Iliev</cp:lastModifiedBy>
  <cp:revision>2</cp:revision>
  <dcterms:created xsi:type="dcterms:W3CDTF">2025-10-31T22:56:00Z</dcterms:created>
  <dcterms:modified xsi:type="dcterms:W3CDTF">2025-10-31T22:56:00Z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a2b80a52-c676-47c6-bca3-f38d77fa6b03</vt:lpwstr>
  </property>
</Properties>
</file>