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1E90" w:rsidRPr="00316339" w:rsidRDefault="00817075" w:rsidP="007C32E9">
      <w:pPr>
        <w:jc w:val="center"/>
        <w:rPr>
          <w:rFonts w:ascii="Arial" w:hAnsi="Arial" w:cs="Arial"/>
          <w:b/>
          <w:sz w:val="28"/>
          <w:u w:val="single"/>
          <w:lang w:val="en-GB"/>
        </w:rPr>
      </w:pPr>
      <w:r w:rsidRPr="00316339">
        <w:rPr>
          <w:rFonts w:ascii="Arial" w:hAnsi="Arial" w:cs="Arial"/>
          <w:b/>
          <w:sz w:val="28"/>
          <w:u w:val="single"/>
          <w:lang w:val="en-GB"/>
        </w:rPr>
        <w:t>ECGE4001- Portfolio Assessment Tasks</w:t>
      </w:r>
    </w:p>
    <w:p w:rsidR="00817075" w:rsidRPr="00316339" w:rsidRDefault="00817075">
      <w:pPr>
        <w:rPr>
          <w:rFonts w:ascii="Arial" w:hAnsi="Arial" w:cs="Arial"/>
          <w:sz w:val="28"/>
          <w:lang w:val="en-GB"/>
        </w:rPr>
      </w:pPr>
    </w:p>
    <w:p w:rsidR="00817075" w:rsidRPr="00316339" w:rsidRDefault="00817075">
      <w:pPr>
        <w:rPr>
          <w:rFonts w:ascii="Arial" w:hAnsi="Arial" w:cs="Arial"/>
          <w:b/>
          <w:sz w:val="28"/>
          <w:u w:val="single"/>
          <w:lang w:val="en-GB"/>
        </w:rPr>
      </w:pPr>
      <w:r w:rsidRPr="00316339">
        <w:rPr>
          <w:rFonts w:ascii="Arial" w:hAnsi="Arial" w:cs="Arial"/>
          <w:b/>
          <w:sz w:val="28"/>
          <w:u w:val="single"/>
          <w:lang w:val="en-GB"/>
        </w:rPr>
        <w:t>Part 1</w:t>
      </w:r>
    </w:p>
    <w:p w:rsidR="00817075" w:rsidRPr="00316339" w:rsidRDefault="00033FC9">
      <w:pPr>
        <w:rPr>
          <w:rFonts w:ascii="Arial" w:hAnsi="Arial" w:cs="Arial"/>
          <w:sz w:val="28"/>
          <w:lang w:val="en-GB"/>
        </w:rPr>
      </w:pPr>
      <w:r w:rsidRPr="00316339">
        <w:rPr>
          <w:rFonts w:ascii="Arial" w:hAnsi="Arial" w:cs="Arial"/>
          <w:sz w:val="28"/>
          <w:lang w:val="en-GB"/>
        </w:rPr>
        <w:t>In countries such as I</w:t>
      </w:r>
      <w:r w:rsidR="00817075" w:rsidRPr="00316339">
        <w:rPr>
          <w:rFonts w:ascii="Arial" w:hAnsi="Arial" w:cs="Arial"/>
          <w:sz w:val="28"/>
          <w:lang w:val="en-GB"/>
        </w:rPr>
        <w:t>celand</w:t>
      </w:r>
      <w:r w:rsidRPr="00316339">
        <w:rPr>
          <w:rFonts w:ascii="Arial" w:hAnsi="Arial" w:cs="Arial"/>
          <w:sz w:val="28"/>
          <w:lang w:val="en-GB"/>
        </w:rPr>
        <w:t xml:space="preserve"> outdoor play is seen as very important. Government officials</w:t>
      </w:r>
      <w:r w:rsidR="00817075" w:rsidRPr="00316339">
        <w:rPr>
          <w:rFonts w:ascii="Arial" w:hAnsi="Arial" w:cs="Arial"/>
          <w:sz w:val="28"/>
          <w:lang w:val="en-GB"/>
        </w:rPr>
        <w:t xml:space="preserve"> state that playing outdoors is good for children. Norodahl and </w:t>
      </w:r>
      <w:r w:rsidR="00E86741" w:rsidRPr="00316339">
        <w:rPr>
          <w:rFonts w:ascii="Arial" w:hAnsi="Arial" w:cs="Arial"/>
          <w:sz w:val="28"/>
          <w:lang w:val="en-GB"/>
        </w:rPr>
        <w:t>Johannesson (2013)</w:t>
      </w:r>
      <w:r w:rsidR="00377B6D" w:rsidRPr="00316339">
        <w:rPr>
          <w:rFonts w:ascii="Arial" w:hAnsi="Arial" w:cs="Arial"/>
          <w:sz w:val="28"/>
          <w:lang w:val="en-GB"/>
        </w:rPr>
        <w:t xml:space="preserve"> claim that</w:t>
      </w:r>
      <w:r w:rsidR="00817075" w:rsidRPr="00316339">
        <w:rPr>
          <w:rFonts w:ascii="Arial" w:hAnsi="Arial" w:cs="Arial"/>
          <w:sz w:val="28"/>
          <w:lang w:val="en-GB"/>
        </w:rPr>
        <w:t xml:space="preserve"> curr</w:t>
      </w:r>
      <w:r w:rsidR="00377B6D" w:rsidRPr="00316339">
        <w:rPr>
          <w:rFonts w:ascii="Arial" w:hAnsi="Arial" w:cs="Arial"/>
          <w:sz w:val="28"/>
          <w:lang w:val="en-GB"/>
        </w:rPr>
        <w:t>iculum guidelines</w:t>
      </w:r>
      <w:r w:rsidR="00817075" w:rsidRPr="00316339">
        <w:rPr>
          <w:rFonts w:ascii="Arial" w:hAnsi="Arial" w:cs="Arial"/>
          <w:sz w:val="28"/>
          <w:lang w:val="en-GB"/>
        </w:rPr>
        <w:t xml:space="preserve"> emphasis</w:t>
      </w:r>
      <w:r w:rsidR="00377B6D" w:rsidRPr="00316339">
        <w:rPr>
          <w:rFonts w:ascii="Arial" w:hAnsi="Arial" w:cs="Arial"/>
          <w:sz w:val="28"/>
          <w:lang w:val="en-GB"/>
        </w:rPr>
        <w:t>e</w:t>
      </w:r>
      <w:r w:rsidR="00817075" w:rsidRPr="00316339">
        <w:rPr>
          <w:rFonts w:ascii="Arial" w:hAnsi="Arial" w:cs="Arial"/>
          <w:sz w:val="28"/>
          <w:lang w:val="en-GB"/>
        </w:rPr>
        <w:t xml:space="preserve"> on outside as a learning environment, a place for children to</w:t>
      </w:r>
      <w:r w:rsidR="00377B6D" w:rsidRPr="00316339">
        <w:rPr>
          <w:rFonts w:ascii="Arial" w:hAnsi="Arial" w:cs="Arial"/>
          <w:sz w:val="28"/>
          <w:lang w:val="en-GB"/>
        </w:rPr>
        <w:t xml:space="preserve"> discover the natural world and as a place to</w:t>
      </w:r>
      <w:r w:rsidRPr="00316339">
        <w:rPr>
          <w:rFonts w:ascii="Arial" w:hAnsi="Arial" w:cs="Arial"/>
          <w:sz w:val="28"/>
          <w:lang w:val="en-GB"/>
        </w:rPr>
        <w:t xml:space="preserve"> exercise and live healthily. </w:t>
      </w:r>
    </w:p>
    <w:p w:rsidR="00033FC9" w:rsidRPr="00316339" w:rsidRDefault="00033FC9">
      <w:pPr>
        <w:rPr>
          <w:rFonts w:ascii="Arial" w:hAnsi="Arial" w:cs="Arial"/>
          <w:sz w:val="28"/>
          <w:lang w:val="en-GB"/>
        </w:rPr>
      </w:pPr>
      <w:r w:rsidRPr="00316339">
        <w:rPr>
          <w:rFonts w:ascii="Arial" w:hAnsi="Arial" w:cs="Arial"/>
          <w:sz w:val="28"/>
          <w:lang w:val="en-GB"/>
        </w:rPr>
        <w:t>The emphasis on the outdoors has happened for a long time</w:t>
      </w:r>
      <w:r w:rsidR="00377B6D" w:rsidRPr="00316339">
        <w:rPr>
          <w:rFonts w:ascii="Arial" w:hAnsi="Arial" w:cs="Arial"/>
          <w:sz w:val="28"/>
          <w:lang w:val="en-GB"/>
        </w:rPr>
        <w:t>.</w:t>
      </w:r>
      <w:r w:rsidRPr="00316339">
        <w:rPr>
          <w:rFonts w:ascii="Arial" w:hAnsi="Arial" w:cs="Arial"/>
          <w:sz w:val="28"/>
          <w:lang w:val="en-GB"/>
        </w:rPr>
        <w:t xml:space="preserve"> </w:t>
      </w:r>
      <w:r w:rsidR="00377B6D" w:rsidRPr="00316339">
        <w:rPr>
          <w:rFonts w:ascii="Arial" w:hAnsi="Arial" w:cs="Arial"/>
          <w:sz w:val="28"/>
          <w:lang w:val="en-GB"/>
        </w:rPr>
        <w:t>In Iceland, c</w:t>
      </w:r>
      <w:r w:rsidRPr="00316339">
        <w:rPr>
          <w:rFonts w:ascii="Arial" w:hAnsi="Arial" w:cs="Arial"/>
          <w:sz w:val="28"/>
          <w:lang w:val="en-GB"/>
        </w:rPr>
        <w:t xml:space="preserve">hildren aged one to six play play outside everyday in schools, whilst children aged six to sixteen only get to play outside </w:t>
      </w:r>
      <w:r w:rsidR="00377B6D" w:rsidRPr="00316339">
        <w:rPr>
          <w:rFonts w:ascii="Arial" w:hAnsi="Arial" w:cs="Arial"/>
          <w:sz w:val="28"/>
          <w:lang w:val="en-GB"/>
        </w:rPr>
        <w:t xml:space="preserve">with their friends </w:t>
      </w:r>
      <w:r w:rsidRPr="00316339">
        <w:rPr>
          <w:rFonts w:ascii="Arial" w:hAnsi="Arial" w:cs="Arial"/>
          <w:sz w:val="28"/>
          <w:lang w:val="en-GB"/>
        </w:rPr>
        <w:t>when it is playtime. Little is known about what teachers do outside to help learning however that can differ from teacher to teacher and school. There are signs that teachers in Iceland are using the outdoors more than they used too. In Reyjkavik, seventy per</w:t>
      </w:r>
      <w:r w:rsidR="00377B6D" w:rsidRPr="00316339">
        <w:rPr>
          <w:rFonts w:ascii="Arial" w:hAnsi="Arial" w:cs="Arial"/>
          <w:sz w:val="28"/>
          <w:lang w:val="en-GB"/>
        </w:rPr>
        <w:t>cent of schools say that outdoor education is used often</w:t>
      </w:r>
      <w:r w:rsidR="00E86741" w:rsidRPr="00316339">
        <w:rPr>
          <w:rFonts w:ascii="Arial" w:hAnsi="Arial" w:cs="Arial"/>
          <w:sz w:val="28"/>
          <w:lang w:val="en-GB"/>
        </w:rPr>
        <w:t xml:space="preserve"> (Oladottir, 2008)</w:t>
      </w:r>
      <w:r w:rsidR="00377B6D" w:rsidRPr="00316339">
        <w:rPr>
          <w:rFonts w:ascii="Arial" w:hAnsi="Arial" w:cs="Arial"/>
          <w:sz w:val="28"/>
          <w:lang w:val="en-GB"/>
        </w:rPr>
        <w:t xml:space="preserve">. </w:t>
      </w:r>
    </w:p>
    <w:p w:rsidR="00377B6D" w:rsidRPr="00316339" w:rsidRDefault="00377B6D">
      <w:pPr>
        <w:rPr>
          <w:rFonts w:ascii="Arial" w:hAnsi="Arial" w:cs="Arial"/>
          <w:sz w:val="28"/>
          <w:lang w:val="en-GB"/>
        </w:rPr>
      </w:pPr>
    </w:p>
    <w:p w:rsidR="007C32E9" w:rsidRPr="00316339" w:rsidRDefault="007C32E9">
      <w:pPr>
        <w:rPr>
          <w:rFonts w:ascii="Arial" w:hAnsi="Arial" w:cs="Arial"/>
          <w:sz w:val="28"/>
          <w:lang w:val="en-GB"/>
        </w:rPr>
      </w:pPr>
    </w:p>
    <w:p w:rsidR="007C32E9" w:rsidRPr="00316339" w:rsidRDefault="007C32E9">
      <w:pPr>
        <w:rPr>
          <w:rFonts w:ascii="Arial" w:hAnsi="Arial" w:cs="Arial"/>
          <w:b/>
          <w:sz w:val="28"/>
          <w:u w:val="single"/>
          <w:lang w:val="en-GB"/>
        </w:rPr>
      </w:pPr>
      <w:r w:rsidRPr="00316339">
        <w:rPr>
          <w:rFonts w:ascii="Arial" w:hAnsi="Arial" w:cs="Arial"/>
          <w:b/>
          <w:sz w:val="28"/>
          <w:u w:val="single"/>
          <w:lang w:val="en-GB"/>
        </w:rPr>
        <w:t xml:space="preserve">Part 2a </w:t>
      </w:r>
    </w:p>
    <w:p w:rsidR="007C32E9" w:rsidRPr="00316339" w:rsidRDefault="007C32E9">
      <w:pPr>
        <w:rPr>
          <w:rFonts w:ascii="Arial" w:hAnsi="Arial" w:cs="Arial"/>
          <w:sz w:val="28"/>
          <w:lang w:val="en-GB"/>
        </w:rPr>
      </w:pPr>
      <w:r w:rsidRPr="00316339">
        <w:rPr>
          <w:rFonts w:ascii="Arial" w:hAnsi="Arial" w:cs="Arial"/>
          <w:sz w:val="28"/>
          <w:lang w:val="en-GB"/>
        </w:rPr>
        <w:t>A definition of Forest School as stated by the Forest School Network says that “it is an inspirational process that offers children, young people and adults regular opportunities to achieve and develop confidence and self-esteem through hands on learning experiences in a woodland environment”</w:t>
      </w:r>
      <w:r w:rsidR="00225AD5" w:rsidRPr="00316339">
        <w:rPr>
          <w:rFonts w:ascii="Arial" w:hAnsi="Arial" w:cs="Arial"/>
          <w:sz w:val="28"/>
          <w:lang w:val="en-GB"/>
        </w:rPr>
        <w:t xml:space="preserve"> (Murray and O’Brien, 2006)</w:t>
      </w:r>
      <w:r w:rsidRPr="00316339">
        <w:rPr>
          <w:rFonts w:ascii="Arial" w:hAnsi="Arial" w:cs="Arial"/>
          <w:sz w:val="28"/>
          <w:lang w:val="en-GB"/>
        </w:rPr>
        <w:t xml:space="preserve">. </w:t>
      </w:r>
      <w:r w:rsidR="00225AD5" w:rsidRPr="00316339">
        <w:rPr>
          <w:rFonts w:ascii="Arial" w:hAnsi="Arial" w:cs="Arial"/>
          <w:sz w:val="28"/>
          <w:lang w:val="en-GB"/>
        </w:rPr>
        <w:t xml:space="preserve">Murray and O’Brien write about how people worry that young children do not play in woodlands or </w:t>
      </w:r>
      <w:r w:rsidR="0039557D" w:rsidRPr="00316339">
        <w:rPr>
          <w:rFonts w:ascii="Arial" w:hAnsi="Arial" w:cs="Arial"/>
          <w:sz w:val="28"/>
          <w:lang w:val="en-GB"/>
        </w:rPr>
        <w:t>greenland as their parents did because there is a worry that something will happen to them, and children can do so much indoors now.</w:t>
      </w:r>
      <w:r w:rsidR="00AC4F0B" w:rsidRPr="00316339">
        <w:rPr>
          <w:rFonts w:ascii="Arial" w:hAnsi="Arial" w:cs="Arial"/>
          <w:sz w:val="28"/>
          <w:lang w:val="en-GB"/>
        </w:rPr>
        <w:t xml:space="preserve"> Other research tells us that</w:t>
      </w:r>
      <w:r w:rsidR="0039557D" w:rsidRPr="00316339">
        <w:rPr>
          <w:rFonts w:ascii="Arial" w:hAnsi="Arial" w:cs="Arial"/>
          <w:sz w:val="28"/>
          <w:lang w:val="en-GB"/>
        </w:rPr>
        <w:t xml:space="preserve"> children </w:t>
      </w:r>
      <w:r w:rsidR="00AC4F0B" w:rsidRPr="00316339">
        <w:rPr>
          <w:rFonts w:ascii="Arial" w:hAnsi="Arial" w:cs="Arial"/>
          <w:sz w:val="28"/>
          <w:lang w:val="en-GB"/>
        </w:rPr>
        <w:t xml:space="preserve">who do not play outside </w:t>
      </w:r>
      <w:r w:rsidR="0039557D" w:rsidRPr="00316339">
        <w:rPr>
          <w:rFonts w:ascii="Arial" w:hAnsi="Arial" w:cs="Arial"/>
          <w:sz w:val="28"/>
          <w:lang w:val="en-GB"/>
        </w:rPr>
        <w:t>miss out</w:t>
      </w:r>
      <w:r w:rsidR="00AC4F0B" w:rsidRPr="00316339">
        <w:rPr>
          <w:rFonts w:ascii="Arial" w:hAnsi="Arial" w:cs="Arial"/>
          <w:sz w:val="28"/>
          <w:lang w:val="en-GB"/>
        </w:rPr>
        <w:t xml:space="preserve"> on the physical and emotional benefits of the access to nature</w:t>
      </w:r>
      <w:r w:rsidR="00A45B88" w:rsidRPr="00316339">
        <w:rPr>
          <w:rFonts w:ascii="Arial" w:hAnsi="Arial" w:cs="Arial"/>
          <w:sz w:val="28"/>
          <w:lang w:val="en-GB"/>
        </w:rPr>
        <w:t xml:space="preserve"> (Ward Thompson and Aspinall and Bell and others, 2004)</w:t>
      </w:r>
      <w:r w:rsidR="00AC4F0B" w:rsidRPr="00316339">
        <w:rPr>
          <w:rFonts w:ascii="Arial" w:hAnsi="Arial" w:cs="Arial"/>
          <w:sz w:val="28"/>
          <w:lang w:val="en-GB"/>
        </w:rPr>
        <w:t xml:space="preserve">. </w:t>
      </w:r>
      <w:r w:rsidR="00A45B88" w:rsidRPr="00316339">
        <w:rPr>
          <w:rFonts w:ascii="Arial" w:hAnsi="Arial" w:cs="Arial"/>
          <w:sz w:val="28"/>
          <w:lang w:val="en-GB"/>
        </w:rPr>
        <w:t xml:space="preserve">Welsh government are encouraging teachers, especially in foundation phase, to learn in an outdoor environment. </w:t>
      </w:r>
    </w:p>
    <w:p w:rsidR="006E5DDF" w:rsidRPr="00316339" w:rsidRDefault="006E5DDF">
      <w:pPr>
        <w:rPr>
          <w:rFonts w:ascii="Arial" w:hAnsi="Arial" w:cs="Arial"/>
          <w:sz w:val="28"/>
          <w:lang w:val="en-GB"/>
        </w:rPr>
      </w:pPr>
    </w:p>
    <w:p w:rsidR="006E5DDF" w:rsidRPr="00316339" w:rsidRDefault="006E5DDF">
      <w:pPr>
        <w:rPr>
          <w:rFonts w:ascii="Arial" w:hAnsi="Arial" w:cs="Arial"/>
          <w:sz w:val="28"/>
          <w:lang w:val="en-GB"/>
        </w:rPr>
      </w:pPr>
      <w:r w:rsidRPr="00316339">
        <w:rPr>
          <w:rFonts w:ascii="Arial" w:hAnsi="Arial" w:cs="Arial"/>
          <w:sz w:val="28"/>
          <w:lang w:val="en-GB"/>
        </w:rPr>
        <w:lastRenderedPageBreak/>
        <w:t>Reference List:</w:t>
      </w:r>
    </w:p>
    <w:p w:rsidR="006E5DDF" w:rsidRPr="00316339" w:rsidRDefault="006E5DDF">
      <w:pPr>
        <w:rPr>
          <w:rFonts w:ascii="Arial" w:hAnsi="Arial" w:cs="Arial"/>
          <w:sz w:val="28"/>
          <w:lang w:val="en-GB"/>
        </w:rPr>
      </w:pPr>
      <w:r w:rsidRPr="00316339">
        <w:rPr>
          <w:rFonts w:ascii="Arial" w:hAnsi="Arial" w:cs="Arial"/>
          <w:sz w:val="28"/>
          <w:lang w:val="en-GB"/>
        </w:rPr>
        <w:t xml:space="preserve">Welsh Assembly Government (2009) </w:t>
      </w:r>
      <w:r w:rsidRPr="00316339">
        <w:rPr>
          <w:rFonts w:ascii="Arial" w:hAnsi="Arial" w:cs="Arial"/>
          <w:i/>
          <w:sz w:val="28"/>
          <w:lang w:val="en-GB"/>
        </w:rPr>
        <w:t xml:space="preserve">Outdoor Learning Handbook. </w:t>
      </w:r>
      <w:r w:rsidRPr="00316339">
        <w:rPr>
          <w:rFonts w:ascii="Arial" w:hAnsi="Arial" w:cs="Arial"/>
          <w:sz w:val="28"/>
          <w:lang w:val="en-GB"/>
        </w:rPr>
        <w:t>Cardiff: WAG</w:t>
      </w:r>
    </w:p>
    <w:p w:rsidR="006E5DDF" w:rsidRPr="00316339" w:rsidRDefault="006E5DDF">
      <w:pPr>
        <w:rPr>
          <w:rFonts w:ascii="Arial" w:hAnsi="Arial" w:cs="Arial"/>
          <w:sz w:val="28"/>
          <w:lang w:val="en-GB"/>
        </w:rPr>
      </w:pPr>
      <w:r w:rsidRPr="00316339">
        <w:rPr>
          <w:rFonts w:ascii="Arial" w:hAnsi="Arial" w:cs="Arial"/>
          <w:sz w:val="28"/>
          <w:lang w:val="en-GB"/>
        </w:rPr>
        <w:t xml:space="preserve">Ward Thompson,C., Aspinall, P., Bell, S., Findlay, C., Wherrett, J. and Travlou, P(2004) </w:t>
      </w:r>
      <w:r w:rsidRPr="00316339">
        <w:rPr>
          <w:rFonts w:ascii="Arial" w:hAnsi="Arial" w:cs="Arial"/>
          <w:i/>
          <w:sz w:val="28"/>
          <w:lang w:val="en-GB"/>
        </w:rPr>
        <w:t>Open Space and Social Inclusion: Local woodland use in central Scotland.</w:t>
      </w:r>
      <w:r w:rsidRPr="00316339">
        <w:rPr>
          <w:rFonts w:ascii="Arial" w:hAnsi="Arial" w:cs="Arial"/>
          <w:sz w:val="28"/>
          <w:lang w:val="en-GB"/>
        </w:rPr>
        <w:t xml:space="preserve"> Report to the Forestry Commission, Edinburgh. </w:t>
      </w:r>
    </w:p>
    <w:p w:rsidR="005B6677" w:rsidRPr="00316339" w:rsidRDefault="005B6677">
      <w:pPr>
        <w:rPr>
          <w:rFonts w:ascii="Arial" w:hAnsi="Arial" w:cs="Arial"/>
          <w:sz w:val="28"/>
          <w:lang w:val="en-GB"/>
        </w:rPr>
      </w:pPr>
      <w:r w:rsidRPr="00316339">
        <w:rPr>
          <w:rFonts w:ascii="Arial" w:hAnsi="Arial" w:cs="Arial"/>
          <w:sz w:val="28"/>
          <w:lang w:val="en-GB"/>
        </w:rPr>
        <w:t xml:space="preserve">O’Brien, E. and Murray, R (2006) </w:t>
      </w:r>
      <w:r w:rsidRPr="00316339">
        <w:rPr>
          <w:rFonts w:ascii="Arial" w:hAnsi="Arial" w:cs="Arial"/>
          <w:i/>
          <w:sz w:val="28"/>
          <w:lang w:val="en-GB"/>
        </w:rPr>
        <w:t>A Marvellous Opportunity for children to learn: A participatory evaluation of Forest School in England and Wales.</w:t>
      </w:r>
      <w:r w:rsidR="004D0A24" w:rsidRPr="00316339">
        <w:rPr>
          <w:rFonts w:ascii="Arial" w:hAnsi="Arial" w:cs="Arial"/>
          <w:sz w:val="28"/>
          <w:lang w:val="en-GB"/>
        </w:rPr>
        <w:t xml:space="preserve"> Farnham: Forest Research</w:t>
      </w:r>
    </w:p>
    <w:p w:rsidR="00D067FC" w:rsidRPr="00316339" w:rsidRDefault="00D067FC">
      <w:pPr>
        <w:rPr>
          <w:rFonts w:ascii="Arial" w:hAnsi="Arial" w:cs="Arial"/>
          <w:b/>
          <w:sz w:val="28"/>
          <w:u w:val="single"/>
          <w:lang w:val="en-GB"/>
        </w:rPr>
      </w:pPr>
      <w:r w:rsidRPr="00316339">
        <w:rPr>
          <w:rFonts w:ascii="Arial" w:hAnsi="Arial" w:cs="Arial"/>
          <w:b/>
          <w:sz w:val="28"/>
          <w:u w:val="single"/>
          <w:lang w:val="en-GB"/>
        </w:rPr>
        <w:t>Part 2b</w:t>
      </w:r>
    </w:p>
    <w:p w:rsidR="00D067FC" w:rsidRPr="00316339" w:rsidRDefault="00D067FC" w:rsidP="00D76603">
      <w:pPr>
        <w:pStyle w:val="ListParagraph"/>
        <w:numPr>
          <w:ilvl w:val="0"/>
          <w:numId w:val="1"/>
        </w:numPr>
        <w:rPr>
          <w:rFonts w:ascii="Arial" w:hAnsi="Arial" w:cs="Arial"/>
          <w:sz w:val="28"/>
          <w:lang w:val="en-GB"/>
        </w:rPr>
      </w:pPr>
      <w:r w:rsidRPr="00316339">
        <w:rPr>
          <w:rFonts w:ascii="Arial" w:hAnsi="Arial" w:cs="Arial"/>
          <w:sz w:val="28"/>
          <w:lang w:val="en-GB"/>
        </w:rPr>
        <w:t xml:space="preserve">You could be accused of plagarism if you fail to acknowledge the source of your information in academic writing. It is really important that students avoid this because </w:t>
      </w:r>
      <w:r w:rsidR="008E1EDD" w:rsidRPr="00316339">
        <w:rPr>
          <w:rFonts w:ascii="Arial" w:hAnsi="Arial" w:cs="Arial"/>
          <w:sz w:val="28"/>
          <w:lang w:val="en-GB"/>
        </w:rPr>
        <w:t>you will face serious concequences such as failing an assignment, the course or even dismissal.</w:t>
      </w:r>
    </w:p>
    <w:p w:rsidR="008E1EDD" w:rsidRPr="00316339" w:rsidRDefault="008E1EDD">
      <w:pPr>
        <w:rPr>
          <w:rFonts w:ascii="Arial" w:hAnsi="Arial" w:cs="Arial"/>
          <w:sz w:val="28"/>
          <w:lang w:val="en-GB"/>
        </w:rPr>
      </w:pPr>
    </w:p>
    <w:p w:rsidR="008E1EDD" w:rsidRPr="00316339" w:rsidRDefault="00247C4E" w:rsidP="00D76603">
      <w:pPr>
        <w:pStyle w:val="ListParagraph"/>
        <w:numPr>
          <w:ilvl w:val="0"/>
          <w:numId w:val="1"/>
        </w:numPr>
        <w:rPr>
          <w:rFonts w:ascii="Arial" w:hAnsi="Arial" w:cs="Arial"/>
          <w:sz w:val="28"/>
          <w:lang w:val="en-GB"/>
        </w:rPr>
      </w:pPr>
      <w:r w:rsidRPr="00316339">
        <w:rPr>
          <w:rFonts w:ascii="Arial" w:hAnsi="Arial" w:cs="Arial"/>
          <w:sz w:val="28"/>
          <w:lang w:val="en-GB"/>
        </w:rPr>
        <w:t xml:space="preserve">“You only have to reference when you use a direct quotation” is a false statement. </w:t>
      </w:r>
      <w:r w:rsidR="00186606" w:rsidRPr="00316339">
        <w:rPr>
          <w:rFonts w:ascii="Arial" w:hAnsi="Arial" w:cs="Arial"/>
          <w:sz w:val="28"/>
          <w:lang w:val="en-GB"/>
        </w:rPr>
        <w:t xml:space="preserve">You should reference when referring to a source of information within the text of your assignment </w:t>
      </w:r>
      <w:r w:rsidR="00D242A2" w:rsidRPr="00316339">
        <w:rPr>
          <w:rFonts w:ascii="Arial" w:hAnsi="Arial" w:cs="Arial"/>
          <w:sz w:val="28"/>
          <w:lang w:val="en-GB"/>
        </w:rPr>
        <w:t xml:space="preserve">to show where it has come from. </w:t>
      </w:r>
    </w:p>
    <w:p w:rsidR="00D067FC" w:rsidRPr="00316339" w:rsidRDefault="00D067FC">
      <w:pPr>
        <w:rPr>
          <w:rFonts w:ascii="Arial" w:hAnsi="Arial" w:cs="Arial"/>
          <w:sz w:val="28"/>
          <w:lang w:val="en-GB"/>
        </w:rPr>
      </w:pPr>
    </w:p>
    <w:p w:rsidR="00D067FC" w:rsidRPr="00316339" w:rsidRDefault="00D242A2" w:rsidP="00D76603">
      <w:pPr>
        <w:pStyle w:val="ListParagraph"/>
        <w:numPr>
          <w:ilvl w:val="0"/>
          <w:numId w:val="1"/>
        </w:numPr>
        <w:rPr>
          <w:rFonts w:ascii="Arial" w:hAnsi="Arial" w:cs="Arial"/>
          <w:sz w:val="28"/>
          <w:lang w:val="en-GB"/>
        </w:rPr>
      </w:pPr>
      <w:r w:rsidRPr="00316339">
        <w:rPr>
          <w:rFonts w:ascii="Arial" w:hAnsi="Arial" w:cs="Arial"/>
          <w:sz w:val="28"/>
          <w:lang w:val="en-GB"/>
        </w:rPr>
        <w:t>Wikipedia is not a good place to search for information for your academic assignments because it is not a reliable source. Anybody can edit Wikipedia at any time meaning that the information could be someone’s opinion or just plain incorrect.</w:t>
      </w:r>
    </w:p>
    <w:p w:rsidR="00E26AD3" w:rsidRPr="00316339" w:rsidRDefault="00E26AD3">
      <w:pPr>
        <w:rPr>
          <w:rFonts w:ascii="Arial" w:hAnsi="Arial" w:cs="Arial"/>
          <w:sz w:val="28"/>
          <w:lang w:val="en-GB"/>
        </w:rPr>
      </w:pPr>
    </w:p>
    <w:p w:rsidR="00D76603" w:rsidRPr="00316339" w:rsidRDefault="00D76603" w:rsidP="00D76603">
      <w:pPr>
        <w:pStyle w:val="ListParagraph"/>
        <w:numPr>
          <w:ilvl w:val="0"/>
          <w:numId w:val="1"/>
        </w:numPr>
        <w:rPr>
          <w:rFonts w:ascii="Arial" w:hAnsi="Arial" w:cs="Arial"/>
          <w:sz w:val="28"/>
          <w:lang w:val="en-GB"/>
        </w:rPr>
      </w:pPr>
      <w:r w:rsidRPr="00316339">
        <w:rPr>
          <w:rFonts w:ascii="Arial" w:hAnsi="Arial" w:cs="Arial"/>
          <w:sz w:val="28"/>
          <w:lang w:val="en-GB"/>
        </w:rPr>
        <w:t>A long quotation would be a quote that is longer than 30 words or 2 lines. Follow these steps to reference a long quote correctly:</w:t>
      </w:r>
    </w:p>
    <w:p w:rsidR="00D76603" w:rsidRPr="00316339" w:rsidRDefault="00D76603" w:rsidP="00D76603">
      <w:pPr>
        <w:pStyle w:val="ListParagraph"/>
        <w:rPr>
          <w:rFonts w:ascii="Arial" w:hAnsi="Arial" w:cs="Arial"/>
          <w:sz w:val="28"/>
          <w:lang w:val="en-GB"/>
        </w:rPr>
      </w:pPr>
    </w:p>
    <w:p w:rsidR="00D76603" w:rsidRPr="00316339" w:rsidRDefault="00D76603" w:rsidP="00D76603">
      <w:pPr>
        <w:pStyle w:val="ListParagraph"/>
        <w:numPr>
          <w:ilvl w:val="2"/>
          <w:numId w:val="2"/>
        </w:numPr>
        <w:rPr>
          <w:rFonts w:ascii="Arial" w:hAnsi="Arial" w:cs="Arial"/>
          <w:sz w:val="28"/>
          <w:lang w:val="en-GB"/>
        </w:rPr>
      </w:pPr>
      <w:r w:rsidRPr="00316339">
        <w:rPr>
          <w:rFonts w:ascii="Arial" w:hAnsi="Arial" w:cs="Arial"/>
          <w:sz w:val="28"/>
          <w:lang w:val="en-GB"/>
        </w:rPr>
        <w:t>Enter the quote as a separate paragraph.</w:t>
      </w:r>
    </w:p>
    <w:p w:rsidR="00D76603" w:rsidRPr="00316339" w:rsidRDefault="00D76603" w:rsidP="00D76603">
      <w:pPr>
        <w:pStyle w:val="ListParagraph"/>
        <w:numPr>
          <w:ilvl w:val="2"/>
          <w:numId w:val="2"/>
        </w:numPr>
        <w:rPr>
          <w:rFonts w:ascii="Arial" w:hAnsi="Arial" w:cs="Arial"/>
          <w:sz w:val="28"/>
          <w:lang w:val="en-GB"/>
        </w:rPr>
      </w:pPr>
      <w:r w:rsidRPr="00316339">
        <w:rPr>
          <w:rFonts w:ascii="Arial" w:hAnsi="Arial" w:cs="Arial"/>
          <w:sz w:val="28"/>
          <w:lang w:val="en-GB"/>
        </w:rPr>
        <w:t>Indent the paragraph</w:t>
      </w:r>
    </w:p>
    <w:p w:rsidR="00D76603" w:rsidRPr="00316339" w:rsidRDefault="00D76603" w:rsidP="00D76603">
      <w:pPr>
        <w:pStyle w:val="ListParagraph"/>
        <w:numPr>
          <w:ilvl w:val="2"/>
          <w:numId w:val="2"/>
        </w:numPr>
        <w:rPr>
          <w:rFonts w:ascii="Arial" w:hAnsi="Arial" w:cs="Arial"/>
          <w:sz w:val="28"/>
          <w:lang w:val="en-GB"/>
        </w:rPr>
      </w:pPr>
      <w:r w:rsidRPr="00316339">
        <w:rPr>
          <w:rFonts w:ascii="Arial" w:hAnsi="Arial" w:cs="Arial"/>
          <w:sz w:val="28"/>
          <w:lang w:val="en-GB"/>
        </w:rPr>
        <w:t>You do not need to enter quotation marks</w:t>
      </w:r>
    </w:p>
    <w:p w:rsidR="00D76603" w:rsidRPr="00316339" w:rsidRDefault="00D76603" w:rsidP="00D76603">
      <w:pPr>
        <w:pStyle w:val="ListParagraph"/>
        <w:numPr>
          <w:ilvl w:val="2"/>
          <w:numId w:val="2"/>
        </w:numPr>
        <w:rPr>
          <w:rFonts w:ascii="Arial" w:hAnsi="Arial" w:cs="Arial"/>
          <w:sz w:val="28"/>
          <w:lang w:val="en-GB"/>
        </w:rPr>
      </w:pPr>
      <w:r w:rsidRPr="00316339">
        <w:rPr>
          <w:rFonts w:ascii="Arial" w:hAnsi="Arial" w:cs="Arial"/>
          <w:sz w:val="28"/>
          <w:lang w:val="en-GB"/>
        </w:rPr>
        <w:lastRenderedPageBreak/>
        <w:t xml:space="preserve">Follow with the authors surname and year of publication and page number or URL in Brackets (). </w:t>
      </w:r>
    </w:p>
    <w:p w:rsidR="00CE3835" w:rsidRDefault="00CE3835" w:rsidP="00CE3835">
      <w:pPr>
        <w:rPr>
          <w:rFonts w:ascii="Arial" w:hAnsi="Arial" w:cs="Arial"/>
          <w:sz w:val="28"/>
          <w:lang w:val="en-GB"/>
        </w:rPr>
      </w:pPr>
    </w:p>
    <w:p w:rsidR="002B32ED" w:rsidRDefault="002B32ED" w:rsidP="00CE3835">
      <w:pPr>
        <w:rPr>
          <w:rFonts w:ascii="Arial" w:hAnsi="Arial" w:cs="Arial"/>
          <w:b/>
          <w:sz w:val="28"/>
          <w:u w:val="single"/>
          <w:lang w:val="en-GB"/>
        </w:rPr>
      </w:pPr>
      <w:r w:rsidRPr="002B32ED">
        <w:rPr>
          <w:rFonts w:ascii="Arial" w:hAnsi="Arial" w:cs="Arial"/>
          <w:b/>
          <w:sz w:val="28"/>
          <w:u w:val="single"/>
          <w:lang w:val="en-GB"/>
        </w:rPr>
        <w:t>Part 3</w:t>
      </w:r>
    </w:p>
    <w:p w:rsidR="002B32ED" w:rsidRPr="00BB3A20" w:rsidRDefault="002B32ED" w:rsidP="002B32ED">
      <w:pPr>
        <w:rPr>
          <w:rFonts w:ascii="Arial" w:hAnsi="Arial" w:cs="Arial"/>
          <w:sz w:val="28"/>
          <w:szCs w:val="28"/>
          <w:lang w:val="en-GB"/>
        </w:rPr>
      </w:pPr>
      <w:r w:rsidRPr="00BB3A20">
        <w:rPr>
          <w:rFonts w:ascii="Arial" w:hAnsi="Arial" w:cs="Arial"/>
          <w:sz w:val="28"/>
          <w:szCs w:val="28"/>
          <w:lang w:val="en-GB"/>
        </w:rPr>
        <w:t xml:space="preserve">This assignment is a critical response to an article titled “Yes, but…”: rhetoric, reality and resistance in teaching assistants’ experiences of inclusive education” by the author Suzanne Mackenzie. The article is informative, and is arguably written for those within the education setting to give Teaching Assistants a voice, and to encourage other staff teaching and non-teaching to reflect on their own experiences and to identify similarities within their own workplace. </w:t>
      </w:r>
    </w:p>
    <w:p w:rsidR="002B32ED" w:rsidRPr="00BB3A20" w:rsidRDefault="002B32ED" w:rsidP="002B32ED">
      <w:pPr>
        <w:rPr>
          <w:rFonts w:ascii="Arial" w:hAnsi="Arial" w:cs="Arial"/>
          <w:sz w:val="28"/>
          <w:szCs w:val="28"/>
          <w:lang w:val="en-GB"/>
        </w:rPr>
      </w:pPr>
      <w:r w:rsidRPr="00BB3A20">
        <w:rPr>
          <w:rFonts w:ascii="Arial" w:hAnsi="Arial" w:cs="Arial"/>
          <w:sz w:val="28"/>
          <w:szCs w:val="28"/>
          <w:lang w:val="en-GB"/>
        </w:rPr>
        <w:t xml:space="preserve">“Yes, but…’: rhetoric, reality and resistance in teaching assistants’ experiences of inclusive education” written by Suzanne Mackenzie (2011) seems a little negative in places due to the use of subjective language. Mackenzie intended the article “to analyse the tensions between the policy and the institutional frameworks of inclusion and TA’s experiences of contradictions, tensions, resistance and also pleasures of their work will be explored from their own perspectives” (Mackenzie, 2011).  </w:t>
      </w:r>
    </w:p>
    <w:p w:rsidR="002B32ED" w:rsidRPr="00BB3A20" w:rsidRDefault="002B32ED" w:rsidP="002B32ED">
      <w:pPr>
        <w:rPr>
          <w:rFonts w:ascii="Arial" w:hAnsi="Arial" w:cs="Arial"/>
          <w:sz w:val="28"/>
          <w:szCs w:val="28"/>
          <w:lang w:val="en-GB"/>
        </w:rPr>
      </w:pPr>
      <w:r w:rsidRPr="00BB3A20">
        <w:rPr>
          <w:rFonts w:ascii="Arial" w:hAnsi="Arial" w:cs="Arial"/>
          <w:color w:val="1C1D1E"/>
          <w:sz w:val="28"/>
          <w:szCs w:val="28"/>
        </w:rPr>
        <w:t xml:space="preserve">The article anaylses the role of Teaching Assistants working with children with special educational needs and their effectiveness within the inclusive education system, and acknowledges the unheard voice of the TA. </w:t>
      </w:r>
      <w:r w:rsidRPr="00BB3A20">
        <w:rPr>
          <w:rFonts w:ascii="Arial" w:hAnsi="Arial" w:cs="Arial"/>
          <w:sz w:val="28"/>
          <w:szCs w:val="28"/>
          <w:lang w:val="en-GB"/>
        </w:rPr>
        <w:t xml:space="preserve">Mackenzie was inspired by other writers such as O’ Brien and Garner who highlight and acknowledge the role of Teaching Assistants and the “important work that they do with children with very complex and challenging needs” (O’Brien and Garner, 2001). Mackenzies research emulates that of O’Brien and Garner who purposely interviewed teaching assistants about their experiences, and their views that teaching assistants can give valuable input into how inclusion can work successfully. The findings of Mackenzie’s research are presented in the article as five individual case studies from Jill, Jane, Angela, Una and Moira, and their stories give an insight into experiences of inclusion. </w:t>
      </w:r>
    </w:p>
    <w:p w:rsidR="002B32ED" w:rsidRPr="00BB3A20" w:rsidRDefault="002B32ED" w:rsidP="002B32ED">
      <w:pPr>
        <w:rPr>
          <w:rFonts w:ascii="Arial" w:hAnsi="Arial" w:cs="Arial"/>
          <w:color w:val="1C1D1E"/>
          <w:sz w:val="28"/>
          <w:szCs w:val="28"/>
        </w:rPr>
      </w:pPr>
      <w:r w:rsidRPr="00BB3A20">
        <w:rPr>
          <w:rFonts w:ascii="Arial" w:hAnsi="Arial" w:cs="Arial"/>
          <w:color w:val="1C1D1E"/>
          <w:sz w:val="28"/>
          <w:szCs w:val="28"/>
        </w:rPr>
        <w:t xml:space="preserve">Mackenzie points out that Teachers and TA’s often do not have congruence in how they view their roles in the classroom. There is almost an emphasis on the word congruence putting a focus on how teachers and </w:t>
      </w:r>
      <w:r w:rsidRPr="00BB3A20">
        <w:rPr>
          <w:rFonts w:ascii="Arial" w:hAnsi="Arial" w:cs="Arial"/>
          <w:color w:val="1C1D1E"/>
          <w:sz w:val="28"/>
          <w:szCs w:val="28"/>
        </w:rPr>
        <w:lastRenderedPageBreak/>
        <w:t xml:space="preserve">TA’s often do not agree on what their role is in a classroom, and this could be the reason that generally collaboration between teachers and teaching assistants appears difficult to achieve. </w:t>
      </w:r>
    </w:p>
    <w:p w:rsidR="002B32ED" w:rsidRPr="00BB3A20" w:rsidRDefault="002B32ED" w:rsidP="002B32ED">
      <w:pPr>
        <w:rPr>
          <w:rFonts w:ascii="Arial" w:hAnsi="Arial" w:cs="Arial"/>
          <w:color w:val="1C1D1E"/>
          <w:sz w:val="28"/>
          <w:szCs w:val="28"/>
        </w:rPr>
      </w:pPr>
      <w:r w:rsidRPr="00BB3A20">
        <w:rPr>
          <w:rFonts w:ascii="Arial" w:hAnsi="Arial" w:cs="Arial"/>
          <w:color w:val="1C1D1E"/>
          <w:sz w:val="28"/>
          <w:szCs w:val="28"/>
        </w:rPr>
        <w:t xml:space="preserve">Teaching assistants were employed in primary classrooms to support the children with special educational needs. One of the teaching assistants interviewed by the author believed that working with children with special educational needs was not seen as having an intellectual job, Angela said “you are just classed as an extra pair of hands” (Mackenzie, 2011). </w:t>
      </w:r>
    </w:p>
    <w:p w:rsidR="002B32ED" w:rsidRPr="00BB3A20" w:rsidRDefault="002B32ED" w:rsidP="002B32ED">
      <w:pPr>
        <w:rPr>
          <w:rFonts w:ascii="Arial" w:hAnsi="Arial" w:cs="Arial"/>
          <w:color w:val="1C1D1E"/>
          <w:sz w:val="28"/>
          <w:szCs w:val="28"/>
        </w:rPr>
      </w:pPr>
      <w:r w:rsidRPr="00BB3A20">
        <w:rPr>
          <w:rFonts w:ascii="Arial" w:hAnsi="Arial" w:cs="Arial"/>
          <w:color w:val="1C1D1E"/>
          <w:sz w:val="28"/>
          <w:szCs w:val="28"/>
        </w:rPr>
        <w:t xml:space="preserve">Over the years the role of the TA has extended to managing challenging behaviour, planning, assessing and covering classes. Una, another teaching assistant interviewed by Mackenzie, described that children’s behaviour problems had more complex during the nine years she had been employed as a teaching assistant, but despite the role becoming more challenging due to the behavioural issues she found it equally as rewarding (Mackenzie, 2011). </w:t>
      </w:r>
      <w:bookmarkStart w:id="0" w:name="_GoBack"/>
      <w:r w:rsidRPr="002B32ED">
        <w:rPr>
          <w:rStyle w:val="Hyperlink"/>
          <w:rFonts w:ascii="Arial" w:hAnsi="Arial" w:cs="Arial"/>
          <w:color w:val="auto"/>
          <w:sz w:val="28"/>
          <w:szCs w:val="28"/>
          <w:u w:val="none"/>
        </w:rPr>
        <w:fldChar w:fldCharType="begin"/>
      </w:r>
      <w:r w:rsidRPr="002B32ED">
        <w:rPr>
          <w:rStyle w:val="Hyperlink"/>
          <w:rFonts w:ascii="Arial" w:hAnsi="Arial" w:cs="Arial"/>
          <w:color w:val="auto"/>
          <w:sz w:val="28"/>
          <w:szCs w:val="28"/>
          <w:u w:val="none"/>
        </w:rPr>
        <w:instrText xml:space="preserve"> HYPERLINK "https://onlinelibrary.wiley.com/doi/full/10.1111/j.1471-3802.2005.00035.x" \l "b16" </w:instrText>
      </w:r>
      <w:r w:rsidRPr="002B32ED">
        <w:rPr>
          <w:rStyle w:val="Hyperlink"/>
          <w:rFonts w:ascii="Arial" w:hAnsi="Arial" w:cs="Arial"/>
          <w:color w:val="auto"/>
          <w:sz w:val="28"/>
          <w:szCs w:val="28"/>
          <w:u w:val="none"/>
        </w:rPr>
        <w:fldChar w:fldCharType="separate"/>
      </w:r>
      <w:r w:rsidRPr="002B32ED">
        <w:rPr>
          <w:rStyle w:val="Hyperlink"/>
          <w:rFonts w:ascii="Arial" w:hAnsi="Arial" w:cs="Arial"/>
          <w:color w:val="auto"/>
          <w:sz w:val="28"/>
          <w:szCs w:val="28"/>
          <w:u w:val="none"/>
        </w:rPr>
        <w:t>O’Brien (1998</w:t>
      </w:r>
      <w:r w:rsidRPr="002B32ED">
        <w:rPr>
          <w:rStyle w:val="Hyperlink"/>
          <w:rFonts w:ascii="Arial" w:hAnsi="Arial" w:cs="Arial"/>
          <w:color w:val="auto"/>
          <w:sz w:val="28"/>
          <w:szCs w:val="28"/>
          <w:u w:val="none"/>
        </w:rPr>
        <w:fldChar w:fldCharType="end"/>
      </w:r>
      <w:r w:rsidRPr="002B32ED">
        <w:rPr>
          <w:rFonts w:ascii="Arial" w:hAnsi="Arial" w:cs="Arial"/>
          <w:sz w:val="28"/>
          <w:szCs w:val="28"/>
        </w:rPr>
        <w:t xml:space="preserve">) </w:t>
      </w:r>
      <w:bookmarkEnd w:id="0"/>
      <w:r w:rsidRPr="00BB3A20">
        <w:rPr>
          <w:rFonts w:ascii="Arial" w:hAnsi="Arial" w:cs="Arial"/>
          <w:color w:val="1C1D1E"/>
          <w:sz w:val="28"/>
          <w:szCs w:val="28"/>
        </w:rPr>
        <w:t xml:space="preserve">expresses concerns for the ways that TAs are used in the management of  pupils with behavioural difficulties. He proposes that “teachers, who have received specific professional development in classroom management, are better placed to manage pupils with challenging behaviours than TAs who have often received little training”. He suggests that a teacher is better equipped to manage the behaviour of pupils whilst the teaching assistant deals with a less challenging group within the class. Mackenzie describes how some teaching assistants are often sceptical of qualifications and experience; Angela argued that althought students are taught the theoretical side, qualifications do not give them the hands on experience of how to deal with all of the different needs in a classroom. </w:t>
      </w:r>
    </w:p>
    <w:p w:rsidR="002B32ED" w:rsidRPr="00BB3A20" w:rsidRDefault="002B32ED" w:rsidP="002B32ED">
      <w:pPr>
        <w:rPr>
          <w:rFonts w:ascii="Arial" w:hAnsi="Arial" w:cs="Arial"/>
          <w:color w:val="1C1D1E"/>
          <w:sz w:val="28"/>
          <w:szCs w:val="28"/>
        </w:rPr>
      </w:pPr>
      <w:hyperlink r:id="rId5" w:anchor="b17" w:history="1">
        <w:r w:rsidRPr="002B32ED">
          <w:rPr>
            <w:rStyle w:val="Hyperlink"/>
            <w:rFonts w:ascii="Arial" w:hAnsi="Arial" w:cs="Arial"/>
            <w:color w:val="auto"/>
            <w:sz w:val="28"/>
            <w:szCs w:val="28"/>
            <w:u w:val="none"/>
          </w:rPr>
          <w:t>Roaf (2003</w:t>
        </w:r>
      </w:hyperlink>
      <w:r w:rsidRPr="002B32ED">
        <w:rPr>
          <w:rFonts w:ascii="Arial" w:hAnsi="Arial" w:cs="Arial"/>
          <w:sz w:val="28"/>
          <w:szCs w:val="28"/>
        </w:rPr>
        <w:t xml:space="preserve">) </w:t>
      </w:r>
      <w:r w:rsidRPr="00BB3A20">
        <w:rPr>
          <w:rFonts w:ascii="Arial" w:hAnsi="Arial" w:cs="Arial"/>
          <w:color w:val="1C1D1E"/>
          <w:sz w:val="28"/>
          <w:szCs w:val="28"/>
        </w:rPr>
        <w:t>has also collected evidence from Teaching assistants about how they perceive their role. Several respondents refer to having a good relationship with a ‘difficult’ pupil with whom the teacher may have difficulties. “It may be assumed that in some cases the authoritative figure of the teacher could be perceived in negative terms by some pupils with behavioural difficulties, and in such instances, the mediator role of a TA could be critical”.</w:t>
      </w:r>
    </w:p>
    <w:p w:rsidR="002B32ED" w:rsidRPr="00BB3A20" w:rsidRDefault="002B32ED" w:rsidP="002B32ED">
      <w:pPr>
        <w:rPr>
          <w:rFonts w:ascii="Arial" w:hAnsi="Arial" w:cs="Arial"/>
          <w:sz w:val="28"/>
          <w:szCs w:val="28"/>
          <w:lang w:val="en-GB"/>
        </w:rPr>
      </w:pPr>
      <w:r w:rsidRPr="002B32ED">
        <w:rPr>
          <w:rStyle w:val="Hyperlink"/>
          <w:rFonts w:ascii="Arial" w:hAnsi="Arial" w:cs="Arial"/>
          <w:color w:val="auto"/>
          <w:sz w:val="28"/>
          <w:szCs w:val="28"/>
          <w:u w:val="none"/>
        </w:rPr>
        <w:t>Clarke, Dyson, Millward and Robson (1999)</w:t>
      </w:r>
      <w:r w:rsidRPr="002B32ED">
        <w:rPr>
          <w:rFonts w:ascii="Arial" w:hAnsi="Arial" w:cs="Arial"/>
          <w:sz w:val="28"/>
          <w:szCs w:val="28"/>
        </w:rPr>
        <w:t xml:space="preserve"> </w:t>
      </w:r>
      <w:r w:rsidRPr="00BB3A20">
        <w:rPr>
          <w:rFonts w:ascii="Arial" w:hAnsi="Arial" w:cs="Arial"/>
          <w:sz w:val="28"/>
          <w:szCs w:val="28"/>
        </w:rPr>
        <w:t>suggested that the use of in</w:t>
      </w:r>
      <w:r w:rsidRPr="00BB3A20">
        <w:rPr>
          <w:rFonts w:ascii="Cambria Math" w:hAnsi="Cambria Math" w:cs="Cambria Math"/>
          <w:sz w:val="28"/>
          <w:szCs w:val="28"/>
        </w:rPr>
        <w:t>‐</w:t>
      </w:r>
      <w:r w:rsidRPr="00BB3A20">
        <w:rPr>
          <w:rFonts w:ascii="Arial" w:hAnsi="Arial" w:cs="Arial"/>
          <w:sz w:val="28"/>
          <w:szCs w:val="28"/>
        </w:rPr>
        <w:t xml:space="preserve">class support was probably the single most important factor in enabling </w:t>
      </w:r>
      <w:r w:rsidRPr="00BB3A20">
        <w:rPr>
          <w:rFonts w:ascii="Arial" w:hAnsi="Arial" w:cs="Arial"/>
          <w:sz w:val="28"/>
          <w:szCs w:val="28"/>
        </w:rPr>
        <w:lastRenderedPageBreak/>
        <w:t>pupils with special educational needs (SEN) to be maintained in mainstream classrooms.</w:t>
      </w:r>
    </w:p>
    <w:p w:rsidR="002B32ED" w:rsidRPr="00BB3A20" w:rsidRDefault="002B32ED" w:rsidP="002B32ED">
      <w:pPr>
        <w:rPr>
          <w:rFonts w:ascii="Arial" w:hAnsi="Arial" w:cs="Arial"/>
          <w:color w:val="1C1D1E"/>
          <w:sz w:val="28"/>
          <w:szCs w:val="28"/>
        </w:rPr>
      </w:pPr>
      <w:r w:rsidRPr="00BB3A20">
        <w:rPr>
          <w:rFonts w:ascii="Arial" w:hAnsi="Arial" w:cs="Arial"/>
          <w:color w:val="1C1D1E"/>
          <w:sz w:val="28"/>
          <w:szCs w:val="28"/>
        </w:rPr>
        <w:t xml:space="preserve">A recurring theme throughout the literature on learning support is that of promoting effective teamwork. Throughout Mackenzie’s article it is clear that communication problems were common, with TA’s not being invited to meetings about the children whom they have expert knowledge (Mackenzie, 2011).  The lack of communication and collaboration was a major concern for the teaching assistants in the article, especially Jane, she found it particularly difficult to work with teachers and felt that teaching assistants lack support and guidance. According to </w:t>
      </w:r>
      <w:hyperlink r:id="rId6" w:anchor="b11" w:history="1">
        <w:r w:rsidRPr="002B32ED">
          <w:rPr>
            <w:rStyle w:val="Hyperlink"/>
            <w:rFonts w:ascii="Arial" w:hAnsi="Arial" w:cs="Arial"/>
            <w:color w:val="auto"/>
            <w:sz w:val="28"/>
            <w:szCs w:val="28"/>
            <w:u w:val="none"/>
          </w:rPr>
          <w:t>Clarke, Dyson, Millward &amp; Robson (1999</w:t>
        </w:r>
      </w:hyperlink>
      <w:r w:rsidRPr="002B32ED">
        <w:rPr>
          <w:rFonts w:ascii="Arial" w:hAnsi="Arial" w:cs="Arial"/>
          <w:sz w:val="28"/>
          <w:szCs w:val="28"/>
        </w:rPr>
        <w:t xml:space="preserve">) </w:t>
      </w:r>
      <w:r w:rsidRPr="00BB3A20">
        <w:rPr>
          <w:rFonts w:ascii="Arial" w:hAnsi="Arial" w:cs="Arial"/>
          <w:sz w:val="28"/>
          <w:szCs w:val="28"/>
        </w:rPr>
        <w:t xml:space="preserve">many teachers have received little training in managing </w:t>
      </w:r>
      <w:r w:rsidRPr="00BB3A20">
        <w:rPr>
          <w:rFonts w:ascii="Arial" w:hAnsi="Arial" w:cs="Arial"/>
          <w:color w:val="1C1D1E"/>
          <w:sz w:val="28"/>
          <w:szCs w:val="28"/>
        </w:rPr>
        <w:t xml:space="preserve">classroom teams. </w:t>
      </w:r>
    </w:p>
    <w:p w:rsidR="002B32ED" w:rsidRPr="00BB3A20" w:rsidRDefault="002B32ED" w:rsidP="002B32ED">
      <w:pPr>
        <w:rPr>
          <w:rFonts w:ascii="Arial" w:hAnsi="Arial" w:cs="Arial"/>
          <w:sz w:val="28"/>
          <w:szCs w:val="28"/>
          <w:lang w:val="en-GB"/>
        </w:rPr>
      </w:pPr>
      <w:hyperlink r:id="rId7" w:anchor="b18" w:history="1">
        <w:r w:rsidRPr="002B32ED">
          <w:rPr>
            <w:rStyle w:val="Hyperlink"/>
            <w:rFonts w:ascii="Arial" w:hAnsi="Arial" w:cs="Arial"/>
            <w:color w:val="auto"/>
            <w:sz w:val="28"/>
            <w:szCs w:val="28"/>
            <w:u w:val="none"/>
          </w:rPr>
          <w:t>Cremin, Thomas &amp; Vincett (2003</w:t>
        </w:r>
      </w:hyperlink>
      <w:r w:rsidRPr="002B32ED">
        <w:rPr>
          <w:rFonts w:ascii="Arial" w:hAnsi="Arial" w:cs="Arial"/>
          <w:sz w:val="28"/>
          <w:szCs w:val="28"/>
        </w:rPr>
        <w:t>)</w:t>
      </w:r>
      <w:r w:rsidRPr="00BB3A20">
        <w:rPr>
          <w:rFonts w:ascii="Arial" w:hAnsi="Arial" w:cs="Arial"/>
          <w:sz w:val="28"/>
          <w:szCs w:val="28"/>
        </w:rPr>
        <w:t xml:space="preserve"> </w:t>
      </w:r>
      <w:r w:rsidRPr="00BB3A20">
        <w:rPr>
          <w:rFonts w:ascii="Arial" w:hAnsi="Arial" w:cs="Arial"/>
          <w:color w:val="1C1D1E"/>
          <w:sz w:val="28"/>
          <w:szCs w:val="28"/>
        </w:rPr>
        <w:t>have identified three specific models for improving teamwork between teachers and TAs in classrooms. The study by Cremin and her colleagues is an important indicator that there are several approaches to using learning support but need careful planning and management if they are to be effective. Their research suggests that schools need to support staff in developing a range of models to improve the collaboration between teachers and TA’s and also to analyse when each is most effective to learning.</w:t>
      </w:r>
    </w:p>
    <w:p w:rsidR="002B32ED" w:rsidRPr="00BB3A20" w:rsidRDefault="002B32ED" w:rsidP="002B32ED">
      <w:pPr>
        <w:rPr>
          <w:rFonts w:ascii="Arial" w:hAnsi="Arial" w:cs="Arial"/>
          <w:sz w:val="28"/>
          <w:szCs w:val="28"/>
          <w:lang w:val="en-GB"/>
        </w:rPr>
      </w:pPr>
      <w:r w:rsidRPr="00BB3A20">
        <w:rPr>
          <w:rFonts w:ascii="Arial" w:hAnsi="Arial" w:cs="Arial"/>
          <w:sz w:val="28"/>
          <w:szCs w:val="28"/>
          <w:lang w:val="en-GB"/>
        </w:rPr>
        <w:t xml:space="preserve">A claim in Mackenzie’s article is the lack of understanding of inclusion. “One area in which there has been a lack of shared understanding is in teachers’ and TA’s understandings of inclusion” (Lawson et al, 2006, Sikes et al, 2007 quoted in Mackenzie, 2011). Mackenzie’s article attempts to analyse the ‘yes, buts’ around inclusion, particularly around the tension of the tension between inclusive policy and actual classroom practice (Mackenzie, 2011). Mackenzie describes that the respondents were supportive for the idea of inclusion but then experienced ambivalent feelings about the practice. “There was a clear tension between the ideal of inclusion and their own subjective experiences and personal understandingsof inclusion” (Mackenzie, 2011). Jill was generally supportive of inclusion in her case study, but she felt that TA’s were ‘propping up’ inclusion because pressures on teachers to meet Government targets were leading to bad practice within the classroom and </w:t>
      </w:r>
      <w:r w:rsidRPr="00BB3A20">
        <w:rPr>
          <w:rFonts w:ascii="Arial" w:hAnsi="Arial" w:cs="Arial"/>
          <w:sz w:val="28"/>
          <w:szCs w:val="28"/>
          <w:lang w:val="en-GB"/>
        </w:rPr>
        <w:lastRenderedPageBreak/>
        <w:t xml:space="preserve">she believed that expectations that children with special educational needs could achieve were unrealistic. </w:t>
      </w:r>
    </w:p>
    <w:p w:rsidR="002B32ED" w:rsidRPr="00BB3A20" w:rsidRDefault="002B32ED" w:rsidP="002B32ED">
      <w:pPr>
        <w:rPr>
          <w:rFonts w:ascii="Arial" w:hAnsi="Arial" w:cs="Arial"/>
          <w:sz w:val="28"/>
          <w:szCs w:val="28"/>
          <w:lang w:val="en-GB"/>
        </w:rPr>
      </w:pPr>
    </w:p>
    <w:p w:rsidR="002B32ED" w:rsidRPr="00BB3A20" w:rsidRDefault="002B32ED" w:rsidP="002B32ED">
      <w:pPr>
        <w:rPr>
          <w:rFonts w:ascii="Arial" w:hAnsi="Arial" w:cs="Arial"/>
          <w:b/>
          <w:sz w:val="28"/>
          <w:szCs w:val="28"/>
          <w:u w:val="single"/>
          <w:lang w:val="en-GB"/>
        </w:rPr>
      </w:pPr>
      <w:r w:rsidRPr="00BB3A20">
        <w:rPr>
          <w:rFonts w:ascii="Arial" w:hAnsi="Arial" w:cs="Arial"/>
          <w:sz w:val="28"/>
          <w:szCs w:val="28"/>
          <w:lang w:val="en-GB"/>
        </w:rPr>
        <w:t xml:space="preserve">In conclusion, Mackenzie’s study did not find positive collaboration between teachers and teaching assistants. The relationships were full of tensions, misunderstandings and even antagonism (Mackenzie, 2011). </w:t>
      </w:r>
      <w:r w:rsidRPr="00BB3A20">
        <w:rPr>
          <w:rFonts w:ascii="Arial" w:hAnsi="Arial" w:cs="Arial"/>
          <w:color w:val="1C1D1E"/>
          <w:sz w:val="28"/>
          <w:szCs w:val="28"/>
        </w:rPr>
        <w:t xml:space="preserve">Teachers and Teaching Assistant’s often do not agree on what their role is in a classroom; whether it is as ‘an extra pair of hands’, to support the children with special educational needs in their learning, or managing difficult behaviour, and this could be the reason that generally collaboration between teachers and teaching assistants appears difficult to achieve. Mackenzie’s article claims that where there is clarity between teachers and teaching assistants on the TA’s role, collaboration is improved. </w:t>
      </w:r>
      <w:r w:rsidRPr="00BB3A20">
        <w:rPr>
          <w:rFonts w:ascii="Arial" w:hAnsi="Arial" w:cs="Arial"/>
          <w:sz w:val="28"/>
          <w:szCs w:val="28"/>
          <w:lang w:val="en-GB"/>
        </w:rPr>
        <w:t xml:space="preserve">The teaching assistants experienced ambiguities and conflicts around inclusion. Having said that all of the teaching assistants included in the case study remained working with children with special educational needs. Some of the case studies were contradictory, the teaching assistants complained of the hardship but wanted to stay in the profession. For example, Una and Moira gave contradicting views-  Although the article held lots of truths it only reflects the opinions of a small sample of teaching assistants and the sample was unbalanced as it was majoritly female. </w:t>
      </w:r>
    </w:p>
    <w:p w:rsidR="002B32ED" w:rsidRPr="00BB3A20" w:rsidRDefault="002B32ED" w:rsidP="002B32ED">
      <w:pPr>
        <w:rPr>
          <w:rFonts w:ascii="Arial" w:hAnsi="Arial" w:cs="Arial"/>
          <w:b/>
          <w:sz w:val="28"/>
          <w:szCs w:val="28"/>
          <w:u w:val="single"/>
          <w:lang w:val="en-GB"/>
        </w:rPr>
      </w:pPr>
      <w:r w:rsidRPr="00BB3A20">
        <w:rPr>
          <w:rFonts w:ascii="Arial" w:hAnsi="Arial" w:cs="Arial"/>
          <w:b/>
          <w:sz w:val="28"/>
          <w:szCs w:val="28"/>
          <w:u w:val="single"/>
          <w:lang w:val="en-GB"/>
        </w:rPr>
        <w:t>Reference List:</w:t>
      </w:r>
    </w:p>
    <w:p w:rsidR="002B32ED" w:rsidRPr="00BB3A20" w:rsidRDefault="002B32ED" w:rsidP="002B32ED">
      <w:pPr>
        <w:spacing w:after="0" w:line="240" w:lineRule="auto"/>
        <w:rPr>
          <w:rFonts w:ascii="Arial" w:eastAsia="Times New Roman" w:hAnsi="Arial" w:cs="Arial"/>
          <w:color w:val="2F7BAE"/>
          <w:sz w:val="28"/>
          <w:szCs w:val="28"/>
        </w:rPr>
      </w:pPr>
      <w:r w:rsidRPr="00BB3A20">
        <w:rPr>
          <w:rFonts w:ascii="Arial" w:eastAsia="Times New Roman" w:hAnsi="Arial" w:cs="Arial"/>
          <w:color w:val="1C1D1E"/>
          <w:sz w:val="28"/>
          <w:szCs w:val="28"/>
        </w:rPr>
        <w:t xml:space="preserve">Clarke, C., Dyson, A., Millward, A. &amp; Robson, C. (1999) ‘Theories of inclusion. Theories of schools: deconstructing and reconstructing the inclusive school. </w:t>
      </w:r>
      <w:r w:rsidRPr="00BB3A20">
        <w:rPr>
          <w:rFonts w:ascii="Arial" w:eastAsia="Times New Roman" w:hAnsi="Arial" w:cs="Arial"/>
          <w:i/>
          <w:iCs/>
          <w:color w:val="1C1D1E"/>
          <w:sz w:val="28"/>
          <w:szCs w:val="28"/>
        </w:rPr>
        <w:t>British Educational Research Journal</w:t>
      </w:r>
      <w:r w:rsidRPr="00BB3A20">
        <w:rPr>
          <w:rFonts w:ascii="Arial" w:eastAsia="Times New Roman" w:hAnsi="Arial" w:cs="Arial"/>
          <w:color w:val="1C1D1E"/>
          <w:sz w:val="28"/>
          <w:szCs w:val="28"/>
        </w:rPr>
        <w:t xml:space="preserve">, </w:t>
      </w:r>
      <w:r w:rsidRPr="00BB3A20">
        <w:rPr>
          <w:rFonts w:ascii="Arial" w:eastAsia="Times New Roman" w:hAnsi="Arial" w:cs="Arial"/>
          <w:b/>
          <w:bCs/>
          <w:color w:val="1C1D1E"/>
          <w:sz w:val="28"/>
          <w:szCs w:val="28"/>
        </w:rPr>
        <w:t>25</w:t>
      </w:r>
      <w:r w:rsidRPr="00BB3A20">
        <w:rPr>
          <w:rFonts w:ascii="Arial" w:eastAsia="Times New Roman" w:hAnsi="Arial" w:cs="Arial"/>
          <w:color w:val="1C1D1E"/>
          <w:sz w:val="28"/>
          <w:szCs w:val="28"/>
        </w:rPr>
        <w:t xml:space="preserve"> (2), pp. 157–77. Available </w:t>
      </w:r>
      <w:r w:rsidRPr="00BB3A20">
        <w:rPr>
          <w:rFonts w:ascii="Arial" w:eastAsia="Times New Roman" w:hAnsi="Arial" w:cs="Arial"/>
          <w:sz w:val="28"/>
          <w:szCs w:val="28"/>
        </w:rPr>
        <w:t xml:space="preserve">at </w:t>
      </w:r>
      <w:hyperlink r:id="rId8" w:tgtFrame="_blank" w:history="1">
        <w:r w:rsidRPr="00BB3A20">
          <w:rPr>
            <w:rFonts w:ascii="Arial" w:eastAsia="Times New Roman" w:hAnsi="Arial" w:cs="Arial"/>
            <w:sz w:val="28"/>
            <w:szCs w:val="28"/>
          </w:rPr>
          <w:t>Wiley Online Library</w:t>
        </w:r>
      </w:hyperlink>
    </w:p>
    <w:p w:rsidR="002B32ED" w:rsidRPr="00BB3A20" w:rsidRDefault="002B32ED" w:rsidP="002B32ED">
      <w:pPr>
        <w:spacing w:after="0" w:line="240" w:lineRule="auto"/>
        <w:rPr>
          <w:rFonts w:ascii="Arial" w:eastAsia="Times New Roman" w:hAnsi="Arial" w:cs="Arial"/>
          <w:color w:val="2F7BAE"/>
          <w:sz w:val="28"/>
          <w:szCs w:val="28"/>
        </w:rPr>
      </w:pPr>
    </w:p>
    <w:p w:rsidR="002B32ED" w:rsidRPr="00BB3A20" w:rsidRDefault="002B32ED" w:rsidP="002B32ED">
      <w:pPr>
        <w:spacing w:after="0" w:line="240" w:lineRule="auto"/>
        <w:rPr>
          <w:rFonts w:ascii="Arial" w:eastAsia="Times New Roman" w:hAnsi="Arial" w:cs="Arial"/>
          <w:sz w:val="28"/>
          <w:szCs w:val="28"/>
        </w:rPr>
      </w:pPr>
      <w:r w:rsidRPr="00BB3A20">
        <w:rPr>
          <w:rFonts w:ascii="Arial" w:eastAsia="Times New Roman" w:hAnsi="Arial" w:cs="Arial"/>
          <w:color w:val="1C1D1E"/>
          <w:sz w:val="28"/>
          <w:szCs w:val="28"/>
        </w:rPr>
        <w:t>Cremin, H., Thomas, G. &amp; Vincett, K. (2003) ‘Learning zones: an evaluation of three models for improving learning through teacher/teaching assistant teamwork.’</w:t>
      </w:r>
      <w:r w:rsidRPr="00BB3A20">
        <w:rPr>
          <w:rFonts w:ascii="Arial" w:eastAsia="Times New Roman" w:hAnsi="Arial" w:cs="Arial"/>
          <w:i/>
          <w:iCs/>
          <w:color w:val="1C1D1E"/>
          <w:sz w:val="28"/>
          <w:szCs w:val="28"/>
        </w:rPr>
        <w:t>Support for Learning</w:t>
      </w:r>
      <w:r w:rsidRPr="00BB3A20">
        <w:rPr>
          <w:rFonts w:ascii="Arial" w:eastAsia="Times New Roman" w:hAnsi="Arial" w:cs="Arial"/>
          <w:color w:val="1C1D1E"/>
          <w:sz w:val="28"/>
          <w:szCs w:val="28"/>
        </w:rPr>
        <w:t xml:space="preserve">, </w:t>
      </w:r>
      <w:r w:rsidRPr="00BB3A20">
        <w:rPr>
          <w:rFonts w:ascii="Arial" w:eastAsia="Times New Roman" w:hAnsi="Arial" w:cs="Arial"/>
          <w:b/>
          <w:bCs/>
          <w:color w:val="1C1D1E"/>
          <w:sz w:val="28"/>
          <w:szCs w:val="28"/>
        </w:rPr>
        <w:t>18</w:t>
      </w:r>
      <w:r w:rsidRPr="00BB3A20">
        <w:rPr>
          <w:rFonts w:ascii="Arial" w:eastAsia="Times New Roman" w:hAnsi="Arial" w:cs="Arial"/>
          <w:color w:val="1C1D1E"/>
          <w:sz w:val="28"/>
          <w:szCs w:val="28"/>
        </w:rPr>
        <w:t xml:space="preserve"> (4), pp. 154–61. Available at </w:t>
      </w:r>
      <w:hyperlink r:id="rId9" w:tgtFrame="_blank" w:history="1">
        <w:r w:rsidRPr="00BB3A20">
          <w:rPr>
            <w:rFonts w:ascii="Arial" w:eastAsia="Times New Roman" w:hAnsi="Arial" w:cs="Arial"/>
            <w:sz w:val="28"/>
            <w:szCs w:val="28"/>
          </w:rPr>
          <w:t>Wiley Online Library</w:t>
        </w:r>
      </w:hyperlink>
      <w:hyperlink r:id="rId10" w:tgtFrame="_blank" w:history="1">
        <w:r w:rsidRPr="00BB3A20">
          <w:rPr>
            <w:rFonts w:ascii="Arial" w:eastAsia="Times New Roman" w:hAnsi="Arial" w:cs="Arial"/>
            <w:sz w:val="28"/>
            <w:szCs w:val="28"/>
          </w:rPr>
          <w:t>Google Scholar</w:t>
        </w:r>
      </w:hyperlink>
      <w:r w:rsidRPr="00BB3A20">
        <w:rPr>
          <w:rFonts w:ascii="Arial" w:eastAsia="Times New Roman" w:hAnsi="Arial" w:cs="Arial"/>
          <w:sz w:val="28"/>
          <w:szCs w:val="28"/>
        </w:rPr>
        <w:t xml:space="preserve"> </w:t>
      </w:r>
    </w:p>
    <w:p w:rsidR="002B32ED" w:rsidRPr="00BB3A20" w:rsidRDefault="002B32ED" w:rsidP="002B32ED">
      <w:pPr>
        <w:spacing w:after="0" w:line="240" w:lineRule="auto"/>
        <w:rPr>
          <w:rFonts w:ascii="Arial" w:eastAsia="Times New Roman" w:hAnsi="Arial" w:cs="Arial"/>
          <w:sz w:val="28"/>
          <w:szCs w:val="28"/>
        </w:rPr>
      </w:pPr>
    </w:p>
    <w:p w:rsidR="002B32ED" w:rsidRPr="00BB3A20" w:rsidRDefault="002B32ED" w:rsidP="002B32ED">
      <w:pPr>
        <w:spacing w:after="0" w:line="240" w:lineRule="auto"/>
        <w:rPr>
          <w:rFonts w:ascii="Arial" w:eastAsia="Times New Roman" w:hAnsi="Arial" w:cs="Arial"/>
          <w:sz w:val="28"/>
          <w:szCs w:val="28"/>
        </w:rPr>
      </w:pPr>
      <w:r w:rsidRPr="00BB3A20">
        <w:rPr>
          <w:rFonts w:ascii="Arial" w:eastAsia="Times New Roman" w:hAnsi="Arial" w:cs="Arial"/>
          <w:sz w:val="28"/>
          <w:szCs w:val="28"/>
        </w:rPr>
        <w:t>Lawson, H. Parker, M and Sikes, P (2006</w:t>
      </w:r>
      <w:r w:rsidRPr="00BB3A20">
        <w:rPr>
          <w:rFonts w:ascii="Arial" w:eastAsia="Times New Roman" w:hAnsi="Arial" w:cs="Arial"/>
          <w:i/>
          <w:sz w:val="28"/>
          <w:szCs w:val="28"/>
        </w:rPr>
        <w:t>) Seeking Stories: reflections on a narrative approach to reasearching understandings of inclusion.</w:t>
      </w:r>
      <w:r w:rsidRPr="00BB3A20">
        <w:rPr>
          <w:rFonts w:ascii="Arial" w:eastAsia="Times New Roman" w:hAnsi="Arial" w:cs="Arial"/>
          <w:sz w:val="28"/>
          <w:szCs w:val="28"/>
        </w:rPr>
        <w:t xml:space="preserve"> British Journal of Special Needs Education, 21, 1, 55-68. </w:t>
      </w:r>
    </w:p>
    <w:p w:rsidR="002B32ED" w:rsidRPr="00BB3A20" w:rsidRDefault="002B32ED" w:rsidP="002B32ED">
      <w:pPr>
        <w:spacing w:after="0" w:line="240" w:lineRule="auto"/>
        <w:rPr>
          <w:rFonts w:ascii="Arial" w:eastAsia="Times New Roman" w:hAnsi="Arial" w:cs="Arial"/>
          <w:sz w:val="28"/>
          <w:szCs w:val="28"/>
        </w:rPr>
      </w:pPr>
    </w:p>
    <w:p w:rsidR="002B32ED" w:rsidRPr="00BB3A20" w:rsidRDefault="002B32ED" w:rsidP="002B32ED">
      <w:pPr>
        <w:spacing w:after="0" w:line="240" w:lineRule="auto"/>
        <w:rPr>
          <w:rFonts w:ascii="Arial" w:eastAsia="Times New Roman" w:hAnsi="Arial" w:cs="Arial"/>
          <w:i/>
          <w:sz w:val="28"/>
          <w:szCs w:val="28"/>
        </w:rPr>
      </w:pPr>
      <w:r w:rsidRPr="00BB3A20">
        <w:rPr>
          <w:rFonts w:ascii="Arial" w:eastAsia="Times New Roman" w:hAnsi="Arial" w:cs="Arial"/>
          <w:sz w:val="28"/>
          <w:szCs w:val="28"/>
        </w:rPr>
        <w:lastRenderedPageBreak/>
        <w:t xml:space="preserve">Mackenzie, S (2011) </w:t>
      </w:r>
      <w:r w:rsidRPr="00BB3A20">
        <w:rPr>
          <w:rFonts w:ascii="Arial" w:eastAsia="Times New Roman" w:hAnsi="Arial" w:cs="Arial"/>
          <w:i/>
          <w:sz w:val="28"/>
          <w:szCs w:val="28"/>
        </w:rPr>
        <w:t>‘Yes, but…’ rhetoric, reality and resistance in teaching assistants’ experiences of inclusive education.</w:t>
      </w:r>
      <w:r w:rsidRPr="00BB3A20">
        <w:rPr>
          <w:rFonts w:ascii="Arial" w:eastAsia="Times New Roman" w:hAnsi="Arial" w:cs="Arial"/>
          <w:sz w:val="28"/>
          <w:szCs w:val="28"/>
        </w:rPr>
        <w:t xml:space="preserve"> Oxford: Blackwell. </w:t>
      </w:r>
    </w:p>
    <w:p w:rsidR="002B32ED" w:rsidRPr="00BB3A20" w:rsidRDefault="002B32ED" w:rsidP="002B32ED">
      <w:pPr>
        <w:rPr>
          <w:rFonts w:ascii="Arial" w:hAnsi="Arial" w:cs="Arial"/>
          <w:b/>
          <w:sz w:val="28"/>
          <w:szCs w:val="28"/>
          <w:u w:val="single"/>
          <w:lang w:val="en-GB"/>
        </w:rPr>
      </w:pPr>
    </w:p>
    <w:p w:rsidR="002B32ED" w:rsidRPr="002B32ED" w:rsidRDefault="002B32ED" w:rsidP="002B32ED">
      <w:pPr>
        <w:spacing w:after="0" w:line="240" w:lineRule="auto"/>
        <w:rPr>
          <w:rFonts w:ascii="Arial" w:eastAsia="Times New Roman" w:hAnsi="Arial" w:cs="Arial"/>
          <w:sz w:val="28"/>
          <w:szCs w:val="28"/>
        </w:rPr>
      </w:pPr>
      <w:r w:rsidRPr="00BB3A20">
        <w:rPr>
          <w:rFonts w:ascii="Arial" w:eastAsia="Times New Roman" w:hAnsi="Arial" w:cs="Arial"/>
          <w:color w:val="1C1D1E"/>
          <w:sz w:val="28"/>
          <w:szCs w:val="28"/>
        </w:rPr>
        <w:t xml:space="preserve">O'Brien, T. (1998) </w:t>
      </w:r>
      <w:r w:rsidRPr="00BB3A20">
        <w:rPr>
          <w:rFonts w:ascii="Arial" w:eastAsia="Times New Roman" w:hAnsi="Arial" w:cs="Arial"/>
          <w:i/>
          <w:iCs/>
          <w:color w:val="1C1D1E"/>
          <w:sz w:val="28"/>
          <w:szCs w:val="28"/>
        </w:rPr>
        <w:t>Promoting Positive Behaviour</w:t>
      </w:r>
      <w:r w:rsidRPr="00BB3A20">
        <w:rPr>
          <w:rFonts w:ascii="Arial" w:eastAsia="Times New Roman" w:hAnsi="Arial" w:cs="Arial"/>
          <w:color w:val="1C1D1E"/>
          <w:sz w:val="28"/>
          <w:szCs w:val="28"/>
        </w:rPr>
        <w:t xml:space="preserve">. London: David Fulton. Available at: </w:t>
      </w:r>
      <w:hyperlink r:id="rId11" w:history="1">
        <w:r w:rsidRPr="002B32ED">
          <w:rPr>
            <w:rStyle w:val="Hyperlink"/>
            <w:rFonts w:ascii="Arial" w:eastAsia="Times New Roman" w:hAnsi="Arial" w:cs="Arial"/>
            <w:color w:val="auto"/>
            <w:sz w:val="28"/>
            <w:szCs w:val="28"/>
            <w:u w:val="none"/>
          </w:rPr>
          <w:t>https://scholar.google.com/scholar_lookup?hl=en&amp;volume=Educational+Review&amp;publication_year=1998&amp;pages=%0AO%27Brien%2C+T.+%281998%29+Promoting+Positive+Behaviour.+London%3A+David+Fulton.&amp;journal=15767&amp;issue=53&amp;author=T.+O%27Brien&amp;title=Promoting+Positive+Behaviour&amp;doi=2</w:t>
        </w:r>
      </w:hyperlink>
    </w:p>
    <w:p w:rsidR="002B32ED" w:rsidRPr="00BB3A20" w:rsidRDefault="002B32ED" w:rsidP="002B32ED">
      <w:pPr>
        <w:spacing w:after="0" w:line="240" w:lineRule="auto"/>
        <w:rPr>
          <w:rFonts w:ascii="Arial" w:eastAsia="Times New Roman" w:hAnsi="Arial" w:cs="Arial"/>
          <w:color w:val="1C1D1E"/>
          <w:sz w:val="28"/>
          <w:szCs w:val="28"/>
        </w:rPr>
      </w:pPr>
    </w:p>
    <w:p w:rsidR="002B32ED" w:rsidRPr="00BB3A20" w:rsidRDefault="002B32ED" w:rsidP="002B32ED">
      <w:pPr>
        <w:spacing w:after="0" w:line="240" w:lineRule="auto"/>
        <w:rPr>
          <w:rFonts w:ascii="Arial" w:eastAsia="Times New Roman" w:hAnsi="Arial" w:cs="Arial"/>
          <w:color w:val="1C1D1E"/>
          <w:sz w:val="28"/>
          <w:szCs w:val="28"/>
        </w:rPr>
      </w:pPr>
      <w:r w:rsidRPr="00BB3A20">
        <w:rPr>
          <w:rFonts w:ascii="Arial" w:eastAsia="Times New Roman" w:hAnsi="Arial" w:cs="Arial"/>
          <w:color w:val="1C1D1E"/>
          <w:sz w:val="28"/>
          <w:szCs w:val="28"/>
        </w:rPr>
        <w:t xml:space="preserve">O’Brien, T. and Garner, P (eds) (2001) </w:t>
      </w:r>
      <w:r w:rsidRPr="00BB3A20">
        <w:rPr>
          <w:rFonts w:ascii="Arial" w:eastAsia="Times New Roman" w:hAnsi="Arial" w:cs="Arial"/>
          <w:i/>
          <w:color w:val="1C1D1E"/>
          <w:sz w:val="28"/>
          <w:szCs w:val="28"/>
        </w:rPr>
        <w:t>Untold stories: Learning Support Assistants and Their Work.</w:t>
      </w:r>
      <w:r w:rsidRPr="00BB3A20">
        <w:rPr>
          <w:rFonts w:ascii="Arial" w:eastAsia="Times New Roman" w:hAnsi="Arial" w:cs="Arial"/>
          <w:color w:val="1C1D1E"/>
          <w:sz w:val="28"/>
          <w:szCs w:val="28"/>
        </w:rPr>
        <w:t xml:space="preserve"> Stoke on Trent: Trentham Books. </w:t>
      </w:r>
    </w:p>
    <w:p w:rsidR="002B32ED" w:rsidRPr="00BB3A20" w:rsidRDefault="002B32ED" w:rsidP="002B32ED">
      <w:pPr>
        <w:spacing w:after="0" w:line="240" w:lineRule="auto"/>
        <w:rPr>
          <w:rFonts w:ascii="Arial" w:eastAsia="Times New Roman" w:hAnsi="Arial" w:cs="Arial"/>
          <w:color w:val="1C1D1E"/>
          <w:sz w:val="28"/>
          <w:szCs w:val="28"/>
        </w:rPr>
      </w:pPr>
    </w:p>
    <w:p w:rsidR="002B32ED" w:rsidRPr="00BB3A20" w:rsidRDefault="002B32ED" w:rsidP="002B32ED">
      <w:pPr>
        <w:spacing w:after="0" w:line="240" w:lineRule="auto"/>
        <w:rPr>
          <w:rFonts w:ascii="Arial" w:eastAsia="Times New Roman" w:hAnsi="Arial" w:cs="Arial"/>
          <w:color w:val="1C1D1E"/>
          <w:sz w:val="28"/>
          <w:szCs w:val="28"/>
        </w:rPr>
      </w:pPr>
      <w:r w:rsidRPr="00BB3A20">
        <w:rPr>
          <w:rFonts w:ascii="Arial" w:eastAsia="Times New Roman" w:hAnsi="Arial" w:cs="Arial"/>
          <w:color w:val="1C1D1E"/>
          <w:sz w:val="28"/>
          <w:szCs w:val="28"/>
        </w:rPr>
        <w:t xml:space="preserve">Roaf, C. (2003) ‘Learning support assistants talk about inclusion.’ In Nind, M., Rix, J., Sheehy, K. &amp; Simmons, K. (eds) </w:t>
      </w:r>
      <w:r w:rsidRPr="00BB3A20">
        <w:rPr>
          <w:rFonts w:ascii="Arial" w:eastAsia="Times New Roman" w:hAnsi="Arial" w:cs="Arial"/>
          <w:i/>
          <w:iCs/>
          <w:color w:val="1C1D1E"/>
          <w:sz w:val="28"/>
          <w:szCs w:val="28"/>
        </w:rPr>
        <w:t>Inclusive Education: Diverse Perspectives</w:t>
      </w:r>
      <w:r w:rsidRPr="00BB3A20">
        <w:rPr>
          <w:rFonts w:ascii="Arial" w:eastAsia="Times New Roman" w:hAnsi="Arial" w:cs="Arial"/>
          <w:color w:val="1C1D1E"/>
          <w:sz w:val="28"/>
          <w:szCs w:val="28"/>
        </w:rPr>
        <w:t xml:space="preserve">, pp. 221–40. London: David Fulton. Available at: </w:t>
      </w:r>
      <w:hyperlink r:id="rId12" w:tgtFrame="_blank" w:history="1">
        <w:r w:rsidRPr="00BB3A20">
          <w:rPr>
            <w:rFonts w:ascii="Arial" w:eastAsia="Times New Roman" w:hAnsi="Arial" w:cs="Arial"/>
            <w:sz w:val="28"/>
            <w:szCs w:val="28"/>
          </w:rPr>
          <w:t>Google Scholar</w:t>
        </w:r>
      </w:hyperlink>
      <w:r w:rsidRPr="00BB3A20">
        <w:rPr>
          <w:rFonts w:ascii="Arial" w:eastAsia="Times New Roman" w:hAnsi="Arial" w:cs="Arial"/>
          <w:sz w:val="28"/>
          <w:szCs w:val="28"/>
        </w:rPr>
        <w:t xml:space="preserve"> </w:t>
      </w:r>
    </w:p>
    <w:p w:rsidR="002B32ED" w:rsidRPr="00BB3A20" w:rsidRDefault="002B32ED" w:rsidP="002B32ED">
      <w:pPr>
        <w:rPr>
          <w:rFonts w:ascii="Arial" w:hAnsi="Arial" w:cs="Arial"/>
          <w:sz w:val="28"/>
          <w:szCs w:val="28"/>
          <w:lang w:val="en-GB"/>
        </w:rPr>
      </w:pPr>
    </w:p>
    <w:p w:rsidR="002B32ED" w:rsidRPr="00BB3A20" w:rsidRDefault="002B32ED" w:rsidP="002B32ED">
      <w:pPr>
        <w:rPr>
          <w:rFonts w:ascii="Arial" w:hAnsi="Arial" w:cs="Arial"/>
          <w:sz w:val="28"/>
          <w:szCs w:val="28"/>
          <w:lang w:val="en-GB"/>
        </w:rPr>
      </w:pPr>
    </w:p>
    <w:p w:rsidR="002B32ED" w:rsidRPr="002B32ED" w:rsidRDefault="002B32ED" w:rsidP="00CE3835">
      <w:pPr>
        <w:rPr>
          <w:rFonts w:ascii="Arial" w:hAnsi="Arial" w:cs="Arial"/>
          <w:sz w:val="28"/>
          <w:lang w:val="en-GB"/>
        </w:rPr>
      </w:pPr>
    </w:p>
    <w:sectPr w:rsidR="002B32ED" w:rsidRPr="002B32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05103C"/>
    <w:multiLevelType w:val="hybridMultilevel"/>
    <w:tmpl w:val="4620B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D85F5C"/>
    <w:multiLevelType w:val="multilevel"/>
    <w:tmpl w:val="E3027E50"/>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075"/>
    <w:rsid w:val="00033FC9"/>
    <w:rsid w:val="00186606"/>
    <w:rsid w:val="00225AD5"/>
    <w:rsid w:val="00247C4E"/>
    <w:rsid w:val="002B32ED"/>
    <w:rsid w:val="00316339"/>
    <w:rsid w:val="00377B6D"/>
    <w:rsid w:val="0039557D"/>
    <w:rsid w:val="00451E90"/>
    <w:rsid w:val="004D0A24"/>
    <w:rsid w:val="005B6677"/>
    <w:rsid w:val="006E5DDF"/>
    <w:rsid w:val="007C32E9"/>
    <w:rsid w:val="00817075"/>
    <w:rsid w:val="008E1EDD"/>
    <w:rsid w:val="00A45B88"/>
    <w:rsid w:val="00AC4F0B"/>
    <w:rsid w:val="00CE3835"/>
    <w:rsid w:val="00D067FC"/>
    <w:rsid w:val="00D242A2"/>
    <w:rsid w:val="00D76603"/>
    <w:rsid w:val="00E26AD3"/>
    <w:rsid w:val="00E86741"/>
    <w:rsid w:val="00EA5B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1D667B-2E65-4B7E-89B3-1E7BACE98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6603"/>
    <w:pPr>
      <w:ind w:left="720"/>
      <w:contextualSpacing/>
    </w:pPr>
  </w:style>
  <w:style w:type="character" w:styleId="Hyperlink">
    <w:name w:val="Hyperlink"/>
    <w:basedOn w:val="DefaultParagraphFont"/>
    <w:uiPriority w:val="99"/>
    <w:unhideWhenUsed/>
    <w:rsid w:val="002B32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10.1080/014119299025020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library.wiley.com/doi/full/10.1111/j.1471-3802.2005.00035.x" TargetMode="External"/><Relationship Id="rId12" Type="http://schemas.openxmlformats.org/officeDocument/2006/relationships/hyperlink" Target="http://scholar.google.com/scholar_lookup?hl=en&amp;volume=Educational+Review&amp;publication_year=2003&amp;pages=%0ARoaf%2C+C.+%282003%29+%E2%80%98Learning+support+assistants+talk+about+inclusion.%E2%80%99+In+Nind%2C+M.%2C+%0ARix%2C+J.%2C+%0ASheehy%2C+K.+%26+%0ASimmons%2C+K.+%28eds%29+%0AInclusive+Education%3A+Diverse+Perspectives%2C+pp.+221%E2%80%9340.+London%3A+David+Fulton.%0A&amp;journal=157-67&amp;issue=53&amp;author=C.+Roaf&amp;isbn=221-40&amp;title=Inclusive+Education%3A+Diverse+Perspectives&amp;doi=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nlinelibrary.wiley.com/doi/full/10.1111/j.1471-3802.2005.00035.x" TargetMode="External"/><Relationship Id="rId11" Type="http://schemas.openxmlformats.org/officeDocument/2006/relationships/hyperlink" Target="https://scholar.google.com/scholar_lookup?hl=en&amp;volume=Educational+Review&amp;publication_year=1998&amp;pages=%0AO%27Brien%2C+T.+%281998%29+Promoting+Positive+Behaviour.+London%3A+David+Fulton.&amp;journal=15767&amp;issue=53&amp;author=T.+O%27Brien&amp;title=Promoting+Positive+Behaviour&amp;doi=2" TargetMode="External"/><Relationship Id="rId5" Type="http://schemas.openxmlformats.org/officeDocument/2006/relationships/hyperlink" Target="https://onlinelibrary.wiley.com/doi/full/10.1111/j.1471-3802.2005.00035.x" TargetMode="External"/><Relationship Id="rId10" Type="http://schemas.openxmlformats.org/officeDocument/2006/relationships/hyperlink" Target="http://scholar.google.com/scholar_lookup?hl=en&amp;volume=Support+for+Learning&amp;publication_year=2003&amp;pages=%0ACremin%2C+H.%2C+%0AThomas%2C+G.+%26+%0AVincett%2C+K.+%282003%29+%E2%80%98Learning+zones%3A+an+evaluation+of+three+models+for+improving+learning+through+teacher%2Fteaching+assistant+teamwork.%E2%80%99Support+for+Learning%2C+18+%284%29%2C+pp.+154%E2%80%9361.%0A&amp;journal=154-61&amp;issue=18&amp;author=H.+Creminauthor=G.+Thomasauthor=K.+Vincett&amp;isbn=67-83&amp;title=%E2%80%98Learning+zones%3A+an+evaluation+of+three+models+for+improving+learning+through+teacher%2Fteaching+assistant+teamwork.%E2%80%99&amp;doi=4" TargetMode="External"/><Relationship Id="rId4" Type="http://schemas.openxmlformats.org/officeDocument/2006/relationships/webSettings" Target="webSettings.xml"/><Relationship Id="rId9" Type="http://schemas.openxmlformats.org/officeDocument/2006/relationships/hyperlink" Target="https://onlinelibrary.wiley.com/doi/10.1046/j.0268-2141.2003.00301.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7</Pages>
  <Words>2253</Words>
  <Characters>12845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massam</dc:creator>
  <cp:keywords/>
  <dc:description/>
  <cp:lastModifiedBy>leanne massam</cp:lastModifiedBy>
  <cp:revision>21</cp:revision>
  <dcterms:created xsi:type="dcterms:W3CDTF">2018-10-08T18:23:00Z</dcterms:created>
  <dcterms:modified xsi:type="dcterms:W3CDTF">2018-10-29T10:10:00Z</dcterms:modified>
</cp:coreProperties>
</file>