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0237AA4E"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B326CB">
        <w:rPr>
          <w:rFonts w:ascii="Aptos" w:hAnsi="Aptos" w:cs="Arial"/>
          <w:sz w:val="28"/>
          <w:szCs w:val="28"/>
          <w:lang w:val="nl-NL"/>
        </w:rPr>
        <w:t xml:space="preserve"> Zoe Preston</w:t>
      </w:r>
    </w:p>
    <w:p w14:paraId="4D060E17" w14:textId="7B259149"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B326CB">
        <w:rPr>
          <w:rFonts w:ascii="Aptos" w:hAnsi="Aptos" w:cs="Arial"/>
          <w:sz w:val="28"/>
          <w:szCs w:val="28"/>
          <w:lang w:val="nl-NL"/>
        </w:rPr>
        <w:t xml:space="preserve"> 2222114</w:t>
      </w:r>
    </w:p>
    <w:p w14:paraId="7C577260"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41CBCDE7" w14:textId="2DC58EDE"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Module name</w:t>
      </w:r>
      <w:r w:rsidRPr="00C31D85">
        <w:rPr>
          <w:rFonts w:ascii="Aptos" w:hAnsi="Aptos" w:cs="Arial"/>
          <w:sz w:val="28"/>
          <w:szCs w:val="28"/>
          <w:lang w:val="nl-NL"/>
        </w:rPr>
        <w:t xml:space="preserve">: </w:t>
      </w:r>
      <w:r w:rsidR="00B326CB">
        <w:rPr>
          <w:rFonts w:ascii="Aptos" w:hAnsi="Aptos" w:cs="Arial"/>
          <w:sz w:val="28"/>
          <w:szCs w:val="28"/>
          <w:lang w:val="nl-NL"/>
        </w:rPr>
        <w:t>Component 1: Portfolio</w:t>
      </w:r>
    </w:p>
    <w:p w14:paraId="42A6E8AA" w14:textId="02CE9335" w:rsidR="00C31D85" w:rsidRPr="00C31D85" w:rsidRDefault="00C31D85" w:rsidP="00C31D85">
      <w:pPr>
        <w:tabs>
          <w:tab w:val="left" w:pos="6540"/>
        </w:tabs>
        <w:spacing w:line="360" w:lineRule="auto"/>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r w:rsidR="00B326CB">
        <w:rPr>
          <w:rFonts w:ascii="Aptos" w:hAnsi="Aptos" w:cs="Arial"/>
          <w:sz w:val="28"/>
          <w:szCs w:val="28"/>
        </w:rPr>
        <w:t xml:space="preserve"> BMHP6020</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7225"/>
        <w:gridCol w:w="7391"/>
      </w:tblGrid>
      <w:tr w:rsidR="00802FF1" w:rsidRPr="00C31D85" w14:paraId="2F1EE6C0" w14:textId="77777777" w:rsidTr="00632077">
        <w:trPr>
          <w:trHeight w:val="880"/>
        </w:trPr>
        <w:tc>
          <w:tcPr>
            <w:tcW w:w="14616" w:type="dxa"/>
            <w:gridSpan w:val="2"/>
            <w:vAlign w:val="center"/>
          </w:tcPr>
          <w:p w14:paraId="2B809516" w14:textId="5C140FD8" w:rsidR="00802FF1" w:rsidRPr="00632077" w:rsidRDefault="00942A20" w:rsidP="00802FF1">
            <w:pPr>
              <w:jc w:val="center"/>
              <w:rPr>
                <w:rFonts w:ascii="Aptos" w:hAnsi="Aptos"/>
                <w:b/>
                <w:bCs/>
                <w:sz w:val="28"/>
                <w:szCs w:val="28"/>
              </w:rPr>
            </w:pPr>
            <w:r w:rsidRPr="00632077">
              <w:rPr>
                <w:rFonts w:ascii="Aptos" w:hAnsi="Aptos"/>
                <w:b/>
                <w:bCs/>
                <w:sz w:val="28"/>
                <w:szCs w:val="28"/>
              </w:rPr>
              <w:lastRenderedPageBreak/>
              <w:t xml:space="preserve">An </w:t>
            </w:r>
            <w:r w:rsidR="00632077" w:rsidRPr="00632077">
              <w:rPr>
                <w:rFonts w:ascii="Aptos" w:hAnsi="Aptos"/>
                <w:b/>
                <w:bCs/>
                <w:sz w:val="28"/>
                <w:szCs w:val="28"/>
              </w:rPr>
              <w:t>Investigation into Depression in Early Childhood Following Exposure to Domestic Violence in the UK.</w:t>
            </w:r>
          </w:p>
          <w:p w14:paraId="080E7EB0" w14:textId="1F253508" w:rsidR="00802FF1" w:rsidRPr="00802FF1" w:rsidRDefault="00802FF1" w:rsidP="00802FF1">
            <w:pPr>
              <w:jc w:val="center"/>
              <w:rPr>
                <w:rFonts w:ascii="Aptos" w:hAnsi="Aptos"/>
                <w:b/>
                <w:bCs/>
              </w:rPr>
            </w:pPr>
          </w:p>
        </w:tc>
      </w:tr>
      <w:tr w:rsidR="00C31D85" w:rsidRPr="00C31D85" w14:paraId="51100EC3" w14:textId="77777777" w:rsidTr="00063B85">
        <w:trPr>
          <w:trHeight w:val="1856"/>
        </w:trPr>
        <w:tc>
          <w:tcPr>
            <w:tcW w:w="7225" w:type="dxa"/>
          </w:tcPr>
          <w:p w14:paraId="7D5ABB49" w14:textId="548E5709" w:rsidR="00C31D85" w:rsidRPr="005F7D75" w:rsidRDefault="00C31D85" w:rsidP="00C46111">
            <w:pPr>
              <w:rPr>
                <w:rFonts w:ascii="Aptos" w:hAnsi="Aptos"/>
                <w:b/>
                <w:bCs/>
              </w:rPr>
            </w:pPr>
            <w:r w:rsidRPr="00AB5409">
              <w:rPr>
                <w:rFonts w:ascii="Aptos" w:hAnsi="Aptos"/>
                <w:b/>
                <w:bCs/>
                <w:sz w:val="40"/>
                <w:szCs w:val="40"/>
              </w:rPr>
              <w:t>01</w:t>
            </w:r>
            <w:r w:rsidR="00890534">
              <w:rPr>
                <w:rFonts w:ascii="Aptos" w:hAnsi="Aptos"/>
              </w:rPr>
              <w:t xml:space="preserve"> </w:t>
            </w:r>
            <w:r w:rsidR="001A2DAB" w:rsidRPr="005F7D75">
              <w:rPr>
                <w:rFonts w:ascii="Aptos" w:hAnsi="Aptos"/>
                <w:b/>
                <w:bCs/>
              </w:rPr>
              <w:t xml:space="preserve">Introduction and </w:t>
            </w:r>
            <w:r w:rsidR="00AB5409" w:rsidRPr="005F7D75">
              <w:rPr>
                <w:rFonts w:ascii="Aptos" w:hAnsi="Aptos"/>
                <w:b/>
                <w:bCs/>
              </w:rPr>
              <w:t xml:space="preserve">Research </w:t>
            </w:r>
            <w:r w:rsidR="001A2DAB" w:rsidRPr="005F7D75">
              <w:rPr>
                <w:rFonts w:ascii="Aptos" w:hAnsi="Aptos"/>
                <w:b/>
                <w:bCs/>
              </w:rPr>
              <w:t xml:space="preserve">Aim </w:t>
            </w:r>
          </w:p>
          <w:p w14:paraId="4F873229" w14:textId="7F50B4E6" w:rsidR="000E56ED" w:rsidRPr="005F7D75" w:rsidRDefault="00537EB1" w:rsidP="00537EB1">
            <w:pPr>
              <w:spacing w:line="360" w:lineRule="auto"/>
              <w:rPr>
                <w:rFonts w:ascii="Aptos" w:hAnsi="Aptos"/>
              </w:rPr>
            </w:pPr>
            <w:r>
              <w:rPr>
                <w:rFonts w:ascii="Aptos" w:hAnsi="Aptos"/>
              </w:rPr>
              <w:t>A methods chapter outlines how research is designed and conducted, helping readers evaluate its accuracy and reliability (Chris, 2021). This poster presents the methodology used in this study, including the search strategy, inclusion criteria, and ethical considerations.</w:t>
            </w:r>
            <w:r>
              <w:rPr>
                <w:rFonts w:ascii="Aptos" w:hAnsi="Aptos"/>
              </w:rPr>
              <w:br/>
              <w:t>The aim of this research is to investigate how witnessing domestic violence may contribute to the development of depression in children under the age of five in the UK.</w:t>
            </w:r>
          </w:p>
        </w:tc>
        <w:tc>
          <w:tcPr>
            <w:tcW w:w="7391" w:type="dxa"/>
          </w:tcPr>
          <w:p w14:paraId="512F9F0B" w14:textId="77777777" w:rsidR="00C31D85" w:rsidRDefault="00C31D85" w:rsidP="00C46111">
            <w:pPr>
              <w:rPr>
                <w:rFonts w:ascii="Aptos" w:hAnsi="Aptos"/>
              </w:rPr>
            </w:pPr>
            <w:r w:rsidRPr="00AB5409">
              <w:rPr>
                <w:rFonts w:ascii="Aptos" w:hAnsi="Aptos"/>
                <w:b/>
                <w:bCs/>
                <w:sz w:val="40"/>
                <w:szCs w:val="40"/>
              </w:rPr>
              <w:t>02</w:t>
            </w:r>
            <w:r w:rsidR="00AB5409">
              <w:rPr>
                <w:rFonts w:ascii="Aptos" w:hAnsi="Aptos"/>
                <w:b/>
                <w:bCs/>
                <w:sz w:val="40"/>
                <w:szCs w:val="40"/>
              </w:rPr>
              <w:t xml:space="preserve"> </w:t>
            </w:r>
            <w:r w:rsidR="00AB5409" w:rsidRPr="005F7D75">
              <w:rPr>
                <w:rFonts w:ascii="Aptos" w:hAnsi="Aptos"/>
                <w:b/>
                <w:bCs/>
              </w:rPr>
              <w:t>Search Strategy</w:t>
            </w:r>
            <w:r w:rsidR="00AB5409">
              <w:rPr>
                <w:rFonts w:ascii="Aptos" w:hAnsi="Aptos"/>
              </w:rPr>
              <w:t xml:space="preserve"> </w:t>
            </w:r>
          </w:p>
          <w:p w14:paraId="25CA190D" w14:textId="00E19D1A" w:rsidR="0029329C" w:rsidRDefault="00537EB1" w:rsidP="00530090">
            <w:pPr>
              <w:spacing w:line="360" w:lineRule="auto"/>
              <w:rPr>
                <w:rFonts w:ascii="Aptos" w:hAnsi="Aptos"/>
                <w:lang w:val="en-GB"/>
              </w:rPr>
            </w:pPr>
            <w:r>
              <w:rPr>
                <w:rFonts w:ascii="Aptos" w:hAnsi="Aptos"/>
                <w:lang w:val="en-GB"/>
              </w:rPr>
              <w:t>A systematic search strategy was used to identify relevant research. Key concepts were converted into keywords and applied to databases such as PubMed and Google Scholar, using filters for recent, UK-based, peer – reviewed studies (University of Leeds, 2022). Reports from organisations such as the NSPCC and Women’s Aid were also reviewed to ensure accuracy and relevance to the research aim.</w:t>
            </w:r>
            <w:r w:rsidR="00530090">
              <w:rPr>
                <w:rFonts w:ascii="Aptos" w:hAnsi="Aptos"/>
                <w:lang w:val="en-GB"/>
              </w:rPr>
              <w:br/>
            </w:r>
          </w:p>
          <w:p w14:paraId="109C23A4" w14:textId="7EA9236D" w:rsidR="0029329C" w:rsidRPr="005F7D75" w:rsidRDefault="0029329C" w:rsidP="005F7D75">
            <w:pPr>
              <w:spacing w:line="360" w:lineRule="auto"/>
              <w:jc w:val="both"/>
              <w:rPr>
                <w:rFonts w:ascii="Aptos" w:hAnsi="Aptos"/>
                <w:lang w:val="en-GB"/>
              </w:rPr>
            </w:pPr>
          </w:p>
        </w:tc>
      </w:tr>
      <w:tr w:rsidR="00C31D85" w:rsidRPr="00C31D85" w14:paraId="56FBFF17" w14:textId="77777777" w:rsidTr="004356CA">
        <w:trPr>
          <w:trHeight w:val="58"/>
        </w:trPr>
        <w:tc>
          <w:tcPr>
            <w:tcW w:w="7225" w:type="dxa"/>
          </w:tcPr>
          <w:p w14:paraId="30AEBD55" w14:textId="77777777" w:rsidR="00C31D85" w:rsidRDefault="00C31D85" w:rsidP="00C46111">
            <w:pPr>
              <w:rPr>
                <w:rFonts w:ascii="Aptos" w:hAnsi="Aptos"/>
              </w:rPr>
            </w:pPr>
            <w:r w:rsidRPr="00AB5409">
              <w:rPr>
                <w:rFonts w:ascii="Aptos" w:hAnsi="Aptos"/>
                <w:b/>
                <w:bCs/>
                <w:sz w:val="40"/>
                <w:szCs w:val="40"/>
              </w:rPr>
              <w:t>03</w:t>
            </w:r>
            <w:r w:rsidR="00AB5409">
              <w:rPr>
                <w:rFonts w:ascii="Aptos" w:hAnsi="Aptos"/>
              </w:rPr>
              <w:t xml:space="preserve"> </w:t>
            </w:r>
            <w:r w:rsidR="00AB5409" w:rsidRPr="005F7D75">
              <w:rPr>
                <w:rFonts w:ascii="Aptos" w:hAnsi="Aptos"/>
                <w:b/>
                <w:bCs/>
              </w:rPr>
              <w:t>Searching for Information</w:t>
            </w:r>
            <w:r w:rsidR="00AB5409">
              <w:rPr>
                <w:rFonts w:ascii="Aptos" w:hAnsi="Aptos"/>
              </w:rPr>
              <w:t xml:space="preserve"> </w:t>
            </w:r>
          </w:p>
          <w:p w14:paraId="3611ED69" w14:textId="4284F358" w:rsidR="0029329C" w:rsidRDefault="00537EB1" w:rsidP="008B7267">
            <w:pPr>
              <w:spacing w:line="360" w:lineRule="auto"/>
              <w:rPr>
                <w:rFonts w:ascii="Aptos" w:hAnsi="Aptos"/>
                <w:lang w:val="en-GB"/>
              </w:rPr>
            </w:pPr>
            <w:r>
              <w:rPr>
                <w:rFonts w:ascii="Aptos" w:hAnsi="Aptos"/>
                <w:lang w:val="en-GB"/>
              </w:rPr>
              <w:t>Information was gathered using databases such as PubMed and Google Scholar, and reports from the NSPCC and Women’s Aid. The research question was refined into keywords, with filters applied for recent (2015 – 2025), UK- based, peer-reviewed studies.</w:t>
            </w:r>
            <w:r w:rsidR="00F7009D">
              <w:rPr>
                <w:rFonts w:ascii="Aptos" w:hAnsi="Aptos"/>
                <w:lang w:val="en-GB"/>
              </w:rPr>
              <w:t xml:space="preserve"> This systematic approach ensured credible, relevant evidence was selected, appraised, and aligned with the research aim.</w:t>
            </w:r>
            <w:r w:rsidR="008B7267">
              <w:rPr>
                <w:rFonts w:ascii="Aptos" w:hAnsi="Aptos"/>
                <w:lang w:val="en-GB"/>
              </w:rPr>
              <w:br/>
            </w:r>
          </w:p>
          <w:p w14:paraId="54E41379" w14:textId="77777777" w:rsidR="0029329C" w:rsidRDefault="0029329C" w:rsidP="005F7D75">
            <w:pPr>
              <w:spacing w:line="360" w:lineRule="auto"/>
              <w:jc w:val="both"/>
              <w:rPr>
                <w:rFonts w:ascii="Aptos" w:hAnsi="Aptos"/>
                <w:lang w:val="en-GB"/>
              </w:rPr>
            </w:pPr>
          </w:p>
          <w:p w14:paraId="701333EA" w14:textId="003A59C4" w:rsidR="0029329C" w:rsidRPr="005F7D75" w:rsidRDefault="005F7D75" w:rsidP="00F52F83">
            <w:pPr>
              <w:spacing w:line="360" w:lineRule="auto"/>
              <w:jc w:val="both"/>
              <w:rPr>
                <w:rFonts w:ascii="Aptos" w:hAnsi="Aptos"/>
                <w:lang w:val="en-GB"/>
              </w:rPr>
            </w:pPr>
            <w:r w:rsidRPr="005F7D75">
              <w:rPr>
                <w:rFonts w:ascii="Aptos" w:hAnsi="Aptos"/>
                <w:lang w:val="en-GB"/>
              </w:rPr>
              <w:t xml:space="preserve"> </w:t>
            </w:r>
          </w:p>
        </w:tc>
        <w:tc>
          <w:tcPr>
            <w:tcW w:w="7391" w:type="dxa"/>
          </w:tcPr>
          <w:p w14:paraId="626AA2DD" w14:textId="77777777" w:rsidR="004356CA" w:rsidRDefault="00C31D85" w:rsidP="00C46111">
            <w:pPr>
              <w:rPr>
                <w:rFonts w:ascii="Aptos" w:hAnsi="Aptos"/>
              </w:rPr>
            </w:pPr>
            <w:r w:rsidRPr="00AB5409">
              <w:rPr>
                <w:rFonts w:ascii="Aptos" w:hAnsi="Aptos"/>
                <w:b/>
                <w:bCs/>
                <w:sz w:val="40"/>
                <w:szCs w:val="40"/>
              </w:rPr>
              <w:t>04</w:t>
            </w:r>
            <w:r w:rsidR="00AB5409">
              <w:rPr>
                <w:rFonts w:ascii="Aptos" w:hAnsi="Aptos"/>
              </w:rPr>
              <w:t xml:space="preserve"> </w:t>
            </w:r>
            <w:r w:rsidR="00AB5409" w:rsidRPr="005F7D75">
              <w:rPr>
                <w:rFonts w:ascii="Aptos" w:hAnsi="Aptos"/>
                <w:b/>
                <w:bCs/>
              </w:rPr>
              <w:t>Picture / Graph / Visual Aid / Statistics</w:t>
            </w:r>
            <w:r w:rsidR="00AB5409">
              <w:rPr>
                <w:rFonts w:ascii="Aptos" w:hAnsi="Aptos"/>
              </w:rPr>
              <w:t xml:space="preserve"> </w:t>
            </w:r>
            <w:r w:rsidR="004356CA">
              <w:rPr>
                <w:rFonts w:ascii="Aptos" w:hAnsi="Aptos"/>
                <w:noProof/>
              </w:rPr>
              <w:drawing>
                <wp:inline distT="0" distB="0" distL="0" distR="0" wp14:anchorId="06C564FA" wp14:editId="70593B15">
                  <wp:extent cx="4511040" cy="1775460"/>
                  <wp:effectExtent l="0" t="0" r="3810" b="15240"/>
                  <wp:docPr id="147104229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90B0F30" w14:textId="2A3C7D4E" w:rsidR="00E96232" w:rsidRDefault="004356CA" w:rsidP="00C46111">
            <w:pPr>
              <w:rPr>
                <w:rFonts w:ascii="Aptos" w:hAnsi="Aptos"/>
              </w:rPr>
            </w:pPr>
            <w:r>
              <w:rPr>
                <w:rFonts w:ascii="Aptos" w:hAnsi="Aptos"/>
              </w:rPr>
              <w:t>Figure 1 – Comparison to show around 20% of UK children are exposed to DV, while 9.5% experience probable mental disorder. This highlights a potential link between early exposure and poor mental health outcomes (NSPCC, 2019) (Gilburt and Mallorie, 2024).</w:t>
            </w:r>
          </w:p>
          <w:p w14:paraId="2BBB997C" w14:textId="634CFB7A" w:rsidR="005F7D75" w:rsidRPr="00C31D85" w:rsidRDefault="005F7D75" w:rsidP="007E14C3">
            <w:pPr>
              <w:spacing w:line="360" w:lineRule="auto"/>
              <w:jc w:val="both"/>
              <w:rPr>
                <w:rFonts w:ascii="Aptos" w:hAnsi="Aptos"/>
              </w:rPr>
            </w:pPr>
          </w:p>
        </w:tc>
      </w:tr>
      <w:tr w:rsidR="00C31D85" w:rsidRPr="00C31D85" w14:paraId="71279A0E" w14:textId="77777777" w:rsidTr="00F52F83">
        <w:trPr>
          <w:trHeight w:val="983"/>
        </w:trPr>
        <w:tc>
          <w:tcPr>
            <w:tcW w:w="14616" w:type="dxa"/>
            <w:gridSpan w:val="2"/>
          </w:tcPr>
          <w:p w14:paraId="559B5E23" w14:textId="77777777" w:rsidR="00C31D85" w:rsidRDefault="00C31D85" w:rsidP="00AB5409">
            <w:pPr>
              <w:jc w:val="center"/>
              <w:rPr>
                <w:rFonts w:ascii="Aptos" w:hAnsi="Aptos"/>
                <w:b/>
                <w:bCs/>
              </w:rPr>
            </w:pPr>
            <w:r w:rsidRPr="00AB5409">
              <w:rPr>
                <w:rFonts w:ascii="Aptos" w:hAnsi="Aptos"/>
                <w:b/>
                <w:bCs/>
                <w:sz w:val="40"/>
                <w:szCs w:val="40"/>
              </w:rPr>
              <w:lastRenderedPageBreak/>
              <w:t>05</w:t>
            </w:r>
            <w:r w:rsidR="00AB5409">
              <w:rPr>
                <w:rFonts w:ascii="Aptos" w:hAnsi="Aptos"/>
              </w:rPr>
              <w:t xml:space="preserve"> </w:t>
            </w:r>
            <w:r w:rsidR="00AB5409" w:rsidRPr="005F7D75">
              <w:rPr>
                <w:rFonts w:ascii="Aptos" w:hAnsi="Aptos"/>
                <w:b/>
                <w:bCs/>
              </w:rPr>
              <w:t>Research Validation and Analysis</w:t>
            </w:r>
          </w:p>
          <w:p w14:paraId="7454B819" w14:textId="4B2EB8A0" w:rsidR="00516CC0" w:rsidRPr="00516CC0" w:rsidRDefault="00693E69" w:rsidP="00516CC0">
            <w:pPr>
              <w:spacing w:line="360" w:lineRule="auto"/>
              <w:jc w:val="both"/>
              <w:rPr>
                <w:rFonts w:ascii="Aptos" w:hAnsi="Aptos"/>
                <w:lang w:val="en-GB"/>
              </w:rPr>
            </w:pPr>
            <w:r>
              <w:rPr>
                <w:rFonts w:ascii="Aptos" w:hAnsi="Aptos"/>
                <w:lang w:val="en-GB"/>
              </w:rPr>
              <w:t>Validation ensures that secondary research is credible, reliable, and relevant (</w:t>
            </w:r>
            <w:r w:rsidR="00EC7A58">
              <w:rPr>
                <w:rFonts w:ascii="Aptos" w:hAnsi="Aptos"/>
                <w:lang w:val="en-GB"/>
              </w:rPr>
              <w:t>Ullmann, Hennig and Boulesteix, 2021</w:t>
            </w:r>
            <w:r>
              <w:rPr>
                <w:rFonts w:ascii="Aptos" w:hAnsi="Aptos"/>
                <w:lang w:val="en-GB"/>
              </w:rPr>
              <w:t>). To achieve this, sources were cross-checked across multiple databases, prioritising peer-reviewed, UK – based, and recent studies. Critical appraisal tools were applied to assess quality and reduce bias (</w:t>
            </w:r>
            <w:r w:rsidR="00EC7A58">
              <w:rPr>
                <w:rFonts w:ascii="Aptos" w:hAnsi="Aptos"/>
                <w:lang w:val="en-GB"/>
              </w:rPr>
              <w:t>Barker et al., 2023</w:t>
            </w:r>
            <w:r>
              <w:rPr>
                <w:rFonts w:ascii="Aptos" w:hAnsi="Aptos"/>
                <w:lang w:val="en-GB"/>
              </w:rPr>
              <w:t>). Using thematic analysis (</w:t>
            </w:r>
            <w:r w:rsidR="00B85F55">
              <w:rPr>
                <w:rFonts w:ascii="Aptos" w:hAnsi="Aptos"/>
                <w:lang w:val="en-GB"/>
              </w:rPr>
              <w:t>Bowman et al., 2023</w:t>
            </w:r>
            <w:r>
              <w:rPr>
                <w:rFonts w:ascii="Aptos" w:hAnsi="Aptos"/>
                <w:lang w:val="en-GB"/>
              </w:rPr>
              <w:t>), recurring themes such as emotional development, exposure effects, and early intervention emerged, providing a foundation for chapter 4’s findings.</w:t>
            </w:r>
            <w:r w:rsidR="00516CC0" w:rsidRPr="00516CC0">
              <w:rPr>
                <w:rFonts w:ascii="Aptos" w:hAnsi="Aptos"/>
                <w:lang w:val="en-GB"/>
              </w:rPr>
              <w:t xml:space="preserve"> </w:t>
            </w:r>
          </w:p>
        </w:tc>
      </w:tr>
      <w:tr w:rsidR="00AB5409" w:rsidRPr="00C31D85" w14:paraId="1159AF67" w14:textId="77777777" w:rsidTr="00063B85">
        <w:trPr>
          <w:trHeight w:val="1856"/>
        </w:trPr>
        <w:tc>
          <w:tcPr>
            <w:tcW w:w="7225" w:type="dxa"/>
          </w:tcPr>
          <w:p w14:paraId="398EE9B0" w14:textId="77777777" w:rsidR="00AB5409" w:rsidRDefault="00AB5409" w:rsidP="00C46111">
            <w:pPr>
              <w:rPr>
                <w:rFonts w:ascii="Aptos" w:hAnsi="Aptos"/>
              </w:rPr>
            </w:pPr>
            <w:r w:rsidRPr="00AB5409">
              <w:rPr>
                <w:rFonts w:ascii="Aptos" w:hAnsi="Aptos"/>
                <w:b/>
                <w:bCs/>
                <w:sz w:val="40"/>
                <w:szCs w:val="40"/>
              </w:rPr>
              <w:t>06</w:t>
            </w:r>
            <w:r>
              <w:rPr>
                <w:rFonts w:ascii="Aptos" w:hAnsi="Aptos"/>
              </w:rPr>
              <w:t xml:space="preserve"> </w:t>
            </w:r>
            <w:r w:rsidRPr="005F7D75">
              <w:rPr>
                <w:rFonts w:ascii="Aptos" w:hAnsi="Aptos"/>
                <w:b/>
                <w:bCs/>
              </w:rPr>
              <w:t>Inclusion Criteria</w:t>
            </w:r>
            <w:r>
              <w:rPr>
                <w:rFonts w:ascii="Aptos" w:hAnsi="Aptos"/>
              </w:rPr>
              <w:t xml:space="preserve"> </w:t>
            </w:r>
          </w:p>
          <w:p w14:paraId="00628477" w14:textId="50BE1264" w:rsidR="00516CC0" w:rsidRPr="00C31D85" w:rsidRDefault="00504FA8" w:rsidP="00504FA8">
            <w:pPr>
              <w:spacing w:line="360" w:lineRule="auto"/>
              <w:contextualSpacing/>
              <w:jc w:val="both"/>
              <w:rPr>
                <w:rFonts w:ascii="Aptos" w:hAnsi="Aptos"/>
              </w:rPr>
            </w:pPr>
            <w:r>
              <w:rPr>
                <w:rFonts w:ascii="Aptos" w:hAnsi="Aptos"/>
              </w:rPr>
              <w:t>Peer – reviewed studies published within the last 10 years, focusing on children under 5 in the UK who have witnessed domestic violence. Sources were selected for relevance to early childhood mental health and depression, written in English, and fully accessible online through academic databases to ensure credibility and current evidence.</w:t>
            </w:r>
          </w:p>
        </w:tc>
        <w:tc>
          <w:tcPr>
            <w:tcW w:w="7391" w:type="dxa"/>
          </w:tcPr>
          <w:p w14:paraId="51867809" w14:textId="77777777" w:rsidR="00AB5409" w:rsidRDefault="00AB5409" w:rsidP="00C46111">
            <w:pPr>
              <w:rPr>
                <w:rFonts w:ascii="Aptos" w:hAnsi="Aptos"/>
              </w:rPr>
            </w:pPr>
            <w:r w:rsidRPr="00AB5409">
              <w:rPr>
                <w:rFonts w:ascii="Aptos" w:hAnsi="Aptos"/>
                <w:b/>
                <w:bCs/>
                <w:sz w:val="40"/>
                <w:szCs w:val="40"/>
              </w:rPr>
              <w:t>07</w:t>
            </w:r>
            <w:r>
              <w:rPr>
                <w:rFonts w:ascii="Aptos" w:hAnsi="Aptos"/>
              </w:rPr>
              <w:t xml:space="preserve"> </w:t>
            </w:r>
            <w:r w:rsidRPr="005F7D75">
              <w:rPr>
                <w:rFonts w:ascii="Aptos" w:hAnsi="Aptos"/>
                <w:b/>
                <w:bCs/>
              </w:rPr>
              <w:t>Exclusion Criteria</w:t>
            </w:r>
            <w:r>
              <w:rPr>
                <w:rFonts w:ascii="Aptos" w:hAnsi="Aptos"/>
              </w:rPr>
              <w:t xml:space="preserve"> </w:t>
            </w:r>
          </w:p>
          <w:p w14:paraId="253F8839" w14:textId="66C2D4F3" w:rsidR="00516CC0" w:rsidRPr="00C31D85" w:rsidRDefault="00504FA8" w:rsidP="00504FA8">
            <w:pPr>
              <w:spacing w:line="360" w:lineRule="auto"/>
              <w:contextualSpacing/>
              <w:jc w:val="both"/>
              <w:rPr>
                <w:rFonts w:ascii="Aptos" w:hAnsi="Aptos"/>
              </w:rPr>
            </w:pPr>
            <w:r>
              <w:rPr>
                <w:rFonts w:ascii="Aptos" w:hAnsi="Aptos"/>
              </w:rPr>
              <w:t>Studies over 10 years ago were excluded; research not focused on children under 5 or conducted outside of the UK. Articles that did not address exposure to domestic violence or its link to depression were removed. Non – peer – reviewed sources, inaccessible full texts, and publications not available in English were also excluded to maintain quality and relevance.</w:t>
            </w:r>
          </w:p>
        </w:tc>
      </w:tr>
      <w:tr w:rsidR="00C31D85" w:rsidRPr="00C31D85" w14:paraId="583C9C87" w14:textId="77777777" w:rsidTr="00EB1A26">
        <w:trPr>
          <w:trHeight w:val="4986"/>
        </w:trPr>
        <w:tc>
          <w:tcPr>
            <w:tcW w:w="14616" w:type="dxa"/>
            <w:gridSpan w:val="2"/>
          </w:tcPr>
          <w:p w14:paraId="28D04039" w14:textId="08DB0A26" w:rsidR="00F52F83" w:rsidRPr="00E30E67" w:rsidRDefault="00EB1A26" w:rsidP="00E30E67">
            <w:pPr>
              <w:rPr>
                <w:rFonts w:ascii="Aptos" w:hAnsi="Aptos"/>
                <w:b/>
                <w:bCs/>
              </w:rPr>
            </w:pPr>
            <w:r w:rsidRPr="00F52F83">
              <w:rPr>
                <w:rFonts w:ascii="Aptos" w:hAnsi="Aptos"/>
                <w:noProof/>
              </w:rPr>
              <w:drawing>
                <wp:anchor distT="0" distB="0" distL="114300" distR="114300" simplePos="0" relativeHeight="251661312" behindDoc="1" locked="0" layoutInCell="1" allowOverlap="1" wp14:anchorId="208D47B1" wp14:editId="30B17EB4">
                  <wp:simplePos x="0" y="0"/>
                  <wp:positionH relativeFrom="column">
                    <wp:posOffset>-18415</wp:posOffset>
                  </wp:positionH>
                  <wp:positionV relativeFrom="paragraph">
                    <wp:posOffset>297180</wp:posOffset>
                  </wp:positionV>
                  <wp:extent cx="8886825" cy="2705100"/>
                  <wp:effectExtent l="38100" t="0" r="9525" b="0"/>
                  <wp:wrapTight wrapText="bothSides">
                    <wp:wrapPolygon edited="0">
                      <wp:start x="17641" y="152"/>
                      <wp:lineTo x="-46" y="456"/>
                      <wp:lineTo x="-93" y="21296"/>
                      <wp:lineTo x="21577" y="21296"/>
                      <wp:lineTo x="21577" y="152"/>
                      <wp:lineTo x="17641" y="152"/>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V relativeFrom="margin">
                    <wp14:pctHeight>0</wp14:pctHeight>
                  </wp14:sizeRelV>
                </wp:anchor>
              </w:drawing>
            </w:r>
            <w:r w:rsidR="00C31D85" w:rsidRPr="00AB5409">
              <w:rPr>
                <w:rFonts w:ascii="Aptos" w:hAnsi="Aptos"/>
                <w:b/>
                <w:bCs/>
                <w:sz w:val="40"/>
                <w:szCs w:val="40"/>
              </w:rPr>
              <w:t>0</w:t>
            </w:r>
            <w:r w:rsidR="00AB5409">
              <w:rPr>
                <w:rFonts w:ascii="Aptos" w:hAnsi="Aptos"/>
                <w:b/>
                <w:bCs/>
                <w:sz w:val="40"/>
                <w:szCs w:val="40"/>
              </w:rPr>
              <w:t>8</w:t>
            </w:r>
            <w:r w:rsidR="00AB5409">
              <w:rPr>
                <w:rFonts w:ascii="Aptos" w:hAnsi="Aptos"/>
              </w:rPr>
              <w:t xml:space="preserve"> </w:t>
            </w:r>
            <w:r w:rsidR="00AB5409" w:rsidRPr="005F7D75">
              <w:rPr>
                <w:rFonts w:ascii="Aptos" w:hAnsi="Aptos"/>
                <w:b/>
                <w:bCs/>
              </w:rPr>
              <w:t>Ethical Considerations</w:t>
            </w:r>
          </w:p>
        </w:tc>
      </w:tr>
    </w:tbl>
    <w:p w14:paraId="53F82A21" w14:textId="340A43E2"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489BBCE1" w14:textId="79920A52" w:rsidR="00ED1049" w:rsidRDefault="00ED1049" w:rsidP="00C31D85">
      <w:pPr>
        <w:rPr>
          <w:rFonts w:ascii="Arial" w:hAnsi="Arial" w:cs="Arial"/>
          <w:b/>
          <w:bCs/>
          <w:sz w:val="28"/>
          <w:szCs w:val="28"/>
        </w:rPr>
      </w:pPr>
      <w:r w:rsidRPr="00ED1049">
        <w:rPr>
          <w:rFonts w:ascii="Arial" w:hAnsi="Arial" w:cs="Arial"/>
          <w:b/>
          <w:bCs/>
          <w:sz w:val="28"/>
          <w:szCs w:val="28"/>
        </w:rPr>
        <w:lastRenderedPageBreak/>
        <w:t>References</w:t>
      </w:r>
    </w:p>
    <w:p w14:paraId="65645E18" w14:textId="7E2BC09E" w:rsidR="00EC7A58" w:rsidRDefault="00EC7A58" w:rsidP="00C46111">
      <w:pPr>
        <w:rPr>
          <w:rFonts w:ascii="Arial" w:hAnsi="Arial" w:cs="Arial"/>
        </w:rPr>
      </w:pPr>
      <w:r w:rsidRPr="00B85F55">
        <w:rPr>
          <w:rFonts w:ascii="Arial" w:hAnsi="Arial" w:cs="Arial"/>
        </w:rPr>
        <w:t xml:space="preserve">Barker, T.H., Stone, J.C., Sears, K., </w:t>
      </w:r>
      <w:proofErr w:type="spellStart"/>
      <w:r w:rsidRPr="00B85F55">
        <w:rPr>
          <w:rFonts w:ascii="Arial" w:hAnsi="Arial" w:cs="Arial"/>
        </w:rPr>
        <w:t>Klugar</w:t>
      </w:r>
      <w:proofErr w:type="spellEnd"/>
      <w:r w:rsidRPr="00B85F55">
        <w:rPr>
          <w:rFonts w:ascii="Arial" w:hAnsi="Arial" w:cs="Arial"/>
        </w:rPr>
        <w:t xml:space="preserve">, M., Leonardi-Bee, J., </w:t>
      </w:r>
      <w:proofErr w:type="spellStart"/>
      <w:r w:rsidRPr="00B85F55">
        <w:rPr>
          <w:rFonts w:ascii="Arial" w:hAnsi="Arial" w:cs="Arial"/>
        </w:rPr>
        <w:t>Tufanaru</w:t>
      </w:r>
      <w:proofErr w:type="spellEnd"/>
      <w:r w:rsidRPr="00B85F55">
        <w:rPr>
          <w:rFonts w:ascii="Arial" w:hAnsi="Arial" w:cs="Arial"/>
        </w:rPr>
        <w:t xml:space="preserve">, C., </w:t>
      </w:r>
      <w:proofErr w:type="spellStart"/>
      <w:r w:rsidRPr="00B85F55">
        <w:rPr>
          <w:rFonts w:ascii="Arial" w:hAnsi="Arial" w:cs="Arial"/>
        </w:rPr>
        <w:t>Aromataris</w:t>
      </w:r>
      <w:proofErr w:type="spellEnd"/>
      <w:r w:rsidRPr="00B85F55">
        <w:rPr>
          <w:rFonts w:ascii="Arial" w:hAnsi="Arial" w:cs="Arial"/>
        </w:rPr>
        <w:t>, E. and Munn, Z. (2023). Revising the JBI Quantitative Critical Appraisal Tools to Improve Their applicability: an Overview of Methods and the Development Process. </w:t>
      </w:r>
      <w:r w:rsidRPr="00B85F55">
        <w:rPr>
          <w:rFonts w:ascii="Arial" w:hAnsi="Arial" w:cs="Arial"/>
          <w:i/>
          <w:iCs/>
        </w:rPr>
        <w:t>JBI Evidence Synthesis</w:t>
      </w:r>
      <w:r w:rsidRPr="00B85F55">
        <w:rPr>
          <w:rFonts w:ascii="Arial" w:hAnsi="Arial" w:cs="Arial"/>
        </w:rPr>
        <w:t xml:space="preserve">, [online] 21(3), pp.478–493. </w:t>
      </w:r>
      <w:proofErr w:type="spellStart"/>
      <w:r w:rsidRPr="00B85F55">
        <w:rPr>
          <w:rFonts w:ascii="Arial" w:hAnsi="Arial" w:cs="Arial"/>
        </w:rPr>
        <w:t>doi</w:t>
      </w:r>
      <w:proofErr w:type="spellEnd"/>
      <w:r w:rsidRPr="00B85F55">
        <w:rPr>
          <w:rFonts w:ascii="Arial" w:hAnsi="Arial" w:cs="Arial"/>
        </w:rPr>
        <w:t>:</w:t>
      </w:r>
      <w:r w:rsidR="00B85F55" w:rsidRPr="00B85F55">
        <w:rPr>
          <w:rFonts w:ascii="Arial" w:hAnsi="Arial" w:cs="Arial"/>
        </w:rPr>
        <w:t xml:space="preserve"> </w:t>
      </w:r>
      <w:hyperlink r:id="rId20" w:history="1">
        <w:r w:rsidR="00B85F55" w:rsidRPr="00B85F55">
          <w:rPr>
            <w:rStyle w:val="Hyperlink"/>
            <w:rFonts w:ascii="Arial" w:hAnsi="Arial" w:cs="Arial"/>
            <w:color w:val="auto"/>
          </w:rPr>
          <w:t>https://doi.org/10.11124/jbies-22-00125</w:t>
        </w:r>
      </w:hyperlink>
      <w:r w:rsidR="00B85F55" w:rsidRPr="00B85F55">
        <w:rPr>
          <w:rFonts w:ascii="Arial" w:hAnsi="Arial" w:cs="Arial"/>
        </w:rPr>
        <w:t xml:space="preserve"> </w:t>
      </w:r>
      <w:r w:rsidRPr="00B85F55">
        <w:rPr>
          <w:rFonts w:ascii="Arial" w:hAnsi="Arial" w:cs="Arial"/>
        </w:rPr>
        <w:t xml:space="preserve"> </w:t>
      </w:r>
    </w:p>
    <w:p w14:paraId="56DCACFE" w14:textId="3BC150CD" w:rsidR="00B85F55" w:rsidRPr="00B85F55" w:rsidRDefault="00B85F55" w:rsidP="00C46111">
      <w:pPr>
        <w:rPr>
          <w:rFonts w:ascii="Arial" w:hAnsi="Arial" w:cs="Arial"/>
        </w:rPr>
      </w:pPr>
      <w:r w:rsidRPr="00B85F55">
        <w:rPr>
          <w:rFonts w:ascii="Arial" w:hAnsi="Arial" w:cs="Arial"/>
        </w:rPr>
        <w:t xml:space="preserve">Bowman, R., Nadal, C., Morrissey, K., Thieme, A. and Doherty, G. (2023). Using Thematic Analysis in Healthcare HCI at CHI: A Scoping Review. </w:t>
      </w:r>
      <w:proofErr w:type="spellStart"/>
      <w:r w:rsidRPr="00B85F55">
        <w:rPr>
          <w:rFonts w:ascii="Arial" w:hAnsi="Arial" w:cs="Arial"/>
        </w:rPr>
        <w:t>doi</w:t>
      </w:r>
      <w:proofErr w:type="spellEnd"/>
      <w:r w:rsidRPr="00B85F55">
        <w:rPr>
          <w:rFonts w:ascii="Arial" w:hAnsi="Arial" w:cs="Arial"/>
        </w:rPr>
        <w:t xml:space="preserve">: </w:t>
      </w:r>
      <w:hyperlink r:id="rId21" w:history="1">
        <w:r w:rsidRPr="00B85F55">
          <w:rPr>
            <w:rStyle w:val="Hyperlink"/>
            <w:rFonts w:ascii="Arial" w:hAnsi="Arial" w:cs="Arial"/>
            <w:color w:val="auto"/>
          </w:rPr>
          <w:t>https://doi.org/10.1145/3544548.3581203</w:t>
        </w:r>
      </w:hyperlink>
      <w:r w:rsidRPr="00B85F55">
        <w:rPr>
          <w:rFonts w:ascii="Arial" w:hAnsi="Arial" w:cs="Arial"/>
        </w:rPr>
        <w:t xml:space="preserve">  </w:t>
      </w:r>
    </w:p>
    <w:p w14:paraId="364E780A" w14:textId="02B14302" w:rsidR="00EB6F36" w:rsidRDefault="00923890" w:rsidP="00C46111">
      <w:pPr>
        <w:rPr>
          <w:rFonts w:ascii="Arial" w:hAnsi="Arial" w:cs="Arial"/>
        </w:rPr>
      </w:pPr>
      <w:r w:rsidRPr="00923890">
        <w:rPr>
          <w:rFonts w:ascii="Arial" w:hAnsi="Arial" w:cs="Arial"/>
        </w:rPr>
        <w:t>Chris, M.J. (2021). </w:t>
      </w:r>
      <w:r w:rsidRPr="00923890">
        <w:rPr>
          <w:rFonts w:ascii="Arial" w:hAnsi="Arial" w:cs="Arial"/>
          <w:i/>
          <w:iCs/>
        </w:rPr>
        <w:t>What Information Should You Include in the Methodology?</w:t>
      </w:r>
      <w:r w:rsidRPr="00923890">
        <w:rPr>
          <w:rFonts w:ascii="Arial" w:hAnsi="Arial" w:cs="Arial"/>
        </w:rPr>
        <w:t xml:space="preserve"> [online] Available at: </w:t>
      </w:r>
      <w:hyperlink r:id="rId22" w:history="1">
        <w:r w:rsidRPr="00923890">
          <w:rPr>
            <w:rStyle w:val="Hyperlink"/>
            <w:rFonts w:ascii="Arial" w:hAnsi="Arial" w:cs="Arial"/>
            <w:color w:val="auto"/>
          </w:rPr>
          <w:t>https://www.sjsu.edu/writingcenter/docs/handouts/Methodology.pdf</w:t>
        </w:r>
      </w:hyperlink>
      <w:r w:rsidRPr="00923890">
        <w:rPr>
          <w:rFonts w:ascii="Arial" w:hAnsi="Arial" w:cs="Arial"/>
        </w:rPr>
        <w:t xml:space="preserve"> </w:t>
      </w:r>
    </w:p>
    <w:p w14:paraId="713B017F" w14:textId="728E9824" w:rsidR="001E3EA1" w:rsidRDefault="001E3EA1" w:rsidP="00C46111">
      <w:pPr>
        <w:rPr>
          <w:rFonts w:ascii="Arial" w:hAnsi="Arial" w:cs="Arial"/>
        </w:rPr>
      </w:pPr>
      <w:r w:rsidRPr="001E3EA1">
        <w:rPr>
          <w:rFonts w:ascii="Arial" w:hAnsi="Arial" w:cs="Arial"/>
        </w:rPr>
        <w:t>Gilburt, H. and Mallorie, S. (2024). </w:t>
      </w:r>
      <w:r w:rsidRPr="001E3EA1">
        <w:rPr>
          <w:rFonts w:ascii="Arial" w:hAnsi="Arial" w:cs="Arial"/>
          <w:i/>
          <w:iCs/>
        </w:rPr>
        <w:t>Mental Health 360 | Children and Young People</w:t>
      </w:r>
      <w:r w:rsidRPr="001E3EA1">
        <w:rPr>
          <w:rFonts w:ascii="Arial" w:hAnsi="Arial" w:cs="Arial"/>
        </w:rPr>
        <w:t xml:space="preserve">. [online] The King’s Fund. Available at: </w:t>
      </w:r>
      <w:hyperlink r:id="rId23" w:history="1">
        <w:r w:rsidRPr="001E3EA1">
          <w:rPr>
            <w:rStyle w:val="Hyperlink"/>
            <w:rFonts w:ascii="Arial" w:hAnsi="Arial" w:cs="Arial"/>
            <w:color w:val="auto"/>
          </w:rPr>
          <w:t>https://www.kingsfund.org.uk/insight-and-analysis/long-reads/mental-health-360-services-children-young-people</w:t>
        </w:r>
      </w:hyperlink>
      <w:r w:rsidRPr="001E3EA1">
        <w:rPr>
          <w:rFonts w:ascii="Arial" w:hAnsi="Arial" w:cs="Arial"/>
        </w:rPr>
        <w:t xml:space="preserve"> </w:t>
      </w:r>
    </w:p>
    <w:p w14:paraId="3A3A7594" w14:textId="3549C17B" w:rsidR="001E3EA1" w:rsidRPr="00EC7A58" w:rsidRDefault="001E3EA1" w:rsidP="00C46111">
      <w:pPr>
        <w:rPr>
          <w:rFonts w:ascii="Arial" w:hAnsi="Arial" w:cs="Arial"/>
        </w:rPr>
      </w:pPr>
      <w:r w:rsidRPr="001E3EA1">
        <w:rPr>
          <w:rFonts w:ascii="Arial" w:hAnsi="Arial" w:cs="Arial"/>
        </w:rPr>
        <w:t>NSPCC (2019). </w:t>
      </w:r>
      <w:r w:rsidRPr="001E3EA1">
        <w:rPr>
          <w:rFonts w:ascii="Arial" w:hAnsi="Arial" w:cs="Arial"/>
          <w:i/>
          <w:iCs/>
        </w:rPr>
        <w:t>Child abuse and neglect in the UK today</w:t>
      </w:r>
      <w:r w:rsidRPr="001E3EA1">
        <w:rPr>
          <w:rFonts w:ascii="Arial" w:hAnsi="Arial" w:cs="Arial"/>
        </w:rPr>
        <w:t xml:space="preserve">. [online] NSPCC Learning. Available at: </w:t>
      </w:r>
      <w:hyperlink r:id="rId24" w:history="1">
        <w:r w:rsidRPr="00EC7A58">
          <w:rPr>
            <w:rStyle w:val="Hyperlink"/>
            <w:rFonts w:ascii="Arial" w:hAnsi="Arial" w:cs="Arial"/>
            <w:color w:val="auto"/>
          </w:rPr>
          <w:t>https://learning.nspcc.org.uk/research-resources/pre-2013/child-abuse-neglect-uk-today</w:t>
        </w:r>
      </w:hyperlink>
      <w:r w:rsidRPr="00EC7A58">
        <w:rPr>
          <w:rFonts w:ascii="Arial" w:hAnsi="Arial" w:cs="Arial"/>
        </w:rPr>
        <w:t xml:space="preserve"> </w:t>
      </w:r>
    </w:p>
    <w:p w14:paraId="32BFFAF8" w14:textId="3D5CB1AB" w:rsidR="00EC7A58" w:rsidRPr="00EC7A58" w:rsidRDefault="00EC7A58" w:rsidP="00C46111">
      <w:pPr>
        <w:rPr>
          <w:rFonts w:ascii="Arial" w:hAnsi="Arial" w:cs="Arial"/>
        </w:rPr>
      </w:pPr>
      <w:r w:rsidRPr="00EC7A58">
        <w:rPr>
          <w:rFonts w:ascii="Arial" w:hAnsi="Arial" w:cs="Arial"/>
        </w:rPr>
        <w:t>Ullmann, T., Hennig, C. and Boulesteix, A. (2021). Validation of cluster analysis results on validation data: A systematic framework. </w:t>
      </w:r>
      <w:r w:rsidRPr="00EC7A58">
        <w:rPr>
          <w:rFonts w:ascii="Arial" w:hAnsi="Arial" w:cs="Arial"/>
          <w:i/>
          <w:iCs/>
        </w:rPr>
        <w:t>WIREs Data Mining and Knowledge Discovery</w:t>
      </w:r>
      <w:r w:rsidRPr="00EC7A58">
        <w:rPr>
          <w:rFonts w:ascii="Arial" w:hAnsi="Arial" w:cs="Arial"/>
        </w:rPr>
        <w:t xml:space="preserve">. </w:t>
      </w:r>
      <w:proofErr w:type="spellStart"/>
      <w:r w:rsidRPr="00EC7A58">
        <w:rPr>
          <w:rFonts w:ascii="Arial" w:hAnsi="Arial" w:cs="Arial"/>
        </w:rPr>
        <w:t>doi</w:t>
      </w:r>
      <w:proofErr w:type="spellEnd"/>
      <w:r w:rsidRPr="00EC7A58">
        <w:rPr>
          <w:rFonts w:ascii="Arial" w:hAnsi="Arial" w:cs="Arial"/>
        </w:rPr>
        <w:t xml:space="preserve">: </w:t>
      </w:r>
      <w:hyperlink r:id="rId25" w:history="1">
        <w:r w:rsidRPr="00EC7A58">
          <w:rPr>
            <w:rStyle w:val="Hyperlink"/>
            <w:rFonts w:ascii="Arial" w:hAnsi="Arial" w:cs="Arial"/>
            <w:color w:val="auto"/>
          </w:rPr>
          <w:t>https://doi.org/10.1002/widm.1444</w:t>
        </w:r>
      </w:hyperlink>
      <w:r w:rsidRPr="00EC7A58">
        <w:rPr>
          <w:rFonts w:ascii="Arial" w:hAnsi="Arial" w:cs="Arial"/>
        </w:rPr>
        <w:t xml:space="preserve">  </w:t>
      </w:r>
    </w:p>
    <w:p w14:paraId="4F7079FE" w14:textId="09791184" w:rsidR="002E1C14" w:rsidRPr="002E1C14" w:rsidRDefault="002E1C14" w:rsidP="00C46111">
      <w:pPr>
        <w:rPr>
          <w:rFonts w:ascii="Arial" w:hAnsi="Arial" w:cs="Arial"/>
        </w:rPr>
      </w:pPr>
      <w:r w:rsidRPr="002E1C14">
        <w:rPr>
          <w:rFonts w:ascii="Arial" w:hAnsi="Arial" w:cs="Arial"/>
        </w:rPr>
        <w:t>University of Leeds (2022). </w:t>
      </w:r>
      <w:r w:rsidRPr="002E1C14">
        <w:rPr>
          <w:rFonts w:ascii="Arial" w:hAnsi="Arial" w:cs="Arial"/>
          <w:i/>
          <w:iCs/>
        </w:rPr>
        <w:t>Literature searching explained</w:t>
      </w:r>
      <w:r w:rsidRPr="002E1C14">
        <w:rPr>
          <w:rFonts w:ascii="Arial" w:hAnsi="Arial" w:cs="Arial"/>
        </w:rPr>
        <w:t xml:space="preserve">. [online] Leeds.ac.uk. Available at: </w:t>
      </w:r>
      <w:hyperlink r:id="rId26" w:history="1">
        <w:r w:rsidRPr="002E1C14">
          <w:rPr>
            <w:rStyle w:val="Hyperlink"/>
            <w:rFonts w:ascii="Arial" w:hAnsi="Arial" w:cs="Arial"/>
            <w:color w:val="auto"/>
          </w:rPr>
          <w:t>https://library.leeds.ac.uk/info/1404/literature_searching/14/literature_searching_explained/4</w:t>
        </w:r>
      </w:hyperlink>
      <w:r w:rsidRPr="002E1C14">
        <w:rPr>
          <w:rFonts w:ascii="Arial" w:hAnsi="Arial" w:cs="Arial"/>
        </w:rPr>
        <w:t xml:space="preserve"> </w:t>
      </w:r>
    </w:p>
    <w:p w14:paraId="787444DC" w14:textId="77777777" w:rsidR="00EB6F36" w:rsidRDefault="00EB6F36" w:rsidP="00C46111">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1117C621" w14:textId="77777777" w:rsidR="005F7D75" w:rsidRDefault="005F7D75" w:rsidP="00C46111">
      <w:pPr>
        <w:rPr>
          <w:noProof/>
        </w:rPr>
      </w:pPr>
    </w:p>
    <w:p w14:paraId="403780EA" w14:textId="77777777" w:rsidR="005F7D75" w:rsidRDefault="005F7D75" w:rsidP="00C46111">
      <w:pPr>
        <w:rPr>
          <w:noProof/>
        </w:rPr>
      </w:pPr>
    </w:p>
    <w:p w14:paraId="7C20071D" w14:textId="77777777" w:rsidR="005F7D75" w:rsidRDefault="005F7D75" w:rsidP="00C46111">
      <w:pPr>
        <w:rPr>
          <w:noProof/>
        </w:rPr>
      </w:pPr>
    </w:p>
    <w:p w14:paraId="579172ED" w14:textId="77777777" w:rsidR="005F7D75" w:rsidRDefault="005F7D75" w:rsidP="00C46111">
      <w:pPr>
        <w:rPr>
          <w:noProof/>
        </w:rPr>
      </w:pPr>
    </w:p>
    <w:p w14:paraId="59F89357" w14:textId="77777777" w:rsidR="005F7D75" w:rsidRDefault="005F7D75" w:rsidP="00C46111">
      <w:pPr>
        <w:rPr>
          <w:noProof/>
        </w:rPr>
      </w:pPr>
    </w:p>
    <w:p w14:paraId="241FFB1B" w14:textId="77777777" w:rsidR="005F7D75" w:rsidRDefault="005F7D75" w:rsidP="00C46111">
      <w:pPr>
        <w:rPr>
          <w:noProof/>
        </w:rPr>
      </w:pPr>
    </w:p>
    <w:p w14:paraId="2B1D5641" w14:textId="77777777" w:rsidR="005F7D75" w:rsidRDefault="005F7D75" w:rsidP="00C46111">
      <w:pPr>
        <w:rPr>
          <w:noProof/>
        </w:rPr>
      </w:pPr>
    </w:p>
    <w:p w14:paraId="75B17DEF" w14:textId="77777777" w:rsidR="005F7D75" w:rsidRDefault="005F7D75" w:rsidP="00C46111">
      <w:pPr>
        <w:rPr>
          <w:noProof/>
        </w:rPr>
      </w:pPr>
    </w:p>
    <w:p w14:paraId="704E6675" w14:textId="77777777" w:rsidR="005F7D75" w:rsidRDefault="005F7D75" w:rsidP="00C46111">
      <w:pPr>
        <w:rPr>
          <w:noProof/>
        </w:rPr>
      </w:pPr>
    </w:p>
    <w:p w14:paraId="26540F31" w14:textId="77777777" w:rsidR="005F7D75" w:rsidRDefault="005F7D75" w:rsidP="00C46111">
      <w:pPr>
        <w:rPr>
          <w:noProof/>
        </w:rPr>
      </w:pPr>
    </w:p>
    <w:p w14:paraId="433F5986" w14:textId="77777777" w:rsidR="005F7D75" w:rsidRDefault="005F7D75" w:rsidP="00C46111">
      <w:pPr>
        <w:rPr>
          <w:noProof/>
        </w:rPr>
      </w:pPr>
    </w:p>
    <w:p w14:paraId="5407F508" w14:textId="77777777" w:rsidR="005F7D75" w:rsidRDefault="005F7D75" w:rsidP="00C46111">
      <w:pPr>
        <w:rPr>
          <w:noProof/>
        </w:rPr>
      </w:pPr>
    </w:p>
    <w:p w14:paraId="2A4EA882" w14:textId="77777777" w:rsidR="005F7D75" w:rsidRDefault="005F7D75" w:rsidP="00C46111">
      <w:pPr>
        <w:rPr>
          <w:noProof/>
        </w:rPr>
      </w:pPr>
    </w:p>
    <w:p w14:paraId="627B7AC3" w14:textId="77777777" w:rsidR="005F7D75" w:rsidRDefault="005F7D75" w:rsidP="00C46111">
      <w:pPr>
        <w:rPr>
          <w:noProof/>
        </w:rPr>
      </w:pPr>
    </w:p>
    <w:p w14:paraId="3D2E15B5" w14:textId="77777777" w:rsidR="005F7D75" w:rsidRDefault="005F7D75" w:rsidP="00C46111">
      <w:pPr>
        <w:rPr>
          <w:noProof/>
        </w:rPr>
      </w:pPr>
    </w:p>
    <w:p w14:paraId="1FFB5A27" w14:textId="77777777" w:rsidR="005F7D75" w:rsidRDefault="005F7D75" w:rsidP="00C46111">
      <w:pPr>
        <w:rPr>
          <w:noProof/>
        </w:rPr>
      </w:pPr>
    </w:p>
    <w:p w14:paraId="092108A5" w14:textId="77777777" w:rsidR="005F7D75" w:rsidRDefault="005F7D75" w:rsidP="00C46111">
      <w:pPr>
        <w:rPr>
          <w:noProof/>
        </w:rPr>
      </w:pPr>
    </w:p>
    <w:p w14:paraId="0E66DCC4" w14:textId="77777777" w:rsidR="005F7D75" w:rsidRDefault="005F7D75" w:rsidP="00C46111">
      <w:pPr>
        <w:rPr>
          <w:noProof/>
        </w:rPr>
      </w:pPr>
    </w:p>
    <w:p w14:paraId="1DB70EF3" w14:textId="77777777" w:rsidR="005F7D75" w:rsidRDefault="005F7D75" w:rsidP="00C46111">
      <w:pPr>
        <w:rPr>
          <w:noProof/>
        </w:rPr>
      </w:pPr>
    </w:p>
    <w:p w14:paraId="36E2D0CC" w14:textId="77777777" w:rsidR="005F7D75" w:rsidRDefault="005F7D75" w:rsidP="00C46111">
      <w:pPr>
        <w:rPr>
          <w:noProof/>
        </w:rPr>
      </w:pPr>
    </w:p>
    <w:p w14:paraId="265EF7E2" w14:textId="77777777" w:rsidR="005F7D75" w:rsidRDefault="005F7D75" w:rsidP="00C46111">
      <w:pPr>
        <w:rPr>
          <w:noProof/>
        </w:rPr>
      </w:pPr>
    </w:p>
    <w:p w14:paraId="6EB1AB11" w14:textId="77777777" w:rsidR="005F7D75" w:rsidRDefault="005F7D75" w:rsidP="00C46111">
      <w:pPr>
        <w:rPr>
          <w:noProof/>
        </w:rPr>
      </w:pPr>
    </w:p>
    <w:p w14:paraId="67338666" w14:textId="77777777" w:rsidR="005F7D75" w:rsidRDefault="005F7D75" w:rsidP="00C46111">
      <w:pPr>
        <w:rPr>
          <w:noProof/>
        </w:rPr>
      </w:pPr>
    </w:p>
    <w:p w14:paraId="2F9BB2EC" w14:textId="77777777" w:rsidR="005F7D75" w:rsidRDefault="005F7D75" w:rsidP="00C46111">
      <w:pPr>
        <w:rPr>
          <w:noProof/>
        </w:rPr>
      </w:pPr>
    </w:p>
    <w:p w14:paraId="42579A28" w14:textId="77777777" w:rsidR="005F7D75" w:rsidRDefault="005F7D75" w:rsidP="00C46111">
      <w:pPr>
        <w:rPr>
          <w:noProof/>
        </w:rPr>
      </w:pPr>
    </w:p>
    <w:p w14:paraId="664129E6" w14:textId="77777777" w:rsidR="005F7D75" w:rsidRDefault="005F7D75" w:rsidP="00C46111">
      <w:pPr>
        <w:rPr>
          <w:noProof/>
        </w:rPr>
      </w:pPr>
    </w:p>
    <w:p w14:paraId="03F0D60E" w14:textId="09E1D8B5" w:rsidR="00582081" w:rsidRPr="00F52F83" w:rsidRDefault="00582081" w:rsidP="008C1616">
      <w:pPr>
        <w:pStyle w:val="ListParagraph"/>
        <w:spacing w:line="360" w:lineRule="auto"/>
        <w:rPr>
          <w:rFonts w:ascii="Aptos" w:hAnsi="Aptos" w:cs="Arial"/>
          <w:sz w:val="28"/>
          <w:szCs w:val="28"/>
        </w:rPr>
      </w:pPr>
    </w:p>
    <w:sectPr w:rsidR="00582081" w:rsidRPr="00F52F83"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B2CE2" w14:textId="77777777" w:rsidR="00C62F89" w:rsidRDefault="00C62F89" w:rsidP="00D210FA">
      <w:pPr>
        <w:spacing w:after="0"/>
      </w:pPr>
      <w:r>
        <w:separator/>
      </w:r>
    </w:p>
  </w:endnote>
  <w:endnote w:type="continuationSeparator" w:id="0">
    <w:p w14:paraId="0C7FCDD2" w14:textId="77777777" w:rsidR="00C62F89" w:rsidRDefault="00C62F89"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D8774" w14:textId="77777777" w:rsidR="00C62F89" w:rsidRDefault="00C62F89" w:rsidP="00D210FA">
      <w:pPr>
        <w:spacing w:after="0"/>
      </w:pPr>
      <w:r>
        <w:separator/>
      </w:r>
    </w:p>
  </w:footnote>
  <w:footnote w:type="continuationSeparator" w:id="0">
    <w:p w14:paraId="01E265C4" w14:textId="77777777" w:rsidR="00C62F89" w:rsidRDefault="00C62F89"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4"/>
  </w:num>
  <w:num w:numId="2" w16cid:durableId="66732129">
    <w:abstractNumId w:val="3"/>
  </w:num>
  <w:num w:numId="3" w16cid:durableId="1791968620">
    <w:abstractNumId w:val="11"/>
  </w:num>
  <w:num w:numId="4" w16cid:durableId="67852329">
    <w:abstractNumId w:val="12"/>
  </w:num>
  <w:num w:numId="5" w16cid:durableId="825783799">
    <w:abstractNumId w:val="7"/>
  </w:num>
  <w:num w:numId="6" w16cid:durableId="1203637911">
    <w:abstractNumId w:val="6"/>
  </w:num>
  <w:num w:numId="7" w16cid:durableId="1393117886">
    <w:abstractNumId w:val="9"/>
  </w:num>
  <w:num w:numId="8" w16cid:durableId="546726307">
    <w:abstractNumId w:val="8"/>
  </w:num>
  <w:num w:numId="9" w16cid:durableId="1142770867">
    <w:abstractNumId w:val="2"/>
  </w:num>
  <w:num w:numId="10" w16cid:durableId="1077478685">
    <w:abstractNumId w:val="0"/>
  </w:num>
  <w:num w:numId="11" w16cid:durableId="366024991">
    <w:abstractNumId w:val="5"/>
  </w:num>
  <w:num w:numId="12" w16cid:durableId="212468278">
    <w:abstractNumId w:val="1"/>
  </w:num>
  <w:num w:numId="13" w16cid:durableId="5371336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3B85"/>
    <w:rsid w:val="0008782A"/>
    <w:rsid w:val="000A065A"/>
    <w:rsid w:val="000E145B"/>
    <w:rsid w:val="000E56ED"/>
    <w:rsid w:val="00106FC5"/>
    <w:rsid w:val="00120DEC"/>
    <w:rsid w:val="00123C19"/>
    <w:rsid w:val="00155E92"/>
    <w:rsid w:val="001A2DAB"/>
    <w:rsid w:val="001C55B6"/>
    <w:rsid w:val="001D6CC4"/>
    <w:rsid w:val="001E3EA1"/>
    <w:rsid w:val="00206405"/>
    <w:rsid w:val="002341AD"/>
    <w:rsid w:val="00253267"/>
    <w:rsid w:val="002823CD"/>
    <w:rsid w:val="00287787"/>
    <w:rsid w:val="00291685"/>
    <w:rsid w:val="0029329C"/>
    <w:rsid w:val="002B0A3D"/>
    <w:rsid w:val="002E1C14"/>
    <w:rsid w:val="002F26AB"/>
    <w:rsid w:val="003007A7"/>
    <w:rsid w:val="003257E1"/>
    <w:rsid w:val="00325DEC"/>
    <w:rsid w:val="00346FFA"/>
    <w:rsid w:val="00385494"/>
    <w:rsid w:val="003A3069"/>
    <w:rsid w:val="003C20B5"/>
    <w:rsid w:val="003E545F"/>
    <w:rsid w:val="003F03D2"/>
    <w:rsid w:val="003F1E1A"/>
    <w:rsid w:val="004045E5"/>
    <w:rsid w:val="00421496"/>
    <w:rsid w:val="00422C27"/>
    <w:rsid w:val="004356CA"/>
    <w:rsid w:val="0044367C"/>
    <w:rsid w:val="0044412C"/>
    <w:rsid w:val="004642F0"/>
    <w:rsid w:val="00500564"/>
    <w:rsid w:val="00504FA8"/>
    <w:rsid w:val="0051102B"/>
    <w:rsid w:val="00515B43"/>
    <w:rsid w:val="00516CC0"/>
    <w:rsid w:val="00530090"/>
    <w:rsid w:val="00537EB1"/>
    <w:rsid w:val="005475F0"/>
    <w:rsid w:val="00582081"/>
    <w:rsid w:val="005838BC"/>
    <w:rsid w:val="005B57E1"/>
    <w:rsid w:val="005E61E0"/>
    <w:rsid w:val="005F0F31"/>
    <w:rsid w:val="005F7D75"/>
    <w:rsid w:val="006024ED"/>
    <w:rsid w:val="0061793F"/>
    <w:rsid w:val="0062123A"/>
    <w:rsid w:val="00632077"/>
    <w:rsid w:val="006605F8"/>
    <w:rsid w:val="006619AB"/>
    <w:rsid w:val="006676A1"/>
    <w:rsid w:val="006833BD"/>
    <w:rsid w:val="00693E69"/>
    <w:rsid w:val="006D2642"/>
    <w:rsid w:val="006E2D42"/>
    <w:rsid w:val="00720FEE"/>
    <w:rsid w:val="00764B6F"/>
    <w:rsid w:val="007C7319"/>
    <w:rsid w:val="007D43B3"/>
    <w:rsid w:val="007D6FDB"/>
    <w:rsid w:val="007E14C3"/>
    <w:rsid w:val="007F20B4"/>
    <w:rsid w:val="007F525E"/>
    <w:rsid w:val="00802FF1"/>
    <w:rsid w:val="0082695D"/>
    <w:rsid w:val="0083044C"/>
    <w:rsid w:val="00846694"/>
    <w:rsid w:val="0085182D"/>
    <w:rsid w:val="00867E5F"/>
    <w:rsid w:val="008709F5"/>
    <w:rsid w:val="00877A91"/>
    <w:rsid w:val="00884E86"/>
    <w:rsid w:val="00890534"/>
    <w:rsid w:val="00891124"/>
    <w:rsid w:val="008927FF"/>
    <w:rsid w:val="008B0F18"/>
    <w:rsid w:val="008B7267"/>
    <w:rsid w:val="008C1616"/>
    <w:rsid w:val="008E3921"/>
    <w:rsid w:val="0090027B"/>
    <w:rsid w:val="00905238"/>
    <w:rsid w:val="00923890"/>
    <w:rsid w:val="00942A20"/>
    <w:rsid w:val="0094702A"/>
    <w:rsid w:val="00967DAB"/>
    <w:rsid w:val="00990E76"/>
    <w:rsid w:val="00991A53"/>
    <w:rsid w:val="00996F4E"/>
    <w:rsid w:val="009F71FE"/>
    <w:rsid w:val="00A27D8D"/>
    <w:rsid w:val="00A31F33"/>
    <w:rsid w:val="00A56AE4"/>
    <w:rsid w:val="00A70A62"/>
    <w:rsid w:val="00A71DA8"/>
    <w:rsid w:val="00A90A7A"/>
    <w:rsid w:val="00AB1210"/>
    <w:rsid w:val="00AB5409"/>
    <w:rsid w:val="00AB5E0D"/>
    <w:rsid w:val="00AB770D"/>
    <w:rsid w:val="00AF2088"/>
    <w:rsid w:val="00AF5FB0"/>
    <w:rsid w:val="00B0080A"/>
    <w:rsid w:val="00B0538C"/>
    <w:rsid w:val="00B326CB"/>
    <w:rsid w:val="00B376E4"/>
    <w:rsid w:val="00B37AB8"/>
    <w:rsid w:val="00B418DE"/>
    <w:rsid w:val="00B47FE7"/>
    <w:rsid w:val="00B55CB3"/>
    <w:rsid w:val="00B67824"/>
    <w:rsid w:val="00B85F55"/>
    <w:rsid w:val="00BE15BA"/>
    <w:rsid w:val="00C20ED0"/>
    <w:rsid w:val="00C31D85"/>
    <w:rsid w:val="00C348A8"/>
    <w:rsid w:val="00C34FA0"/>
    <w:rsid w:val="00C46111"/>
    <w:rsid w:val="00C47DCC"/>
    <w:rsid w:val="00C62F89"/>
    <w:rsid w:val="00C83332"/>
    <w:rsid w:val="00C95E04"/>
    <w:rsid w:val="00CC0A8F"/>
    <w:rsid w:val="00CC24B6"/>
    <w:rsid w:val="00CD3A64"/>
    <w:rsid w:val="00CE08CD"/>
    <w:rsid w:val="00D0664A"/>
    <w:rsid w:val="00D210FA"/>
    <w:rsid w:val="00D30F1D"/>
    <w:rsid w:val="00D57231"/>
    <w:rsid w:val="00D67F5D"/>
    <w:rsid w:val="00D87B48"/>
    <w:rsid w:val="00D91203"/>
    <w:rsid w:val="00D94FD1"/>
    <w:rsid w:val="00E30E67"/>
    <w:rsid w:val="00E41692"/>
    <w:rsid w:val="00E55D74"/>
    <w:rsid w:val="00E81234"/>
    <w:rsid w:val="00E9037E"/>
    <w:rsid w:val="00E96232"/>
    <w:rsid w:val="00EA120D"/>
    <w:rsid w:val="00EA49C3"/>
    <w:rsid w:val="00EB1A26"/>
    <w:rsid w:val="00EB5E14"/>
    <w:rsid w:val="00EB6F36"/>
    <w:rsid w:val="00EC7A58"/>
    <w:rsid w:val="00ED1049"/>
    <w:rsid w:val="00EE19D9"/>
    <w:rsid w:val="00EF26FC"/>
    <w:rsid w:val="00F37523"/>
    <w:rsid w:val="00F50168"/>
    <w:rsid w:val="00F50D34"/>
    <w:rsid w:val="00F52F83"/>
    <w:rsid w:val="00F61360"/>
    <w:rsid w:val="00F7009D"/>
    <w:rsid w:val="00FC538A"/>
    <w:rsid w:val="00FE2B9F"/>
    <w:rsid w:val="00FE3C22"/>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5:docId w15:val="{CD9588E4-9EEE-45CC-85C3-43F8504B4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9238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170026238">
          <w:marLeft w:val="360"/>
          <w:marRight w:val="0"/>
          <w:marTop w:val="200"/>
          <w:marBottom w:val="0"/>
          <w:divBdr>
            <w:top w:val="none" w:sz="0" w:space="0" w:color="auto"/>
            <w:left w:val="none" w:sz="0" w:space="0" w:color="auto"/>
            <w:bottom w:val="none" w:sz="0" w:space="0" w:color="auto"/>
            <w:right w:val="none" w:sz="0" w:space="0" w:color="auto"/>
          </w:divBdr>
        </w:div>
        <w:div w:id="377171730">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75517881">
          <w:marLeft w:val="360"/>
          <w:marRight w:val="0"/>
          <w:marTop w:val="200"/>
          <w:marBottom w:val="0"/>
          <w:divBdr>
            <w:top w:val="none" w:sz="0" w:space="0" w:color="auto"/>
            <w:left w:val="none" w:sz="0" w:space="0" w:color="auto"/>
            <w:bottom w:val="none" w:sz="0" w:space="0" w:color="auto"/>
            <w:right w:val="none" w:sz="0" w:space="0" w:color="auto"/>
          </w:divBdr>
        </w:div>
        <w:div w:id="1323120837">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Colors" Target="diagrams/colors1.xml"/><Relationship Id="rId26" Type="http://schemas.openxmlformats.org/officeDocument/2006/relationships/hyperlink" Target="https://library.leeds.ac.uk/info/1404/literature_searching/14/literature_searching_explained/4" TargetMode="External"/><Relationship Id="rId3" Type="http://schemas.openxmlformats.org/officeDocument/2006/relationships/customXml" Target="../customXml/item3.xml"/><Relationship Id="rId21" Type="http://schemas.openxmlformats.org/officeDocument/2006/relationships/hyperlink" Target="https://doi.org/10.1145/3544548.3581203"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QuickStyle" Target="diagrams/quickStyle1.xml"/><Relationship Id="rId25" Type="http://schemas.openxmlformats.org/officeDocument/2006/relationships/hyperlink" Target="https://doi.org/10.1002/widm.1444"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yperlink" Target="https://doi.org/10.11124/jbies-22-0012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earning.nspcc.org.uk/research-resources/pre-2013/child-abuse-neglect-uk-today" TargetMode="Externa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hyperlink" Target="https://www.kingsfund.org.uk/insight-and-analysis/long-reads/mental-health-360-services-children-young-people" TargetMode="External"/><Relationship Id="rId28" Type="http://schemas.openxmlformats.org/officeDocument/2006/relationships/theme" Target="theme/theme1.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hyperlink" Target="https://www.sjsu.edu/writingcenter/docs/handouts/Methodology.pdf"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UK</a:t>
            </a:r>
            <a:r>
              <a:rPr lang="en-US" baseline="0"/>
              <a:t> Children: Domestic Violence Exposure vs Mental Health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Percentage of Children</c:v>
                </c:pt>
              </c:strCache>
            </c:strRef>
          </c:tx>
          <c:spPr>
            <a:solidFill>
              <a:schemeClr val="accent1"/>
            </a:solidFill>
            <a:ln>
              <a:noFill/>
            </a:ln>
            <a:effectLst/>
          </c:spPr>
          <c:invertIfNegative val="0"/>
          <c:cat>
            <c:strRef>
              <c:f>Sheet1!$A$2:$A$5</c:f>
              <c:strCache>
                <c:ptCount val="2"/>
                <c:pt idx="0">
                  <c:v>Exposed to DV</c:v>
                </c:pt>
                <c:pt idx="1">
                  <c:v>Probable Mental Disorder</c:v>
                </c:pt>
              </c:strCache>
            </c:strRef>
          </c:cat>
          <c:val>
            <c:numRef>
              <c:f>Sheet1!$B$2:$B$5</c:f>
              <c:numCache>
                <c:formatCode>General</c:formatCode>
                <c:ptCount val="4"/>
                <c:pt idx="0">
                  <c:v>20</c:v>
                </c:pt>
                <c:pt idx="1">
                  <c:v>9.5</c:v>
                </c:pt>
              </c:numCache>
            </c:numRef>
          </c:val>
          <c:extLst>
            <c:ext xmlns:c16="http://schemas.microsoft.com/office/drawing/2014/chart" uri="{C3380CC4-5D6E-409C-BE32-E72D297353CC}">
              <c16:uniqueId val="{00000000-3EB4-4125-9987-BFD19FBE77A5}"/>
            </c:ext>
          </c:extLst>
        </c:ser>
        <c:dLbls>
          <c:showLegendKey val="0"/>
          <c:showVal val="0"/>
          <c:showCatName val="0"/>
          <c:showSerName val="0"/>
          <c:showPercent val="0"/>
          <c:showBubbleSize val="0"/>
        </c:dLbls>
        <c:gapWidth val="219"/>
        <c:overlap val="-27"/>
        <c:axId val="1708926399"/>
        <c:axId val="1708922559"/>
      </c:barChart>
      <c:catAx>
        <c:axId val="17089263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8922559"/>
        <c:crosses val="autoZero"/>
        <c:auto val="1"/>
        <c:lblAlgn val="ctr"/>
        <c:lblOffset val="100"/>
        <c:noMultiLvlLbl val="0"/>
      </c:catAx>
      <c:valAx>
        <c:axId val="17089225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89263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D895BCAF-11FD-4161-9460-71155FF594D5}">
      <dgm:prSet/>
      <dgm:spPr/>
      <dgm:t>
        <a:bodyPr/>
        <a:lstStyle/>
        <a:p>
          <a:pPr>
            <a:lnSpc>
              <a:spcPct val="150000"/>
            </a:lnSpc>
          </a:pPr>
          <a:r>
            <a:rPr lang="en-GB" b="1" i="0">
              <a:latin typeface="Aptos" panose="020B0004020202020204" pitchFamily="34" charset="0"/>
            </a:rPr>
            <a:t>Respect for Sensitive Topics</a:t>
          </a:r>
          <a:endParaRPr lang="en-GB">
            <a:latin typeface="Aptos" panose="020B00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dgm:t>
        <a:bodyPr/>
        <a:lstStyle/>
        <a:p>
          <a:pPr>
            <a:lnSpc>
              <a:spcPct val="150000"/>
            </a:lnSpc>
          </a:pPr>
          <a:r>
            <a:rPr lang="en-GB" b="0" i="0" dirty="0">
              <a:latin typeface="Aptos" panose="020B0004020202020204" pitchFamily="34" charset="0"/>
            </a:rPr>
            <a:t>Handle issues of domestic violence and child mental health with sensitivity. </a:t>
          </a:r>
          <a:endParaRPr lang="en-GB" dirty="0">
            <a:latin typeface="Aptos" panose="020B0004020202020204" pitchFamily="34" charset="0"/>
          </a:endParaRP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D2F35989-0D76-4707-8851-E95507DAC780}">
      <dgm:prSet/>
      <dgm:spPr/>
      <dgm:t>
        <a:bodyPr/>
        <a:lstStyle/>
        <a:p>
          <a:pPr>
            <a:lnSpc>
              <a:spcPct val="150000"/>
            </a:lnSpc>
          </a:pPr>
          <a:r>
            <a:rPr lang="en-GB" b="1" i="0">
              <a:latin typeface="Aptos" panose="020B0004020202020204" pitchFamily="34" charset="0"/>
            </a:rPr>
            <a:t>Privacy and Confidentiality</a:t>
          </a:r>
          <a:endParaRPr lang="en-GB">
            <a:latin typeface="Aptos" panose="020B00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B8AA4B07-C565-4CCF-9950-02D7DCC3515C}">
      <dgm:prSet/>
      <dgm:spPr/>
      <dgm:t>
        <a:bodyPr/>
        <a:lstStyle/>
        <a:p>
          <a:pPr>
            <a:lnSpc>
              <a:spcPct val="150000"/>
            </a:lnSpc>
          </a:pPr>
          <a:r>
            <a:rPr lang="en-GB" b="0" i="0">
              <a:latin typeface="Aptos" panose="020B0004020202020204" pitchFamily="34" charset="0"/>
            </a:rPr>
            <a:t>Ensure all secondary data is anonymised.</a:t>
          </a:r>
          <a:endParaRPr lang="en-GB">
            <a:latin typeface="Aptos" panose="020B0004020202020204" pitchFamily="34" charset="0"/>
          </a:endParaRP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5674B894-A55E-4559-8EA7-028C3F32E4B2}">
      <dgm:prSet/>
      <dgm:spPr/>
      <dgm:t>
        <a:bodyPr/>
        <a:lstStyle/>
        <a:p>
          <a:pPr>
            <a:lnSpc>
              <a:spcPct val="150000"/>
            </a:lnSpc>
          </a:pPr>
          <a:r>
            <a:rPr lang="en-GB" b="1" i="0">
              <a:latin typeface="Aptos" panose="020B0004020202020204" pitchFamily="34" charset="0"/>
            </a:rPr>
            <a:t>Credible and Responsible Sourcing</a:t>
          </a:r>
          <a:endParaRPr lang="en-GB">
            <a:latin typeface="Aptos" panose="020B0004020202020204" pitchFamily="34" charset="0"/>
          </a:endParaRPr>
        </a:p>
      </dgm:t>
    </dgm:pt>
    <dgm:pt modelId="{CF4D6B60-7FC7-4A9C-B7E1-C22EA10EB381}" type="parTrans" cxnId="{8A48955A-FF8F-4776-99D4-D2F9A35739B0}">
      <dgm:prSet/>
      <dgm:spPr/>
      <dgm:t>
        <a:bodyPr/>
        <a:lstStyle/>
        <a:p>
          <a:pPr>
            <a:lnSpc>
              <a:spcPct val="150000"/>
            </a:lnSpc>
          </a:pPr>
          <a:endParaRPr lang="en-GB">
            <a:latin typeface="Aptos" panose="020B0004020202020204" pitchFamily="34" charset="0"/>
          </a:endParaRPr>
        </a:p>
      </dgm:t>
    </dgm:pt>
    <dgm:pt modelId="{94E754A5-C7C4-42B9-A350-BD17338F58B9}" type="sibTrans" cxnId="{8A48955A-FF8F-4776-99D4-D2F9A35739B0}">
      <dgm:prSet/>
      <dgm:spPr/>
      <dgm:t>
        <a:bodyPr/>
        <a:lstStyle/>
        <a:p>
          <a:pPr>
            <a:lnSpc>
              <a:spcPct val="150000"/>
            </a:lnSpc>
          </a:pPr>
          <a:endParaRPr lang="en-GB">
            <a:latin typeface="Aptos" panose="020B0004020202020204" pitchFamily="34" charset="0"/>
          </a:endParaRPr>
        </a:p>
      </dgm:t>
    </dgm:pt>
    <dgm:pt modelId="{DED7677A-A811-4E99-A359-AF267F66CB3B}">
      <dgm:prSet/>
      <dgm:spPr/>
      <dgm:t>
        <a:bodyPr/>
        <a:lstStyle/>
        <a:p>
          <a:pPr>
            <a:lnSpc>
              <a:spcPct val="150000"/>
            </a:lnSpc>
          </a:pPr>
          <a:r>
            <a:rPr lang="en-GB" b="1" i="0" dirty="0">
              <a:latin typeface="Aptos" panose="020B0004020202020204" pitchFamily="34" charset="0"/>
            </a:rPr>
            <a:t>Compliance with Ethical Standards</a:t>
          </a:r>
          <a:endParaRPr lang="en-GB" dirty="0">
            <a:latin typeface="Aptos" panose="020B00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31ECEDD7-80EF-414B-BE50-B610D566367B}">
      <dgm:prSet/>
      <dgm:spPr/>
      <dgm:t>
        <a:bodyPr/>
        <a:lstStyle/>
        <a:p>
          <a:pPr>
            <a:lnSpc>
              <a:spcPct val="150000"/>
            </a:lnSpc>
          </a:pPr>
          <a:r>
            <a:rPr lang="en-GB" b="0" i="0">
              <a:latin typeface="Aptos" panose="020B0004020202020204" pitchFamily="34" charset="0"/>
            </a:rPr>
            <a:t>Use only peer - reviewed, UK- based, and ethically approved studies to ensure reliable, evidence - based findings.</a:t>
          </a:r>
          <a:endParaRPr lang="en-GB">
            <a:latin typeface="Aptos" panose="020B0004020202020204" pitchFamily="34" charset="0"/>
          </a:endParaRPr>
        </a:p>
      </dgm:t>
    </dgm:pt>
    <dgm:pt modelId="{20439AF7-F994-4596-8154-7958604637F8}" type="parTrans" cxnId="{7B9CB682-0DC9-4815-951A-E787AB7CD2FE}">
      <dgm:prSet/>
      <dgm:spPr/>
      <dgm:t>
        <a:bodyPr/>
        <a:lstStyle/>
        <a:p>
          <a:pPr>
            <a:lnSpc>
              <a:spcPct val="150000"/>
            </a:lnSpc>
          </a:pPr>
          <a:endParaRPr lang="en-GB">
            <a:latin typeface="Aptos" panose="020B00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ptos" panose="020B0004020202020204" pitchFamily="34" charset="0"/>
          </a:endParaRPr>
        </a:p>
      </dgm:t>
    </dgm:pt>
    <dgm:pt modelId="{D0F2A51A-8617-4842-9A50-755676DCD3DD}">
      <dgm:prSet/>
      <dgm:spPr/>
      <dgm:t>
        <a:bodyPr/>
        <a:lstStyle/>
        <a:p>
          <a:pPr>
            <a:lnSpc>
              <a:spcPct val="150000"/>
            </a:lnSpc>
          </a:pPr>
          <a:r>
            <a:rPr lang="en-GB">
              <a:latin typeface="Aptos" panose="020B0004020202020204" pitchFamily="34" charset="0"/>
            </a:rPr>
            <a:t>Cite all sources accurately, avoided plagiarism, and acknowledged the original authors' contributions and findings.</a:t>
          </a:r>
        </a:p>
      </dgm:t>
    </dgm:pt>
    <dgm:pt modelId="{DD30637A-3765-4C05-B6F7-B47484906C94}" type="parTrans" cxnId="{19EBC273-BE40-4DF3-AD90-42CF3D009016}">
      <dgm:prSet/>
      <dgm:spPr/>
      <dgm:t>
        <a:bodyPr/>
        <a:lstStyle/>
        <a:p>
          <a:pPr>
            <a:lnSpc>
              <a:spcPct val="150000"/>
            </a:lnSpc>
          </a:pPr>
          <a:endParaRPr lang="en-GB">
            <a:latin typeface="Aptos" panose="020B0004020202020204" pitchFamily="34" charset="0"/>
          </a:endParaRPr>
        </a:p>
      </dgm:t>
    </dgm:pt>
    <dgm:pt modelId="{6BC62B7F-2BE1-4735-BEF1-C93E581063AE}" type="sibTrans" cxnId="{19EBC273-BE40-4DF3-AD90-42CF3D009016}">
      <dgm:prSet/>
      <dgm:spPr/>
      <dgm:t>
        <a:bodyPr/>
        <a:lstStyle/>
        <a:p>
          <a:pPr>
            <a:lnSpc>
              <a:spcPct val="150000"/>
            </a:lnSpc>
          </a:pPr>
          <a:endParaRPr lang="en-GB">
            <a:latin typeface="Aptos" panose="020B0004020202020204" pitchFamily="34" charset="0"/>
          </a:endParaRPr>
        </a:p>
      </dgm:t>
    </dgm:pt>
    <dgm:pt modelId="{C265F219-E085-47C1-B4E3-8FDDFA25F889}">
      <dgm:prSet/>
      <dgm:spPr/>
      <dgm:t>
        <a:bodyPr/>
        <a:lstStyle/>
        <a:p>
          <a:pPr>
            <a:lnSpc>
              <a:spcPct val="150000"/>
            </a:lnSpc>
          </a:pPr>
          <a:r>
            <a:rPr lang="en-GB" b="0" i="0" dirty="0">
              <a:latin typeface="Aptos" panose="020B0004020202020204" pitchFamily="34" charset="0"/>
            </a:rPr>
            <a:t>Avoid language or sources that could cause distress or misrepresentation.</a:t>
          </a:r>
          <a:endParaRPr lang="en-GB" dirty="0">
            <a:latin typeface="Aptos" panose="020B0004020202020204" pitchFamily="34" charset="0"/>
          </a:endParaRPr>
        </a:p>
      </dgm:t>
    </dgm:pt>
    <dgm:pt modelId="{CFB48789-B765-4BE4-8DB6-CD599F6A3E37}" type="parTrans" cxnId="{54D0ECD0-EE84-49E7-8142-950C154DBDA3}">
      <dgm:prSet/>
      <dgm:spPr/>
      <dgm:t>
        <a:bodyPr/>
        <a:lstStyle/>
        <a:p>
          <a:endParaRPr lang="en-GB"/>
        </a:p>
      </dgm:t>
    </dgm:pt>
    <dgm:pt modelId="{19FFA166-1C07-47F4-A622-03A6AB1AE0CC}" type="sibTrans" cxnId="{54D0ECD0-EE84-49E7-8142-950C154DBDA3}">
      <dgm:prSet/>
      <dgm:spPr/>
      <dgm:t>
        <a:bodyPr/>
        <a:lstStyle/>
        <a:p>
          <a:endParaRPr lang="en-GB"/>
        </a:p>
      </dgm:t>
    </dgm:pt>
    <dgm:pt modelId="{6912F536-29D7-4B81-A0D9-7DBA419F18BC}">
      <dgm:prSet/>
      <dgm:spPr/>
      <dgm:t>
        <a:bodyPr/>
        <a:lstStyle/>
        <a:p>
          <a:pPr>
            <a:lnSpc>
              <a:spcPct val="150000"/>
            </a:lnSpc>
          </a:pPr>
          <a:r>
            <a:rPr lang="en-GB" b="0" i="0">
              <a:latin typeface="Aptos" panose="020B0004020202020204" pitchFamily="34" charset="0"/>
            </a:rPr>
            <a:t>No identifiable information about children, families, or victims are used.</a:t>
          </a:r>
          <a:endParaRPr lang="en-GB">
            <a:latin typeface="Aptos" panose="020B0004020202020204" pitchFamily="34" charset="0"/>
          </a:endParaRPr>
        </a:p>
      </dgm:t>
    </dgm:pt>
    <dgm:pt modelId="{06B5246B-93DE-4F7F-8D12-029102464006}" type="parTrans" cxnId="{6270F23B-2878-4233-B95C-55CE60250444}">
      <dgm:prSet/>
      <dgm:spPr/>
      <dgm:t>
        <a:bodyPr/>
        <a:lstStyle/>
        <a:p>
          <a:endParaRPr lang="en-GB"/>
        </a:p>
      </dgm:t>
    </dgm:pt>
    <dgm:pt modelId="{BFD3EE49-C44D-4C93-9965-15D4B3EF0AA4}" type="sibTrans" cxnId="{6270F23B-2878-4233-B95C-55CE60250444}">
      <dgm:prSet/>
      <dgm:spPr/>
      <dgm:t>
        <a:bodyPr/>
        <a:lstStyle/>
        <a:p>
          <a:endParaRPr lang="en-GB"/>
        </a:p>
      </dgm:t>
    </dgm:pt>
    <dgm:pt modelId="{F5AC5549-675B-444B-905D-2F1D9FDC1779}">
      <dgm:prSet/>
      <dgm:spPr/>
      <dgm:t>
        <a:bodyPr/>
        <a:lstStyle/>
        <a:p>
          <a:pPr>
            <a:lnSpc>
              <a:spcPct val="150000"/>
            </a:lnSpc>
          </a:pPr>
          <a:r>
            <a:rPr lang="en-GB" dirty="0">
              <a:latin typeface="Aptos" panose="020B0004020202020204" pitchFamily="34" charset="0"/>
            </a:rPr>
            <a:t>Respect for Intellectual Property</a:t>
          </a:r>
        </a:p>
      </dgm:t>
    </dgm:pt>
    <dgm:pt modelId="{B7249222-7390-4801-8772-10BB94E221D0}" type="sibTrans" cxnId="{F047993C-E79F-4DF4-8E68-009CE95435BF}">
      <dgm:prSet/>
      <dgm:spPr/>
      <dgm:t>
        <a:bodyPr/>
        <a:lstStyle/>
        <a:p>
          <a:pPr>
            <a:lnSpc>
              <a:spcPct val="150000"/>
            </a:lnSpc>
          </a:pPr>
          <a:endParaRPr lang="en-GB">
            <a:latin typeface="Aptos" panose="020B00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ptos" panose="020B0004020202020204" pitchFamily="34" charset="0"/>
          </a:endParaRPr>
        </a:p>
      </dgm:t>
    </dgm:pt>
    <dgm:pt modelId="{7D9AB477-3831-4B66-903C-51888FAB2EF1}">
      <dgm:prSet/>
      <dgm:spPr/>
      <dgm:t>
        <a:bodyPr/>
        <a:lstStyle/>
        <a:p>
          <a:pPr>
            <a:lnSpc>
              <a:spcPct val="150000"/>
            </a:lnSpc>
          </a:pPr>
          <a:r>
            <a:rPr lang="en-GB" b="0" i="0">
              <a:latin typeface="Aptos" panose="020B0004020202020204" pitchFamily="34" charset="0"/>
            </a:rPr>
            <a:t> Follow institutional ehtical guidlines and GDPR to ensure responsible use of data and adherence to UK research policies. </a:t>
          </a:r>
          <a:endParaRPr lang="en-GB">
            <a:latin typeface="Aptos" panose="020B0004020202020204" pitchFamily="34" charset="0"/>
          </a:endParaRPr>
        </a:p>
      </dgm:t>
    </dgm:pt>
    <dgm:pt modelId="{13866862-3E71-49D6-8E54-5828906B8520}" type="sibTrans" cxnId="{62CB3FEB-664D-43E7-89EF-51AA5774E707}">
      <dgm:prSet/>
      <dgm:spPr/>
      <dgm:t>
        <a:bodyPr/>
        <a:lstStyle/>
        <a:p>
          <a:pPr>
            <a:lnSpc>
              <a:spcPct val="150000"/>
            </a:lnSpc>
          </a:pPr>
          <a:endParaRPr lang="en-GB">
            <a:latin typeface="Aptos" panose="020B0004020202020204" pitchFamily="34" charset="0"/>
          </a:endParaRPr>
        </a:p>
      </dgm:t>
    </dgm:pt>
    <dgm:pt modelId="{1C5BF6D7-9EA3-4496-9259-CCFB570AB9BC}" type="parTrans" cxnId="{62CB3FEB-664D-43E7-89EF-51AA5774E707}">
      <dgm:prSet/>
      <dgm:spPr/>
      <dgm:t>
        <a:bodyPr/>
        <a:lstStyle/>
        <a:p>
          <a:pPr>
            <a:lnSpc>
              <a:spcPct val="150000"/>
            </a:lnSpc>
          </a:pPr>
          <a:endParaRPr lang="en-GB">
            <a:latin typeface="Aptos" panose="020B0004020202020204" pitchFamily="34" charset="0"/>
          </a:endParaRPr>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custScaleX="9725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custScaleX="102958">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custLinFactNeighborX="-480">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custLinFactNeighborX="1215" custLinFactNeighborY="-1612">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1D40D500-2967-46E3-817F-582348E97C84}" type="presOf" srcId="{D0F2A51A-8617-4842-9A50-755676DCD3DD}" destId="{3FAC58C7-563C-4DE2-B8E2-03C2F5DF4A75}" srcOrd="0" destOrd="0" presId="urn:microsoft.com/office/officeart/2005/8/layout/hList1"/>
    <dgm:cxn modelId="{DA224816-7824-4FE5-9CD1-3E0ECE27E8A0}" srcId="{D895BCAF-11FD-4161-9460-71155FF594D5}" destId="{DD8DD7F7-557F-4529-952E-996BE575A6CC}" srcOrd="0" destOrd="0" parTransId="{898A7FBF-8854-4FCD-8F75-6D0A10D342BF}" sibTransId="{069345D4-AF17-4BE2-BEFD-16AAD453ED22}"/>
    <dgm:cxn modelId="{56DD223B-87BE-41AD-A123-502044CB6C82}" srcId="{7634D104-7D93-4DC9-AA78-CFDC22EB2B7D}" destId="{D895BCAF-11FD-4161-9460-71155FF594D5}" srcOrd="0" destOrd="0" parTransId="{55C24B6C-44F8-45FA-AE8C-D7852F8F756E}" sibTransId="{1D8F6D8C-F89F-400C-A451-06369F630D13}"/>
    <dgm:cxn modelId="{6270F23B-2878-4233-B95C-55CE60250444}" srcId="{D2F35989-0D76-4707-8851-E95507DAC780}" destId="{6912F536-29D7-4B81-A0D9-7DBA419F18BC}" srcOrd="1" destOrd="0" parTransId="{06B5246B-93DE-4F7F-8D12-029102464006}" sibTransId="{BFD3EE49-C44D-4C93-9965-15D4B3EF0AA4}"/>
    <dgm:cxn modelId="{F047993C-E79F-4DF4-8E68-009CE95435BF}" srcId="{7634D104-7D93-4DC9-AA78-CFDC22EB2B7D}" destId="{F5AC5549-675B-444B-905D-2F1D9FDC1779}" srcOrd="4" destOrd="0" parTransId="{AC81EE79-FF8C-4405-963A-7F74BE293A69}" sibTransId="{B7249222-7390-4801-8772-10BB94E221D0}"/>
    <dgm:cxn modelId="{399E6863-0942-4C7F-888F-D5A856FD2535}" type="presOf" srcId="{D2F35989-0D76-4707-8851-E95507DAC780}" destId="{0F07604D-46A6-4ADA-B996-B9E43A897BA8}" srcOrd="0" destOrd="0" presId="urn:microsoft.com/office/officeart/2005/8/layout/hList1"/>
    <dgm:cxn modelId="{26D86D64-66EE-40BD-AC10-6B5B4A83706C}" type="presOf" srcId="{6912F536-29D7-4B81-A0D9-7DBA419F18BC}" destId="{D9C43641-36D4-43D5-A2FD-0F9F6D2C43BC}" srcOrd="0" destOrd="1" presId="urn:microsoft.com/office/officeart/2005/8/layout/hList1"/>
    <dgm:cxn modelId="{5EDB3766-A34E-4BF8-AAD2-7E410EE2BF08}" type="presOf" srcId="{C265F219-E085-47C1-B4E3-8FDDFA25F889}" destId="{0916EB88-9427-4C81-A0D0-B1BC4D25BFB9}" srcOrd="0" destOrd="1"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81E8ED4A-9C61-4261-A97E-A8FB2B721822}" srcId="{7634D104-7D93-4DC9-AA78-CFDC22EB2B7D}" destId="{DED7677A-A811-4E99-A359-AF267F66CB3B}" srcOrd="3" destOrd="0" parTransId="{F38EF5EE-50CB-434C-B7C2-9D5B46BCDA7A}" sibTransId="{9F4A521B-0AB9-4C49-8D3E-A4522CDAC745}"/>
    <dgm:cxn modelId="{6D02BE70-8BF6-45CD-ABFA-06108FDCC6B4}" type="presOf" srcId="{B8AA4B07-C565-4CCF-9950-02D7DCC3515C}" destId="{D9C43641-36D4-43D5-A2FD-0F9F6D2C43BC}" srcOrd="0" destOrd="0" presId="urn:microsoft.com/office/officeart/2005/8/layout/hList1"/>
    <dgm:cxn modelId="{19EBC273-BE40-4DF3-AD90-42CF3D009016}" srcId="{F5AC5549-675B-444B-905D-2F1D9FDC1779}" destId="{D0F2A51A-8617-4842-9A50-755676DCD3DD}" srcOrd="0" destOrd="0" parTransId="{DD30637A-3765-4C05-B6F7-B47484906C94}" sibTransId="{6BC62B7F-2BE1-4735-BEF1-C93E581063AE}"/>
    <dgm:cxn modelId="{F0545359-5F04-43E8-A631-131816166571}" type="presOf" srcId="{7D9AB477-3831-4B66-903C-51888FAB2EF1}" destId="{0426731F-8A3C-42F1-804E-8F6D7BF28D02}"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E184228C-34B7-4DE5-A1F8-16A52B0ADA2D}" type="presOf" srcId="{7634D104-7D93-4DC9-AA78-CFDC22EB2B7D}" destId="{15D7D02F-9806-4A7F-A42D-FE7E83343FED}" srcOrd="0" destOrd="0" presId="urn:microsoft.com/office/officeart/2005/8/layout/hList1"/>
    <dgm:cxn modelId="{BE8BA2AF-7358-466A-818A-8E689518B231}" type="presOf" srcId="{DED7677A-A811-4E99-A359-AF267F66CB3B}" destId="{4B0BA49E-53FB-4A48-8A53-1DCC68267D3A}" srcOrd="0" destOrd="0" presId="urn:microsoft.com/office/officeart/2005/8/layout/hList1"/>
    <dgm:cxn modelId="{4A6AD1C3-5816-4962-BB6E-DFFD66292B92}" type="presOf" srcId="{F5AC5549-675B-444B-905D-2F1D9FDC1779}" destId="{527B8B4B-D6E7-4EB7-86F6-6A7D2579D756}"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54D0ECD0-EE84-49E7-8142-950C154DBDA3}" srcId="{D895BCAF-11FD-4161-9460-71155FF594D5}" destId="{C265F219-E085-47C1-B4E3-8FDDFA25F889}" srcOrd="1" destOrd="0" parTransId="{CFB48789-B765-4BE4-8DB6-CD599F6A3E37}" sibTransId="{19FFA166-1C07-47F4-A622-03A6AB1AE0CC}"/>
    <dgm:cxn modelId="{69B898E8-8AC1-49BC-ACDC-C481A18F83F5}" type="presOf" srcId="{DD8DD7F7-557F-4529-952E-996BE575A6CC}" destId="{0916EB88-9427-4C81-A0D0-B1BC4D25BFB9}"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6BE8E3EC-C2A7-498E-A235-A16E4F8BFFEE}" type="presOf" srcId="{31ECEDD7-80EF-414B-BE50-B610D566367B}" destId="{B4F89DDA-DC7D-4C4E-967D-E22B07A05DB1}" srcOrd="0" destOrd="0"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 modelId="{34069BD4-39E5-46B5-812D-488EA03F16BC}" type="presParOf" srcId="{15D7D02F-9806-4A7F-A42D-FE7E83343FED}" destId="{3A60D635-F235-4B71-8993-A550528BFBFB}" srcOrd="5" destOrd="0" presId="urn:microsoft.com/office/officeart/2005/8/layout/hList1"/>
    <dgm:cxn modelId="{F67628F1-777E-458A-ABC5-61A0314751DF}" type="presParOf" srcId="{15D7D02F-9806-4A7F-A42D-FE7E83343FED}" destId="{F2A85F99-7F33-46A4-9E84-7525455EC96E}" srcOrd="6" destOrd="0" presId="urn:microsoft.com/office/officeart/2005/8/layout/hList1"/>
    <dgm:cxn modelId="{3170DE25-156A-4863-BC4C-8C91C9A5D814}" type="presParOf" srcId="{F2A85F99-7F33-46A4-9E84-7525455EC96E}" destId="{4B0BA49E-53FB-4A48-8A53-1DCC68267D3A}" srcOrd="0" destOrd="0" presId="urn:microsoft.com/office/officeart/2005/8/layout/hList1"/>
    <dgm:cxn modelId="{70DC27C0-6B04-49DC-9116-F0D087BAE3E5}" type="presParOf" srcId="{F2A85F99-7F33-46A4-9E84-7525455EC96E}" destId="{0426731F-8A3C-42F1-804E-8F6D7BF28D02}" srcOrd="1" destOrd="0" presId="urn:microsoft.com/office/officeart/2005/8/layout/hList1"/>
    <dgm:cxn modelId="{0A3D3E68-E253-4BBB-93FE-D0529826BEE8}" type="presParOf" srcId="{15D7D02F-9806-4A7F-A42D-FE7E83343FED}" destId="{D9831088-02B0-4486-B332-594DEF4AFDB7}" srcOrd="7" destOrd="0" presId="urn:microsoft.com/office/officeart/2005/8/layout/hList1"/>
    <dgm:cxn modelId="{59A3EAA2-7F04-462A-B61D-E06E4901F47A}" type="presParOf" srcId="{15D7D02F-9806-4A7F-A42D-FE7E83343FED}" destId="{25E0243E-9C63-48E2-BDA9-959F204AC029}" srcOrd="8" destOrd="0" presId="urn:microsoft.com/office/officeart/2005/8/layout/hList1"/>
    <dgm:cxn modelId="{18B45B99-086B-4028-98E6-CEEE9E130CCE}" type="presParOf" srcId="{25E0243E-9C63-48E2-BDA9-959F204AC029}" destId="{527B8B4B-D6E7-4EB7-86F6-6A7D2579D756}" srcOrd="0" destOrd="0" presId="urn:microsoft.com/office/officeart/2005/8/layout/hList1"/>
    <dgm:cxn modelId="{BCF933E7-95C5-4DB2-AAEE-46F81520A954}"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26600" y="73526"/>
          <a:ext cx="1544577" cy="526747"/>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150000"/>
            </a:lnSpc>
            <a:spcBef>
              <a:spcPct val="0"/>
            </a:spcBef>
            <a:spcAft>
              <a:spcPct val="35000"/>
            </a:spcAft>
            <a:buNone/>
          </a:pPr>
          <a:r>
            <a:rPr lang="en-GB" sz="1000" b="1" i="0" kern="1200">
              <a:latin typeface="Aptos" panose="020B0004020202020204" pitchFamily="34" charset="0"/>
            </a:rPr>
            <a:t>Respect for Sensitive Topics</a:t>
          </a:r>
          <a:endParaRPr lang="en-GB" sz="1000" kern="1200">
            <a:latin typeface="Aptos" panose="020B0004020202020204" pitchFamily="34" charset="0"/>
          </a:endParaRPr>
        </a:p>
      </dsp:txBody>
      <dsp:txXfrm>
        <a:off x="26600" y="73526"/>
        <a:ext cx="1544577" cy="526747"/>
      </dsp:txXfrm>
    </dsp:sp>
    <dsp:sp modelId="{0916EB88-9427-4C81-A0D0-B1BC4D25BFB9}">
      <dsp:nvSpPr>
        <dsp:cNvPr id="0" name=""/>
        <dsp:cNvSpPr/>
      </dsp:nvSpPr>
      <dsp:spPr>
        <a:xfrm>
          <a:off x="4802" y="600273"/>
          <a:ext cx="1588172" cy="20312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150000"/>
            </a:lnSpc>
            <a:spcBef>
              <a:spcPct val="0"/>
            </a:spcBef>
            <a:spcAft>
              <a:spcPct val="15000"/>
            </a:spcAft>
            <a:buChar char="•"/>
          </a:pPr>
          <a:r>
            <a:rPr lang="en-GB" sz="1000" b="0" i="0" kern="1200" dirty="0">
              <a:latin typeface="Aptos" panose="020B0004020202020204" pitchFamily="34" charset="0"/>
            </a:rPr>
            <a:t>Handle issues of domestic violence and child mental health with sensitivity. </a:t>
          </a:r>
          <a:endParaRPr lang="en-GB" sz="1000" kern="1200" dirty="0">
            <a:latin typeface="Aptos" panose="020B0004020202020204" pitchFamily="34" charset="0"/>
          </a:endParaRPr>
        </a:p>
        <a:p>
          <a:pPr marL="57150" lvl="1" indent="-57150" algn="l" defTabSz="444500">
            <a:lnSpc>
              <a:spcPct val="150000"/>
            </a:lnSpc>
            <a:spcBef>
              <a:spcPct val="0"/>
            </a:spcBef>
            <a:spcAft>
              <a:spcPct val="15000"/>
            </a:spcAft>
            <a:buChar char="•"/>
          </a:pPr>
          <a:r>
            <a:rPr lang="en-GB" sz="1000" b="0" i="0" kern="1200" dirty="0">
              <a:latin typeface="Aptos" panose="020B0004020202020204" pitchFamily="34" charset="0"/>
            </a:rPr>
            <a:t>Avoid language or sources that could cause distress or misrepresentation.</a:t>
          </a:r>
          <a:endParaRPr lang="en-GB" sz="1000" kern="1200" dirty="0">
            <a:latin typeface="Aptos" panose="020B0004020202020204" pitchFamily="34" charset="0"/>
          </a:endParaRPr>
        </a:p>
      </dsp:txBody>
      <dsp:txXfrm>
        <a:off x="4802" y="600273"/>
        <a:ext cx="1588172" cy="2031299"/>
      </dsp:txXfrm>
    </dsp:sp>
    <dsp:sp modelId="{0F07604D-46A6-4ADA-B996-B9E43A897BA8}">
      <dsp:nvSpPr>
        <dsp:cNvPr id="0" name=""/>
        <dsp:cNvSpPr/>
      </dsp:nvSpPr>
      <dsp:spPr>
        <a:xfrm>
          <a:off x="1815319" y="73526"/>
          <a:ext cx="1635150" cy="526747"/>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150000"/>
            </a:lnSpc>
            <a:spcBef>
              <a:spcPct val="0"/>
            </a:spcBef>
            <a:spcAft>
              <a:spcPct val="35000"/>
            </a:spcAft>
            <a:buNone/>
          </a:pPr>
          <a:r>
            <a:rPr lang="en-GB" sz="1000" b="1" i="0" kern="1200">
              <a:latin typeface="Aptos" panose="020B0004020202020204" pitchFamily="34" charset="0"/>
            </a:rPr>
            <a:t>Privacy and Confidentiality</a:t>
          </a:r>
          <a:endParaRPr lang="en-GB" sz="1000" kern="1200">
            <a:latin typeface="Aptos" panose="020B0004020202020204" pitchFamily="34" charset="0"/>
          </a:endParaRPr>
        </a:p>
      </dsp:txBody>
      <dsp:txXfrm>
        <a:off x="1815319" y="73526"/>
        <a:ext cx="1635150" cy="526747"/>
      </dsp:txXfrm>
    </dsp:sp>
    <dsp:sp modelId="{D9C43641-36D4-43D5-A2FD-0F9F6D2C43BC}">
      <dsp:nvSpPr>
        <dsp:cNvPr id="0" name=""/>
        <dsp:cNvSpPr/>
      </dsp:nvSpPr>
      <dsp:spPr>
        <a:xfrm>
          <a:off x="1838809" y="600273"/>
          <a:ext cx="1588172" cy="20312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150000"/>
            </a:lnSpc>
            <a:spcBef>
              <a:spcPct val="0"/>
            </a:spcBef>
            <a:spcAft>
              <a:spcPct val="15000"/>
            </a:spcAft>
            <a:buChar char="•"/>
          </a:pPr>
          <a:r>
            <a:rPr lang="en-GB" sz="1000" b="0" i="0" kern="1200">
              <a:latin typeface="Aptos" panose="020B0004020202020204" pitchFamily="34" charset="0"/>
            </a:rPr>
            <a:t>Ensure all secondary data is anonymised.</a:t>
          </a:r>
          <a:endParaRPr lang="en-GB" sz="1000" kern="1200">
            <a:latin typeface="Aptos" panose="020B0004020202020204" pitchFamily="34" charset="0"/>
          </a:endParaRPr>
        </a:p>
        <a:p>
          <a:pPr marL="57150" lvl="1" indent="-57150" algn="l" defTabSz="444500">
            <a:lnSpc>
              <a:spcPct val="150000"/>
            </a:lnSpc>
            <a:spcBef>
              <a:spcPct val="0"/>
            </a:spcBef>
            <a:spcAft>
              <a:spcPct val="15000"/>
            </a:spcAft>
            <a:buChar char="•"/>
          </a:pPr>
          <a:r>
            <a:rPr lang="en-GB" sz="1000" b="0" i="0" kern="1200">
              <a:latin typeface="Aptos" panose="020B0004020202020204" pitchFamily="34" charset="0"/>
            </a:rPr>
            <a:t>No identifiable information about children, families, or victims are used.</a:t>
          </a:r>
          <a:endParaRPr lang="en-GB" sz="1000" kern="1200">
            <a:latin typeface="Aptos" panose="020B0004020202020204" pitchFamily="34" charset="0"/>
          </a:endParaRPr>
        </a:p>
      </dsp:txBody>
      <dsp:txXfrm>
        <a:off x="1838809" y="600273"/>
        <a:ext cx="1588172" cy="2031299"/>
      </dsp:txXfrm>
    </dsp:sp>
    <dsp:sp modelId="{594F44BC-596E-4978-9BF4-2F7DCCF10A7F}">
      <dsp:nvSpPr>
        <dsp:cNvPr id="0" name=""/>
        <dsp:cNvSpPr/>
      </dsp:nvSpPr>
      <dsp:spPr>
        <a:xfrm>
          <a:off x="3672815" y="73526"/>
          <a:ext cx="1588172" cy="526747"/>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150000"/>
            </a:lnSpc>
            <a:spcBef>
              <a:spcPct val="0"/>
            </a:spcBef>
            <a:spcAft>
              <a:spcPct val="35000"/>
            </a:spcAft>
            <a:buNone/>
          </a:pPr>
          <a:r>
            <a:rPr lang="en-GB" sz="1000" b="1" i="0" kern="1200">
              <a:latin typeface="Aptos" panose="020B0004020202020204" pitchFamily="34" charset="0"/>
            </a:rPr>
            <a:t>Credible and Responsible Sourcing</a:t>
          </a:r>
          <a:endParaRPr lang="en-GB" sz="1000" kern="1200">
            <a:latin typeface="Aptos" panose="020B0004020202020204" pitchFamily="34" charset="0"/>
          </a:endParaRPr>
        </a:p>
      </dsp:txBody>
      <dsp:txXfrm>
        <a:off x="3672815" y="73526"/>
        <a:ext cx="1588172" cy="526747"/>
      </dsp:txXfrm>
    </dsp:sp>
    <dsp:sp modelId="{B4F89DDA-DC7D-4C4E-967D-E22B07A05DB1}">
      <dsp:nvSpPr>
        <dsp:cNvPr id="0" name=""/>
        <dsp:cNvSpPr/>
      </dsp:nvSpPr>
      <dsp:spPr>
        <a:xfrm>
          <a:off x="3672815" y="600273"/>
          <a:ext cx="1588172" cy="20312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150000"/>
            </a:lnSpc>
            <a:spcBef>
              <a:spcPct val="0"/>
            </a:spcBef>
            <a:spcAft>
              <a:spcPct val="15000"/>
            </a:spcAft>
            <a:buChar char="•"/>
          </a:pPr>
          <a:r>
            <a:rPr lang="en-GB" sz="1000" b="0" i="0" kern="1200">
              <a:latin typeface="Aptos" panose="020B0004020202020204" pitchFamily="34" charset="0"/>
            </a:rPr>
            <a:t>Use only peer - reviewed, UK- based, and ethically approved studies to ensure reliable, evidence - based findings.</a:t>
          </a:r>
          <a:endParaRPr lang="en-GB" sz="1000" kern="1200">
            <a:latin typeface="Aptos" panose="020B0004020202020204" pitchFamily="34" charset="0"/>
          </a:endParaRPr>
        </a:p>
      </dsp:txBody>
      <dsp:txXfrm>
        <a:off x="3672815" y="600273"/>
        <a:ext cx="1588172" cy="2031299"/>
      </dsp:txXfrm>
    </dsp:sp>
    <dsp:sp modelId="{4B0BA49E-53FB-4A48-8A53-1DCC68267D3A}">
      <dsp:nvSpPr>
        <dsp:cNvPr id="0" name=""/>
        <dsp:cNvSpPr/>
      </dsp:nvSpPr>
      <dsp:spPr>
        <a:xfrm>
          <a:off x="5483332" y="73526"/>
          <a:ext cx="1588172" cy="526747"/>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150000"/>
            </a:lnSpc>
            <a:spcBef>
              <a:spcPct val="0"/>
            </a:spcBef>
            <a:spcAft>
              <a:spcPct val="35000"/>
            </a:spcAft>
            <a:buNone/>
          </a:pPr>
          <a:r>
            <a:rPr lang="en-GB" sz="1000" b="1" i="0" kern="1200" dirty="0">
              <a:latin typeface="Aptos" panose="020B0004020202020204" pitchFamily="34" charset="0"/>
            </a:rPr>
            <a:t>Compliance with Ethical Standards</a:t>
          </a:r>
          <a:endParaRPr lang="en-GB" sz="1000" kern="1200" dirty="0">
            <a:latin typeface="Aptos" panose="020B0004020202020204" pitchFamily="34" charset="0"/>
          </a:endParaRPr>
        </a:p>
      </dsp:txBody>
      <dsp:txXfrm>
        <a:off x="5483332" y="73526"/>
        <a:ext cx="1588172" cy="526747"/>
      </dsp:txXfrm>
    </dsp:sp>
    <dsp:sp modelId="{0426731F-8A3C-42F1-804E-8F6D7BF28D02}">
      <dsp:nvSpPr>
        <dsp:cNvPr id="0" name=""/>
        <dsp:cNvSpPr/>
      </dsp:nvSpPr>
      <dsp:spPr>
        <a:xfrm>
          <a:off x="5475708" y="600273"/>
          <a:ext cx="1588172" cy="20312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150000"/>
            </a:lnSpc>
            <a:spcBef>
              <a:spcPct val="0"/>
            </a:spcBef>
            <a:spcAft>
              <a:spcPct val="15000"/>
            </a:spcAft>
            <a:buChar char="•"/>
          </a:pPr>
          <a:r>
            <a:rPr lang="en-GB" sz="1000" b="0" i="0" kern="1200">
              <a:latin typeface="Aptos" panose="020B0004020202020204" pitchFamily="34" charset="0"/>
            </a:rPr>
            <a:t> Follow institutional ehtical guidlines and GDPR to ensure responsible use of data and adherence to UK research policies. </a:t>
          </a:r>
          <a:endParaRPr lang="en-GB" sz="1000" kern="1200">
            <a:latin typeface="Aptos" panose="020B0004020202020204" pitchFamily="34" charset="0"/>
          </a:endParaRPr>
        </a:p>
      </dsp:txBody>
      <dsp:txXfrm>
        <a:off x="5475708" y="600273"/>
        <a:ext cx="1588172" cy="2031299"/>
      </dsp:txXfrm>
    </dsp:sp>
    <dsp:sp modelId="{527B8B4B-D6E7-4EB7-86F6-6A7D2579D756}">
      <dsp:nvSpPr>
        <dsp:cNvPr id="0" name=""/>
        <dsp:cNvSpPr/>
      </dsp:nvSpPr>
      <dsp:spPr>
        <a:xfrm>
          <a:off x="7298652" y="65035"/>
          <a:ext cx="1588172" cy="526747"/>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150000"/>
            </a:lnSpc>
            <a:spcBef>
              <a:spcPct val="0"/>
            </a:spcBef>
            <a:spcAft>
              <a:spcPct val="35000"/>
            </a:spcAft>
            <a:buNone/>
          </a:pPr>
          <a:r>
            <a:rPr lang="en-GB" sz="1000" kern="1200" dirty="0">
              <a:latin typeface="Aptos" panose="020B0004020202020204" pitchFamily="34" charset="0"/>
            </a:rPr>
            <a:t>Respect for Intellectual Property</a:t>
          </a:r>
        </a:p>
      </dsp:txBody>
      <dsp:txXfrm>
        <a:off x="7298652" y="65035"/>
        <a:ext cx="1588172" cy="526747"/>
      </dsp:txXfrm>
    </dsp:sp>
    <dsp:sp modelId="{3FAC58C7-563C-4DE2-B8E2-03C2F5DF4A75}">
      <dsp:nvSpPr>
        <dsp:cNvPr id="0" name=""/>
        <dsp:cNvSpPr/>
      </dsp:nvSpPr>
      <dsp:spPr>
        <a:xfrm>
          <a:off x="7293849" y="600273"/>
          <a:ext cx="1588172" cy="20312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150000"/>
            </a:lnSpc>
            <a:spcBef>
              <a:spcPct val="0"/>
            </a:spcBef>
            <a:spcAft>
              <a:spcPct val="15000"/>
            </a:spcAft>
            <a:buChar char="•"/>
          </a:pPr>
          <a:r>
            <a:rPr lang="en-GB" sz="1000" kern="1200">
              <a:latin typeface="Aptos" panose="020B0004020202020204" pitchFamily="34" charset="0"/>
            </a:rPr>
            <a:t>Cite all sources accurately, avoided plagiarism, and acknowledged the original authors' contributions and findings.</a:t>
          </a:r>
        </a:p>
      </dsp:txBody>
      <dsp:txXfrm>
        <a:off x="7293849" y="600273"/>
        <a:ext cx="1588172" cy="2031299"/>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603</TotalTime>
  <Pages>5</Pages>
  <Words>803</Words>
  <Characters>4578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Zoe Preston (2222114)</cp:lastModifiedBy>
  <cp:revision>5</cp:revision>
  <dcterms:created xsi:type="dcterms:W3CDTF">2024-08-13T19:18:00Z</dcterms:created>
  <dcterms:modified xsi:type="dcterms:W3CDTF">2025-11-27T22:15:00Z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