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82B90" w14:textId="77777777" w:rsidR="004E14C7" w:rsidRDefault="00BA6B2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noProof/>
          <w:color w:val="000000"/>
          <w:sz w:val="22"/>
          <w:szCs w:val="22"/>
        </w:rPr>
        <w:drawing>
          <wp:inline distT="0" distB="0" distL="0" distR="0" wp14:anchorId="42427B8F" wp14:editId="0B8AE449">
            <wp:extent cx="3209925" cy="14287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209925" cy="1428750"/>
                    </a:xfrm>
                    <a:prstGeom prst="rect">
                      <a:avLst/>
                    </a:prstGeom>
                    <a:ln/>
                  </pic:spPr>
                </pic:pic>
              </a:graphicData>
            </a:graphic>
          </wp:inline>
        </w:drawing>
      </w:r>
    </w:p>
    <w:p w14:paraId="55FC2068" w14:textId="77777777" w:rsidR="004E14C7" w:rsidRDefault="004E14C7">
      <w:pPr>
        <w:pBdr>
          <w:top w:val="nil"/>
          <w:left w:val="nil"/>
          <w:bottom w:val="nil"/>
          <w:right w:val="nil"/>
          <w:between w:val="nil"/>
        </w:pBdr>
        <w:jc w:val="center"/>
        <w:rPr>
          <w:rFonts w:ascii="Arial" w:eastAsia="Arial" w:hAnsi="Arial" w:cs="Arial"/>
          <w:color w:val="000000"/>
          <w:sz w:val="22"/>
          <w:szCs w:val="22"/>
        </w:rPr>
      </w:pPr>
    </w:p>
    <w:p w14:paraId="4474219A" w14:textId="77777777" w:rsidR="004E14C7" w:rsidRDefault="00BA6B20">
      <w:pPr>
        <w:pBdr>
          <w:top w:val="nil"/>
          <w:left w:val="nil"/>
          <w:bottom w:val="nil"/>
          <w:right w:val="nil"/>
          <w:between w:val="nil"/>
        </w:pBdr>
        <w:spacing w:before="120" w:after="120" w:line="240" w:lineRule="auto"/>
        <w:jc w:val="center"/>
        <w:rPr>
          <w:rFonts w:ascii="Arial" w:eastAsia="Arial" w:hAnsi="Arial" w:cs="Arial"/>
          <w:b/>
          <w:bCs/>
          <w:color w:val="000000"/>
          <w:sz w:val="22"/>
          <w:szCs w:val="22"/>
        </w:rPr>
      </w:pPr>
      <w:r>
        <w:rPr>
          <w:rFonts w:ascii="Arial" w:eastAsia="Arial" w:hAnsi="Arial" w:cs="Arial"/>
          <w:b/>
          <w:bCs/>
          <w:color w:val="000000"/>
          <w:sz w:val="22"/>
          <w:szCs w:val="22"/>
        </w:rPr>
        <w:t>Assignment Title: Component 1: Online Portfolio of Set Exercises</w:t>
      </w:r>
    </w:p>
    <w:p w14:paraId="3639F965" w14:textId="77777777" w:rsidR="004E14C7" w:rsidRDefault="004E14C7">
      <w:pPr>
        <w:pBdr>
          <w:top w:val="nil"/>
          <w:left w:val="nil"/>
          <w:bottom w:val="nil"/>
          <w:right w:val="nil"/>
          <w:between w:val="nil"/>
        </w:pBdr>
        <w:spacing w:before="120" w:after="120" w:line="240" w:lineRule="auto"/>
        <w:jc w:val="center"/>
        <w:rPr>
          <w:rFonts w:ascii="Arial" w:eastAsia="Arial" w:hAnsi="Arial" w:cs="Arial"/>
          <w:b/>
          <w:bCs/>
          <w:color w:val="000000"/>
          <w:sz w:val="22"/>
          <w:szCs w:val="22"/>
        </w:rPr>
      </w:pPr>
    </w:p>
    <w:p w14:paraId="69217978" w14:textId="77777777" w:rsidR="004E14C7" w:rsidRDefault="00BA6B20">
      <w:pPr>
        <w:pBdr>
          <w:top w:val="nil"/>
          <w:left w:val="nil"/>
          <w:bottom w:val="nil"/>
          <w:right w:val="nil"/>
          <w:between w:val="nil"/>
        </w:pBdr>
        <w:spacing w:before="120" w:after="120" w:line="240" w:lineRule="auto"/>
        <w:jc w:val="center"/>
        <w:rPr>
          <w:rFonts w:ascii="Arial" w:eastAsia="Arial" w:hAnsi="Arial" w:cs="Arial"/>
          <w:b/>
          <w:bCs/>
          <w:color w:val="000000"/>
          <w:sz w:val="22"/>
          <w:szCs w:val="22"/>
        </w:rPr>
      </w:pPr>
      <w:r>
        <w:rPr>
          <w:rFonts w:ascii="Arial" w:eastAsia="Arial" w:hAnsi="Arial" w:cs="Arial"/>
          <w:b/>
          <w:bCs/>
          <w:color w:val="000000"/>
          <w:sz w:val="22"/>
          <w:szCs w:val="22"/>
        </w:rPr>
        <w:t>Module code: BMHP5014</w:t>
      </w:r>
    </w:p>
    <w:p w14:paraId="443DF25F" w14:textId="1264857B" w:rsidR="004E14C7" w:rsidRDefault="00BA6B20">
      <w:pPr>
        <w:pBdr>
          <w:top w:val="nil"/>
          <w:left w:val="nil"/>
          <w:bottom w:val="nil"/>
          <w:right w:val="nil"/>
          <w:between w:val="nil"/>
        </w:pBdr>
        <w:spacing w:before="120" w:after="120" w:line="240" w:lineRule="auto"/>
        <w:jc w:val="center"/>
        <w:rPr>
          <w:rFonts w:ascii="Arial" w:eastAsia="Arial" w:hAnsi="Arial" w:cs="Arial"/>
          <w:b/>
          <w:bCs/>
          <w:color w:val="000000"/>
          <w:sz w:val="22"/>
          <w:szCs w:val="22"/>
        </w:rPr>
      </w:pPr>
      <w:r>
        <w:rPr>
          <w:rFonts w:ascii="Arial" w:eastAsia="Arial" w:hAnsi="Arial" w:cs="Arial"/>
          <w:b/>
          <w:bCs/>
          <w:color w:val="000000"/>
          <w:sz w:val="22"/>
          <w:szCs w:val="22"/>
        </w:rPr>
        <w:t>Student Name:</w:t>
      </w:r>
      <w:r w:rsidR="00C057C4">
        <w:rPr>
          <w:rFonts w:ascii="Arial" w:eastAsia="Arial" w:hAnsi="Arial" w:cs="Arial"/>
          <w:b/>
          <w:bCs/>
          <w:color w:val="000000"/>
          <w:sz w:val="22"/>
          <w:szCs w:val="22"/>
        </w:rPr>
        <w:t xml:space="preserve"> Lilieana-Lavinia Victoria</w:t>
      </w:r>
    </w:p>
    <w:p w14:paraId="1787F111" w14:textId="0ABBE87A" w:rsidR="004E14C7" w:rsidRDefault="00BA6B20">
      <w:pPr>
        <w:pBdr>
          <w:top w:val="nil"/>
          <w:left w:val="nil"/>
          <w:bottom w:val="nil"/>
          <w:right w:val="nil"/>
          <w:between w:val="nil"/>
        </w:pBdr>
        <w:spacing w:before="120" w:after="120" w:line="240" w:lineRule="auto"/>
        <w:jc w:val="center"/>
        <w:rPr>
          <w:rFonts w:ascii="Arial" w:eastAsia="Arial" w:hAnsi="Arial" w:cs="Arial"/>
          <w:b/>
          <w:bCs/>
          <w:color w:val="000000"/>
          <w:sz w:val="22"/>
          <w:szCs w:val="22"/>
        </w:rPr>
      </w:pPr>
      <w:r>
        <w:rPr>
          <w:rFonts w:ascii="Arial" w:eastAsia="Arial" w:hAnsi="Arial" w:cs="Arial"/>
          <w:b/>
          <w:bCs/>
          <w:color w:val="000000"/>
          <w:sz w:val="22"/>
          <w:szCs w:val="22"/>
        </w:rPr>
        <w:t xml:space="preserve">Student ID: </w:t>
      </w:r>
      <w:r w:rsidR="00C057C4">
        <w:rPr>
          <w:rFonts w:ascii="Arial" w:eastAsia="Arial" w:hAnsi="Arial" w:cs="Arial"/>
          <w:b/>
          <w:bCs/>
          <w:color w:val="000000"/>
          <w:sz w:val="22"/>
          <w:szCs w:val="22"/>
        </w:rPr>
        <w:t>2412370</w:t>
      </w:r>
    </w:p>
    <w:p w14:paraId="512BDC00" w14:textId="42BE7692" w:rsidR="00C057C4" w:rsidRDefault="00C057C4">
      <w:pPr>
        <w:pBdr>
          <w:top w:val="nil"/>
          <w:left w:val="nil"/>
          <w:bottom w:val="nil"/>
          <w:right w:val="nil"/>
          <w:between w:val="nil"/>
        </w:pBdr>
        <w:spacing w:before="120" w:after="120" w:line="240" w:lineRule="auto"/>
        <w:jc w:val="center"/>
        <w:rPr>
          <w:rFonts w:ascii="Arial" w:eastAsia="Arial" w:hAnsi="Arial" w:cs="Arial"/>
          <w:b/>
          <w:bCs/>
          <w:color w:val="000000"/>
          <w:sz w:val="22"/>
          <w:szCs w:val="22"/>
        </w:rPr>
      </w:pPr>
      <w:r>
        <w:rPr>
          <w:rFonts w:ascii="Arial" w:eastAsia="Arial" w:hAnsi="Arial" w:cs="Arial"/>
          <w:b/>
          <w:bCs/>
          <w:color w:val="000000"/>
          <w:sz w:val="22"/>
          <w:szCs w:val="22"/>
        </w:rPr>
        <w:t>Lecturer name: Danni Dunne</w:t>
      </w:r>
    </w:p>
    <w:p w14:paraId="5537E8C0" w14:textId="77777777" w:rsidR="004E14C7" w:rsidRDefault="004E14C7">
      <w:pPr>
        <w:pBdr>
          <w:top w:val="nil"/>
          <w:left w:val="nil"/>
          <w:bottom w:val="nil"/>
          <w:right w:val="nil"/>
          <w:between w:val="nil"/>
        </w:pBdr>
        <w:jc w:val="center"/>
        <w:rPr>
          <w:rFonts w:ascii="Arial" w:eastAsia="Arial" w:hAnsi="Arial" w:cs="Arial"/>
          <w:color w:val="000000"/>
          <w:sz w:val="22"/>
          <w:szCs w:val="22"/>
        </w:rPr>
      </w:pPr>
    </w:p>
    <w:p w14:paraId="5CE8E3D7" w14:textId="77777777" w:rsidR="004E14C7" w:rsidRDefault="004E14C7">
      <w:pPr>
        <w:pBdr>
          <w:top w:val="nil"/>
          <w:left w:val="nil"/>
          <w:bottom w:val="nil"/>
          <w:right w:val="nil"/>
          <w:between w:val="nil"/>
        </w:pBdr>
        <w:jc w:val="center"/>
        <w:rPr>
          <w:rFonts w:ascii="Arial" w:eastAsia="Arial" w:hAnsi="Arial" w:cs="Arial"/>
          <w:color w:val="000000"/>
          <w:sz w:val="22"/>
          <w:szCs w:val="22"/>
        </w:rPr>
      </w:pPr>
    </w:p>
    <w:p w14:paraId="6D79A3FE" w14:textId="77777777" w:rsidR="004E14C7" w:rsidRDefault="004E14C7">
      <w:pPr>
        <w:pBdr>
          <w:top w:val="nil"/>
          <w:left w:val="nil"/>
          <w:bottom w:val="nil"/>
          <w:right w:val="nil"/>
          <w:between w:val="nil"/>
        </w:pBdr>
        <w:jc w:val="center"/>
        <w:rPr>
          <w:rFonts w:ascii="Arial" w:eastAsia="Arial" w:hAnsi="Arial" w:cs="Arial"/>
          <w:color w:val="000000"/>
          <w:sz w:val="22"/>
          <w:szCs w:val="22"/>
        </w:rPr>
      </w:pPr>
    </w:p>
    <w:p w14:paraId="6E952EE6" w14:textId="77777777" w:rsidR="004E14C7" w:rsidRDefault="004E14C7">
      <w:pPr>
        <w:pBdr>
          <w:top w:val="nil"/>
          <w:left w:val="nil"/>
          <w:bottom w:val="nil"/>
          <w:right w:val="nil"/>
          <w:between w:val="nil"/>
        </w:pBdr>
        <w:jc w:val="center"/>
        <w:rPr>
          <w:rFonts w:ascii="Arial" w:eastAsia="Arial" w:hAnsi="Arial" w:cs="Arial"/>
          <w:color w:val="000000"/>
          <w:sz w:val="22"/>
          <w:szCs w:val="22"/>
        </w:rPr>
      </w:pPr>
    </w:p>
    <w:p w14:paraId="6C350F7C" w14:textId="77777777" w:rsidR="004E14C7" w:rsidRDefault="00BA6B20">
      <w:pPr>
        <w:pBdr>
          <w:top w:val="nil"/>
          <w:left w:val="nil"/>
          <w:bottom w:val="nil"/>
          <w:right w:val="nil"/>
          <w:between w:val="nil"/>
        </w:pBdr>
        <w:rPr>
          <w:rFonts w:ascii="Arial" w:eastAsia="Arial" w:hAnsi="Arial" w:cs="Arial"/>
          <w:color w:val="000000"/>
          <w:sz w:val="22"/>
          <w:szCs w:val="22"/>
        </w:rPr>
      </w:pPr>
      <w:r>
        <w:br w:type="page"/>
      </w:r>
    </w:p>
    <w:p w14:paraId="4A9FF178" w14:textId="77777777" w:rsidR="004E14C7" w:rsidRDefault="004E14C7">
      <w:pPr>
        <w:pBdr>
          <w:top w:val="nil"/>
          <w:left w:val="nil"/>
          <w:bottom w:val="nil"/>
          <w:right w:val="nil"/>
          <w:between w:val="nil"/>
        </w:pBdr>
        <w:rPr>
          <w:rFonts w:ascii="Arial" w:eastAsia="Arial" w:hAnsi="Arial" w:cs="Arial"/>
          <w:color w:val="000000"/>
          <w:sz w:val="22"/>
          <w:szCs w:val="22"/>
        </w:rPr>
      </w:pPr>
    </w:p>
    <w:p w14:paraId="74FF784F" w14:textId="77777777" w:rsidR="004E14C7" w:rsidRDefault="004E14C7">
      <w:bookmarkStart w:id="0" w:name="_so8ziycnwbcc" w:colFirst="0" w:colLast="0"/>
      <w:bookmarkEnd w:id="0"/>
    </w:p>
    <w:p w14:paraId="07B7683D" w14:textId="77777777" w:rsidR="004E14C7" w:rsidRDefault="00BA6B20">
      <w:pPr>
        <w:keepNext/>
        <w:keepLines/>
        <w:pBdr>
          <w:top w:val="nil"/>
          <w:left w:val="nil"/>
          <w:bottom w:val="nil"/>
          <w:right w:val="nil"/>
          <w:between w:val="nil"/>
        </w:pBdr>
        <w:spacing w:before="480" w:after="0" w:line="276" w:lineRule="auto"/>
        <w:jc w:val="center"/>
        <w:rPr>
          <w:rFonts w:ascii="Arial" w:eastAsia="Arial" w:hAnsi="Arial" w:cs="Arial"/>
          <w:b/>
          <w:bCs/>
          <w:color w:val="366091"/>
          <w:sz w:val="22"/>
          <w:szCs w:val="22"/>
        </w:rPr>
      </w:pPr>
      <w:r>
        <w:rPr>
          <w:rFonts w:ascii="Arial" w:eastAsia="Arial" w:hAnsi="Arial" w:cs="Arial"/>
          <w:b/>
          <w:bCs/>
          <w:color w:val="000000"/>
          <w:sz w:val="22"/>
          <w:szCs w:val="22"/>
        </w:rPr>
        <w:t>Table of Contents</w:t>
      </w:r>
    </w:p>
    <w:sdt>
      <w:sdtPr>
        <w:id w:val="1679001079"/>
        <w:docPartObj>
          <w:docPartGallery w:val="Table of Contents"/>
          <w:docPartUnique/>
        </w:docPartObj>
      </w:sdtPr>
      <w:sdtContent>
        <w:p w14:paraId="2226911A"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r>
            <w:fldChar w:fldCharType="begin"/>
          </w:r>
          <w:r>
            <w:instrText xml:space="preserve"> TOC \h \u \z \t "Heading 1,1,Heading 2,2,Heading 3,3,"</w:instrText>
          </w:r>
          <w:r>
            <w:fldChar w:fldCharType="separate"/>
          </w:r>
          <w:hyperlink w:anchor="_v7z1xrhfymj">
            <w:r>
              <w:rPr>
                <w:rFonts w:ascii="Arial" w:eastAsia="Arial" w:hAnsi="Arial" w:cs="Arial"/>
                <w:color w:val="000000"/>
                <w:sz w:val="22"/>
                <w:szCs w:val="22"/>
              </w:rPr>
              <w:t>Task 1 – Concept Map</w:t>
            </w:r>
            <w:r>
              <w:rPr>
                <w:rFonts w:ascii="Arial" w:eastAsia="Arial" w:hAnsi="Arial" w:cs="Arial"/>
                <w:color w:val="000000"/>
                <w:sz w:val="22"/>
                <w:szCs w:val="22"/>
              </w:rPr>
              <w:tab/>
              <w:t>3</w:t>
            </w:r>
          </w:hyperlink>
        </w:p>
        <w:p w14:paraId="3C995AFA"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hyperlink w:anchor="_h9lx6yrfm1uh">
            <w:r>
              <w:rPr>
                <w:rFonts w:ascii="Arial" w:eastAsia="Arial" w:hAnsi="Arial" w:cs="Arial"/>
                <w:color w:val="000000"/>
                <w:sz w:val="22"/>
                <w:szCs w:val="22"/>
              </w:rPr>
              <w:t>Task 2 - Self-Reflection of Group Activity</w:t>
            </w:r>
            <w:r>
              <w:rPr>
                <w:rFonts w:ascii="Arial" w:eastAsia="Arial" w:hAnsi="Arial" w:cs="Arial"/>
                <w:color w:val="000000"/>
                <w:sz w:val="22"/>
                <w:szCs w:val="22"/>
              </w:rPr>
              <w:tab/>
              <w:t>4</w:t>
            </w:r>
          </w:hyperlink>
        </w:p>
        <w:p w14:paraId="6243FC10"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hyperlink w:anchor="_bwdyolcrbsma">
            <w:r>
              <w:rPr>
                <w:rFonts w:ascii="Arial" w:eastAsia="Arial" w:hAnsi="Arial" w:cs="Arial"/>
                <w:color w:val="000000"/>
                <w:sz w:val="22"/>
                <w:szCs w:val="22"/>
              </w:rPr>
              <w:t>Task 3 - Case Study of a UK innovation</w:t>
            </w:r>
            <w:r>
              <w:rPr>
                <w:rFonts w:ascii="Arial" w:eastAsia="Arial" w:hAnsi="Arial" w:cs="Arial"/>
                <w:color w:val="000000"/>
                <w:sz w:val="22"/>
                <w:szCs w:val="22"/>
              </w:rPr>
              <w:tab/>
              <w:t>5</w:t>
            </w:r>
          </w:hyperlink>
        </w:p>
        <w:p w14:paraId="6529EA72"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hyperlink w:anchor="_yo3dwes4g2bz">
            <w:r>
              <w:rPr>
                <w:rFonts w:ascii="Arial" w:eastAsia="Arial" w:hAnsi="Arial" w:cs="Arial"/>
                <w:color w:val="000000"/>
                <w:sz w:val="22"/>
                <w:szCs w:val="22"/>
              </w:rPr>
              <w:t>Task 4 - Research Task</w:t>
            </w:r>
            <w:r>
              <w:rPr>
                <w:rFonts w:ascii="Arial" w:eastAsia="Arial" w:hAnsi="Arial" w:cs="Arial"/>
                <w:color w:val="000000"/>
                <w:sz w:val="22"/>
                <w:szCs w:val="22"/>
              </w:rPr>
              <w:tab/>
              <w:t>6</w:t>
            </w:r>
          </w:hyperlink>
        </w:p>
        <w:p w14:paraId="14140231"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hyperlink w:anchor="_ybp3fflnkncx">
            <w:r>
              <w:rPr>
                <w:rFonts w:ascii="Arial" w:eastAsia="Arial" w:hAnsi="Arial" w:cs="Arial"/>
                <w:color w:val="000000"/>
                <w:sz w:val="22"/>
                <w:szCs w:val="22"/>
              </w:rPr>
              <w:t>Task 5 - Podcast</w:t>
            </w:r>
            <w:r>
              <w:rPr>
                <w:rFonts w:ascii="Arial" w:eastAsia="Arial" w:hAnsi="Arial" w:cs="Arial"/>
                <w:color w:val="000000"/>
                <w:sz w:val="22"/>
                <w:szCs w:val="22"/>
              </w:rPr>
              <w:tab/>
              <w:t>6</w:t>
            </w:r>
          </w:hyperlink>
        </w:p>
        <w:p w14:paraId="5EA4BF0E"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hyperlink w:anchor="_alyxtfp8bqk">
            <w:r>
              <w:rPr>
                <w:rFonts w:ascii="Arial" w:eastAsia="Arial" w:hAnsi="Arial" w:cs="Arial"/>
                <w:color w:val="000000"/>
                <w:sz w:val="22"/>
                <w:szCs w:val="22"/>
              </w:rPr>
              <w:t>Task 6 - NHS Leadership Framework Analysis</w:t>
            </w:r>
            <w:r>
              <w:rPr>
                <w:rFonts w:ascii="Arial" w:eastAsia="Arial" w:hAnsi="Arial" w:cs="Arial"/>
                <w:color w:val="000000"/>
                <w:sz w:val="22"/>
                <w:szCs w:val="22"/>
              </w:rPr>
              <w:tab/>
              <w:t>7</w:t>
            </w:r>
          </w:hyperlink>
        </w:p>
        <w:p w14:paraId="71427132" w14:textId="77777777" w:rsidR="004E14C7" w:rsidRDefault="00BA6B20">
          <w:pPr>
            <w:pBdr>
              <w:top w:val="nil"/>
              <w:left w:val="nil"/>
              <w:bottom w:val="nil"/>
              <w:right w:val="nil"/>
              <w:between w:val="nil"/>
            </w:pBdr>
            <w:tabs>
              <w:tab w:val="right" w:leader="dot" w:pos="9350"/>
            </w:tabs>
            <w:spacing w:after="100"/>
            <w:rPr>
              <w:rFonts w:ascii="Arial" w:eastAsia="Arial" w:hAnsi="Arial" w:cs="Arial"/>
              <w:color w:val="000000"/>
              <w:sz w:val="22"/>
              <w:szCs w:val="22"/>
            </w:rPr>
          </w:pPr>
          <w:hyperlink w:anchor="_4x8i19nrj5hh">
            <w:r>
              <w:rPr>
                <w:rFonts w:ascii="Arial" w:eastAsia="Arial" w:hAnsi="Arial" w:cs="Arial"/>
                <w:color w:val="000000"/>
                <w:sz w:val="22"/>
                <w:szCs w:val="22"/>
              </w:rPr>
              <w:t>Task 7 - Self-Reflection Journal Entry</w:t>
            </w:r>
            <w:r>
              <w:rPr>
                <w:rFonts w:ascii="Arial" w:eastAsia="Arial" w:hAnsi="Arial" w:cs="Arial"/>
                <w:color w:val="000000"/>
                <w:sz w:val="22"/>
                <w:szCs w:val="22"/>
              </w:rPr>
              <w:tab/>
              <w:t>9</w:t>
            </w:r>
          </w:hyperlink>
        </w:p>
        <w:p w14:paraId="1CFD87B3" w14:textId="77777777" w:rsidR="004E14C7" w:rsidRDefault="00BA6B20">
          <w:r>
            <w:fldChar w:fldCharType="end"/>
          </w:r>
        </w:p>
      </w:sdtContent>
    </w:sdt>
    <w:p w14:paraId="454B8D28" w14:textId="77777777" w:rsidR="004E14C7" w:rsidRDefault="004E14C7">
      <w:pPr>
        <w:rPr>
          <w:rFonts w:ascii="Arial" w:eastAsia="Arial" w:hAnsi="Arial" w:cs="Arial"/>
          <w:b/>
          <w:bCs/>
          <w:sz w:val="22"/>
          <w:szCs w:val="22"/>
        </w:rPr>
      </w:pPr>
    </w:p>
    <w:p w14:paraId="7E731B08" w14:textId="77777777" w:rsidR="004E14C7" w:rsidRDefault="00BA6B20">
      <w:pPr>
        <w:rPr>
          <w:rFonts w:ascii="Arial" w:eastAsia="Arial" w:hAnsi="Arial" w:cs="Arial"/>
          <w:b/>
          <w:bCs/>
          <w:sz w:val="22"/>
          <w:szCs w:val="22"/>
        </w:rPr>
      </w:pPr>
      <w:bookmarkStart w:id="1" w:name="_v7z1xrhfymj" w:colFirst="0" w:colLast="0"/>
      <w:bookmarkEnd w:id="1"/>
      <w:r>
        <w:br w:type="page"/>
      </w:r>
    </w:p>
    <w:p w14:paraId="20E10A81" w14:textId="77777777" w:rsidR="004E14C7" w:rsidRDefault="00BA6B20">
      <w:pPr>
        <w:pStyle w:val="Heading1"/>
      </w:pPr>
      <w:r>
        <w:lastRenderedPageBreak/>
        <w:t>Task 1 – Concept Map</w:t>
      </w:r>
    </w:p>
    <w:p w14:paraId="745CAF6E"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An imaginary diagram between innovation, value generation and enhancement in health and social care is used to show how creative minds can be used to achieve improved health care, effective services and increased patient satisfaction. The core of the map is creativity that is defined as the capacity to </w:t>
      </w:r>
      <w:r w:rsidR="00B6302B">
        <w:rPr>
          <w:rFonts w:ascii="Arial" w:eastAsia="Arial" w:hAnsi="Arial" w:cs="Arial"/>
          <w:color w:val="000000"/>
          <w:sz w:val="22"/>
          <w:szCs w:val="22"/>
        </w:rPr>
        <w:t>create new and valuable ideas (</w:t>
      </w:r>
      <w:r>
        <w:rPr>
          <w:rFonts w:ascii="Arial" w:eastAsia="Arial" w:hAnsi="Arial" w:cs="Arial"/>
          <w:color w:val="000000"/>
          <w:sz w:val="22"/>
          <w:szCs w:val="22"/>
        </w:rPr>
        <w:t xml:space="preserve">Carlile and Jordan, 2012). </w:t>
      </w:r>
    </w:p>
    <w:p w14:paraId="22C3147C" w14:textId="77777777" w:rsidR="004E14C7" w:rsidRDefault="00BA6B20">
      <w:pPr>
        <w:pBdr>
          <w:top w:val="nil"/>
          <w:left w:val="nil"/>
          <w:bottom w:val="nil"/>
          <w:right w:val="nil"/>
          <w:between w:val="nil"/>
        </w:pBdr>
        <w:spacing w:after="0" w:line="360" w:lineRule="auto"/>
        <w:jc w:val="center"/>
        <w:rPr>
          <w:rFonts w:ascii="Arial" w:eastAsia="Arial" w:hAnsi="Arial" w:cs="Arial"/>
          <w:color w:val="000000"/>
          <w:sz w:val="22"/>
          <w:szCs w:val="22"/>
        </w:rPr>
      </w:pPr>
      <w:r>
        <w:rPr>
          <w:rFonts w:ascii="Arial" w:eastAsia="Arial" w:hAnsi="Arial" w:cs="Arial"/>
          <w:noProof/>
          <w:color w:val="000000"/>
          <w:sz w:val="22"/>
          <w:szCs w:val="22"/>
        </w:rPr>
        <w:drawing>
          <wp:inline distT="114300" distB="114300" distL="114300" distR="114300" wp14:anchorId="6A6474FF" wp14:editId="2AE9487C">
            <wp:extent cx="5943600" cy="32766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276600"/>
                    </a:xfrm>
                    <a:prstGeom prst="rect">
                      <a:avLst/>
                    </a:prstGeom>
                    <a:ln w="12700">
                      <a:solidFill>
                        <a:srgbClr val="000000"/>
                      </a:solidFill>
                      <a:prstDash val="solid"/>
                    </a:ln>
                  </pic:spPr>
                </pic:pic>
              </a:graphicData>
            </a:graphic>
          </wp:inline>
        </w:drawing>
      </w:r>
    </w:p>
    <w:p w14:paraId="30F5A6C0" w14:textId="77777777" w:rsidR="004E14C7" w:rsidRDefault="00BA6B20">
      <w:pPr>
        <w:pBdr>
          <w:top w:val="nil"/>
          <w:left w:val="nil"/>
          <w:bottom w:val="nil"/>
          <w:right w:val="nil"/>
          <w:between w:val="nil"/>
        </w:pBdr>
        <w:spacing w:after="0" w:line="360" w:lineRule="auto"/>
        <w:jc w:val="center"/>
        <w:rPr>
          <w:rFonts w:ascii="Arial" w:eastAsia="Arial" w:hAnsi="Arial" w:cs="Arial"/>
          <w:b/>
          <w:bCs/>
          <w:color w:val="000000"/>
          <w:sz w:val="22"/>
          <w:szCs w:val="22"/>
        </w:rPr>
      </w:pPr>
      <w:r>
        <w:rPr>
          <w:rFonts w:ascii="Arial" w:eastAsia="Arial" w:hAnsi="Arial" w:cs="Arial"/>
          <w:color w:val="000000"/>
          <w:sz w:val="22"/>
          <w:szCs w:val="22"/>
        </w:rPr>
        <w:t xml:space="preserve"> </w:t>
      </w:r>
      <w:r>
        <w:rPr>
          <w:rFonts w:ascii="Arial" w:eastAsia="Arial" w:hAnsi="Arial" w:cs="Arial"/>
          <w:b/>
          <w:bCs/>
          <w:color w:val="000000"/>
          <w:sz w:val="22"/>
          <w:szCs w:val="22"/>
        </w:rPr>
        <w:t>Figure 1: Concept Map</w:t>
      </w:r>
    </w:p>
    <w:p w14:paraId="5B0AD516" w14:textId="77777777" w:rsidR="004E14C7" w:rsidRDefault="00BA6B20">
      <w:pPr>
        <w:pBdr>
          <w:top w:val="nil"/>
          <w:left w:val="nil"/>
          <w:bottom w:val="nil"/>
          <w:right w:val="nil"/>
          <w:between w:val="nil"/>
        </w:pBdr>
        <w:spacing w:after="0" w:line="360" w:lineRule="auto"/>
        <w:jc w:val="center"/>
        <w:rPr>
          <w:rFonts w:ascii="Arial" w:eastAsia="Arial" w:hAnsi="Arial" w:cs="Arial"/>
          <w:color w:val="000000"/>
          <w:sz w:val="22"/>
          <w:szCs w:val="22"/>
        </w:rPr>
      </w:pPr>
      <w:r>
        <w:rPr>
          <w:rFonts w:ascii="Arial" w:eastAsia="Arial" w:hAnsi="Arial" w:cs="Arial"/>
          <w:color w:val="000000"/>
          <w:sz w:val="22"/>
          <w:szCs w:val="22"/>
        </w:rPr>
        <w:t>(Source: Author).</w:t>
      </w:r>
    </w:p>
    <w:p w14:paraId="499D95D1"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Innovation and problem-solving are related to creativity, and they are usually supported by a set of structured models known as the 4Ps model (person, process, product, and press) and an innovative problem-solving model called Creative Problem-Solving (CPS) by Osborn and Parnes. These models aid in the creation of new solutions using phases, including fact-finding, idea-finding, and solution-finding (Isaksen, 2023). Building values in healthcare involves creative thinking, and this process seeks to provide optimum patient results by </w:t>
      </w:r>
      <w:proofErr w:type="spellStart"/>
      <w:r>
        <w:rPr>
          <w:rFonts w:ascii="Arial" w:eastAsia="Arial" w:hAnsi="Arial" w:cs="Arial"/>
          <w:color w:val="000000"/>
          <w:sz w:val="22"/>
          <w:szCs w:val="22"/>
        </w:rPr>
        <w:t>utilising</w:t>
      </w:r>
      <w:proofErr w:type="spellEnd"/>
      <w:r>
        <w:rPr>
          <w:rFonts w:ascii="Arial" w:eastAsia="Arial" w:hAnsi="Arial" w:cs="Arial"/>
          <w:color w:val="000000"/>
          <w:sz w:val="22"/>
          <w:szCs w:val="22"/>
        </w:rPr>
        <w:t xml:space="preserve"> resources used efficiently (Porter, 2010). The value is usually perceived in the three aspects as technical value, allocative value, and </w:t>
      </w:r>
      <w:proofErr w:type="spellStart"/>
      <w:r>
        <w:rPr>
          <w:rFonts w:ascii="Arial" w:eastAsia="Arial" w:hAnsi="Arial" w:cs="Arial"/>
          <w:color w:val="000000"/>
          <w:sz w:val="22"/>
          <w:szCs w:val="22"/>
        </w:rPr>
        <w:t>personalised</w:t>
      </w:r>
      <w:proofErr w:type="spellEnd"/>
      <w:r>
        <w:rPr>
          <w:rFonts w:ascii="Arial" w:eastAsia="Arial" w:hAnsi="Arial" w:cs="Arial"/>
          <w:color w:val="000000"/>
          <w:sz w:val="22"/>
          <w:szCs w:val="22"/>
        </w:rPr>
        <w:t xml:space="preserve"> value. Technical value deals with efficient resource usage and waste </w:t>
      </w:r>
      <w:proofErr w:type="spellStart"/>
      <w:r>
        <w:rPr>
          <w:rFonts w:ascii="Arial" w:eastAsia="Arial" w:hAnsi="Arial" w:cs="Arial"/>
          <w:color w:val="000000"/>
          <w:sz w:val="22"/>
          <w:szCs w:val="22"/>
        </w:rPr>
        <w:t>minimisation</w:t>
      </w:r>
      <w:proofErr w:type="spellEnd"/>
      <w:r>
        <w:rPr>
          <w:rFonts w:ascii="Arial" w:eastAsia="Arial" w:hAnsi="Arial" w:cs="Arial"/>
          <w:color w:val="000000"/>
          <w:sz w:val="22"/>
          <w:szCs w:val="22"/>
        </w:rPr>
        <w:t xml:space="preserve">; allocative value is responsible in terms of equitable distribution of resources among populations; and </w:t>
      </w:r>
      <w:proofErr w:type="spellStart"/>
      <w:r>
        <w:rPr>
          <w:rFonts w:ascii="Arial" w:eastAsia="Arial" w:hAnsi="Arial" w:cs="Arial"/>
          <w:color w:val="000000"/>
          <w:sz w:val="22"/>
          <w:szCs w:val="22"/>
        </w:rPr>
        <w:t>personalised</w:t>
      </w:r>
      <w:proofErr w:type="spellEnd"/>
      <w:r>
        <w:rPr>
          <w:rFonts w:ascii="Arial" w:eastAsia="Arial" w:hAnsi="Arial" w:cs="Arial"/>
          <w:color w:val="000000"/>
          <w:sz w:val="22"/>
          <w:szCs w:val="22"/>
        </w:rPr>
        <w:t xml:space="preserve"> value is responsible in terms of care decisions based on patient needs and preferences (Moleman et al., 2022). The wellbeing and collaboration also are improved because of the creative arts and community participation (Coulton et al., 2015; Mental Health Foundation, 2020). Hence, innovation is the moving force, which makes it possible to find </w:t>
      </w:r>
      <w:r>
        <w:rPr>
          <w:rFonts w:ascii="Arial" w:eastAsia="Arial" w:hAnsi="Arial" w:cs="Arial"/>
          <w:color w:val="000000"/>
          <w:sz w:val="22"/>
          <w:szCs w:val="22"/>
        </w:rPr>
        <w:lastRenderedPageBreak/>
        <w:t>innovative solutions, value creation, and the eventual enhancement of the quality and efficiency of health and social care systems.</w:t>
      </w:r>
    </w:p>
    <w:p w14:paraId="3D895130" w14:textId="77777777" w:rsidR="004E14C7" w:rsidRDefault="00BA6B20">
      <w:pPr>
        <w:pStyle w:val="Heading1"/>
        <w:jc w:val="both"/>
      </w:pPr>
      <w:bookmarkStart w:id="2" w:name="_bkj2s88al2yh" w:colFirst="0" w:colLast="0"/>
      <w:bookmarkEnd w:id="2"/>
      <w:r>
        <w:t>Task 2 - Self-Reflection of Group Activity</w:t>
      </w:r>
    </w:p>
    <w:p w14:paraId="57FC653E"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reflection is informed by convergent and divergent activity of paperclip thinking in which the experience and learning are </w:t>
      </w:r>
      <w:proofErr w:type="spellStart"/>
      <w:r>
        <w:rPr>
          <w:rFonts w:ascii="Arial" w:eastAsia="Arial" w:hAnsi="Arial" w:cs="Arial"/>
          <w:color w:val="000000"/>
          <w:sz w:val="22"/>
          <w:szCs w:val="22"/>
        </w:rPr>
        <w:t>analysed</w:t>
      </w:r>
      <w:proofErr w:type="spellEnd"/>
      <w:r>
        <w:rPr>
          <w:rFonts w:ascii="Arial" w:eastAsia="Arial" w:hAnsi="Arial" w:cs="Arial"/>
          <w:color w:val="000000"/>
          <w:sz w:val="22"/>
          <w:szCs w:val="22"/>
        </w:rPr>
        <w:t xml:space="preserve"> through the Reflective Cycle by Gibbs.</w:t>
      </w:r>
    </w:p>
    <w:p w14:paraId="08C4EE51" w14:textId="77777777" w:rsidR="004E14C7" w:rsidRDefault="00BA6B20">
      <w:pPr>
        <w:pBdr>
          <w:top w:val="nil"/>
          <w:left w:val="nil"/>
          <w:bottom w:val="nil"/>
          <w:right w:val="nil"/>
          <w:between w:val="nil"/>
        </w:pBdr>
        <w:spacing w:after="0" w:line="360" w:lineRule="auto"/>
        <w:jc w:val="center"/>
        <w:rPr>
          <w:rFonts w:ascii="Arial" w:eastAsia="Arial" w:hAnsi="Arial" w:cs="Arial"/>
          <w:color w:val="000000"/>
          <w:sz w:val="22"/>
          <w:szCs w:val="22"/>
        </w:rPr>
      </w:pPr>
      <w:r>
        <w:rPr>
          <w:rFonts w:ascii="Arial" w:eastAsia="Arial" w:hAnsi="Arial" w:cs="Arial"/>
          <w:color w:val="000000"/>
          <w:sz w:val="22"/>
          <w:szCs w:val="22"/>
        </w:rPr>
        <w:t xml:space="preserve"> </w:t>
      </w:r>
      <w:r>
        <w:rPr>
          <w:rFonts w:ascii="Arial" w:eastAsia="Arial" w:hAnsi="Arial" w:cs="Arial"/>
          <w:noProof/>
          <w:color w:val="000000"/>
          <w:sz w:val="22"/>
          <w:szCs w:val="22"/>
        </w:rPr>
        <w:drawing>
          <wp:inline distT="114300" distB="114300" distL="114300" distR="114300" wp14:anchorId="528E7B76" wp14:editId="3F234378">
            <wp:extent cx="5943600" cy="3441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441700"/>
                    </a:xfrm>
                    <a:prstGeom prst="rect">
                      <a:avLst/>
                    </a:prstGeom>
                    <a:ln/>
                  </pic:spPr>
                </pic:pic>
              </a:graphicData>
            </a:graphic>
          </wp:inline>
        </w:drawing>
      </w:r>
    </w:p>
    <w:p w14:paraId="05F75765" w14:textId="77777777" w:rsidR="004E14C7" w:rsidRDefault="00BA6B20">
      <w:pPr>
        <w:pBdr>
          <w:top w:val="nil"/>
          <w:left w:val="nil"/>
          <w:bottom w:val="nil"/>
          <w:right w:val="nil"/>
          <w:between w:val="nil"/>
        </w:pBdr>
        <w:spacing w:after="0"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Figure 2: Gibbs’ Reflective Cycle</w:t>
      </w:r>
    </w:p>
    <w:p w14:paraId="7CE0797B" w14:textId="77777777" w:rsidR="004E14C7" w:rsidRDefault="00BA6B20">
      <w:pPr>
        <w:pBdr>
          <w:top w:val="nil"/>
          <w:left w:val="nil"/>
          <w:bottom w:val="nil"/>
          <w:right w:val="nil"/>
          <w:between w:val="nil"/>
        </w:pBdr>
        <w:spacing w:after="0" w:line="360" w:lineRule="auto"/>
        <w:jc w:val="center"/>
        <w:rPr>
          <w:rFonts w:ascii="Arial" w:eastAsia="Arial" w:hAnsi="Arial" w:cs="Arial"/>
          <w:color w:val="000000"/>
          <w:sz w:val="22"/>
          <w:szCs w:val="22"/>
        </w:rPr>
      </w:pPr>
      <w:r>
        <w:rPr>
          <w:rFonts w:ascii="Arial" w:eastAsia="Arial" w:hAnsi="Arial" w:cs="Arial"/>
          <w:color w:val="000000"/>
          <w:sz w:val="22"/>
          <w:szCs w:val="22"/>
        </w:rPr>
        <w:t>(Source: Dynamic Training, 2024)</w:t>
      </w:r>
    </w:p>
    <w:p w14:paraId="4AA161F0"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Description:</w:t>
      </w:r>
      <w:r>
        <w:rPr>
          <w:rFonts w:ascii="Arial" w:eastAsia="Arial" w:hAnsi="Arial" w:cs="Arial"/>
          <w:b/>
          <w:bCs/>
          <w:color w:val="000000"/>
          <w:sz w:val="22"/>
          <w:szCs w:val="22"/>
        </w:rPr>
        <w:br/>
      </w:r>
      <w:r>
        <w:rPr>
          <w:rFonts w:ascii="Arial" w:eastAsia="Arial" w:hAnsi="Arial" w:cs="Arial"/>
          <w:color w:val="000000"/>
          <w:sz w:val="22"/>
          <w:szCs w:val="22"/>
        </w:rPr>
        <w:t>The task was to think of as many things as possible a paperclip could be used as. This was to show the difference between divergent and convergent thinking, which produces several ideas and screened ideas respectively. The assignment challenged the students to step beyond the conventional mindset and to consider out of the box thinking.</w:t>
      </w:r>
    </w:p>
    <w:p w14:paraId="2C371093"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Feelings:</w:t>
      </w:r>
      <w:r>
        <w:rPr>
          <w:rFonts w:ascii="Arial" w:eastAsia="Arial" w:hAnsi="Arial" w:cs="Arial"/>
          <w:b/>
          <w:bCs/>
          <w:color w:val="000000"/>
          <w:sz w:val="22"/>
          <w:szCs w:val="22"/>
        </w:rPr>
        <w:br/>
      </w:r>
      <w:r>
        <w:rPr>
          <w:rFonts w:ascii="Arial" w:eastAsia="Arial" w:hAnsi="Arial" w:cs="Arial"/>
          <w:color w:val="000000"/>
          <w:sz w:val="22"/>
          <w:szCs w:val="22"/>
        </w:rPr>
        <w:t xml:space="preserve">My first thought about the activity was that it is not very difficult, but after reconsidering it, I understood that to produce a number of original ideas, one needs to be creative and open-minded. I also </w:t>
      </w:r>
      <w:proofErr w:type="spellStart"/>
      <w:r>
        <w:rPr>
          <w:rFonts w:ascii="Arial" w:eastAsia="Arial" w:hAnsi="Arial" w:cs="Arial"/>
          <w:color w:val="000000"/>
          <w:sz w:val="22"/>
          <w:szCs w:val="22"/>
        </w:rPr>
        <w:t>realised</w:t>
      </w:r>
      <w:proofErr w:type="spellEnd"/>
      <w:r>
        <w:rPr>
          <w:rFonts w:ascii="Arial" w:eastAsia="Arial" w:hAnsi="Arial" w:cs="Arial"/>
          <w:color w:val="000000"/>
          <w:sz w:val="22"/>
          <w:szCs w:val="22"/>
        </w:rPr>
        <w:t xml:space="preserve"> that creativity is something that can be trained.</w:t>
      </w:r>
    </w:p>
    <w:p w14:paraId="5783AFD1"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Evaluation:</w:t>
      </w:r>
      <w:r>
        <w:rPr>
          <w:rFonts w:ascii="Arial" w:eastAsia="Arial" w:hAnsi="Arial" w:cs="Arial"/>
          <w:b/>
          <w:bCs/>
          <w:color w:val="000000"/>
          <w:sz w:val="22"/>
          <w:szCs w:val="22"/>
        </w:rPr>
        <w:br/>
      </w:r>
      <w:r>
        <w:rPr>
          <w:rFonts w:ascii="Arial" w:eastAsia="Arial" w:hAnsi="Arial" w:cs="Arial"/>
          <w:color w:val="000000"/>
          <w:sz w:val="22"/>
          <w:szCs w:val="22"/>
        </w:rPr>
        <w:t xml:space="preserve">The exercise seems helpful as it makes people think freely without being judged instantly. </w:t>
      </w:r>
      <w:r>
        <w:rPr>
          <w:rFonts w:ascii="Arial" w:eastAsia="Arial" w:hAnsi="Arial" w:cs="Arial"/>
          <w:color w:val="000000"/>
          <w:sz w:val="22"/>
          <w:szCs w:val="22"/>
        </w:rPr>
        <w:lastRenderedPageBreak/>
        <w:t>According to Vandervelde (2026), divergent thinking assists in generating a wide variety of ideas, whereas convergent allows narrowing the ideas to realistic solutions.</w:t>
      </w:r>
    </w:p>
    <w:p w14:paraId="71FCCBA6"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Analysis:</w:t>
      </w:r>
      <w:r>
        <w:rPr>
          <w:rFonts w:ascii="Arial" w:eastAsia="Arial" w:hAnsi="Arial" w:cs="Arial"/>
          <w:b/>
          <w:bCs/>
          <w:color w:val="000000"/>
          <w:sz w:val="22"/>
          <w:szCs w:val="22"/>
        </w:rPr>
        <w:br/>
      </w:r>
      <w:r>
        <w:rPr>
          <w:rFonts w:ascii="Arial" w:eastAsia="Arial" w:hAnsi="Arial" w:cs="Arial"/>
          <w:color w:val="000000"/>
          <w:sz w:val="22"/>
          <w:szCs w:val="22"/>
        </w:rPr>
        <w:t>The method can be useful in addressing complicated issues in health and social care. As an example, a professional can come up with numerous ideas on how to enhance the patient care and then they can assess them and then select the most effective and feasible solutions.</w:t>
      </w:r>
    </w:p>
    <w:p w14:paraId="0A1DA0A2" w14:textId="77777777" w:rsidR="004E14C7" w:rsidRDefault="00BA6B20">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Conclusion and Action Plan:</w:t>
      </w:r>
    </w:p>
    <w:p w14:paraId="2DA82DF6" w14:textId="77777777" w:rsidR="004E14C7" w:rsidRDefault="00BA6B20">
      <w:pPr>
        <w:pBdr>
          <w:top w:val="nil"/>
          <w:left w:val="nil"/>
          <w:bottom w:val="nil"/>
          <w:right w:val="nil"/>
          <w:between w:val="nil"/>
        </w:pBdr>
        <w:spacing w:after="0" w:line="360" w:lineRule="auto"/>
        <w:jc w:val="both"/>
        <w:rPr>
          <w:rFonts w:ascii="Arial" w:eastAsia="Arial" w:hAnsi="Arial" w:cs="Arial"/>
          <w:i/>
          <w:iCs/>
          <w:color w:val="000000"/>
          <w:sz w:val="22"/>
          <w:szCs w:val="22"/>
        </w:rPr>
      </w:pPr>
      <w:r>
        <w:rPr>
          <w:rFonts w:ascii="Arial" w:eastAsia="Arial" w:hAnsi="Arial" w:cs="Arial"/>
          <w:color w:val="000000"/>
          <w:sz w:val="22"/>
          <w:szCs w:val="22"/>
        </w:rPr>
        <w:t>This reflection indicates the significance of creative thinking in professional practice. In the future, I will use divergent and convergent thinking in solving the problems in health and social care to provide innovative and effective solutions.</w:t>
      </w:r>
    </w:p>
    <w:p w14:paraId="27F7F84E" w14:textId="77777777" w:rsidR="004E14C7" w:rsidRDefault="00BA6B20">
      <w:pPr>
        <w:pStyle w:val="Heading1"/>
      </w:pPr>
      <w:bookmarkStart w:id="3" w:name="_8e96bkajps0n" w:colFirst="0" w:colLast="0"/>
      <w:bookmarkEnd w:id="3"/>
      <w:r>
        <w:t>Task 3 - Case Study of a UK innovation</w:t>
      </w:r>
    </w:p>
    <w:p w14:paraId="6EFD9C2E" w14:textId="01A65F59"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concept of innovation in health and social care in the UK is becoming more pertinent because of the growing demand in the health sector, </w:t>
      </w:r>
      <w:proofErr w:type="spellStart"/>
      <w:r>
        <w:rPr>
          <w:rFonts w:ascii="Arial" w:eastAsia="Arial" w:hAnsi="Arial" w:cs="Arial"/>
          <w:color w:val="000000"/>
          <w:sz w:val="22"/>
          <w:szCs w:val="22"/>
        </w:rPr>
        <w:t>labour</w:t>
      </w:r>
      <w:proofErr w:type="spellEnd"/>
      <w:r>
        <w:rPr>
          <w:rFonts w:ascii="Arial" w:eastAsia="Arial" w:hAnsi="Arial" w:cs="Arial"/>
          <w:color w:val="000000"/>
          <w:sz w:val="22"/>
          <w:szCs w:val="22"/>
        </w:rPr>
        <w:t xml:space="preserve"> supply, and the limitations of the financial sector of the system. A notable innovative project is the National Health Service (NHS) </w:t>
      </w:r>
      <w:proofErr w:type="spellStart"/>
      <w:r>
        <w:rPr>
          <w:rFonts w:ascii="Arial" w:eastAsia="Arial" w:hAnsi="Arial" w:cs="Arial"/>
          <w:color w:val="000000"/>
          <w:sz w:val="22"/>
          <w:szCs w:val="22"/>
        </w:rPr>
        <w:t>programme</w:t>
      </w:r>
      <w:proofErr w:type="spellEnd"/>
      <w:r>
        <w:rPr>
          <w:rFonts w:ascii="Arial" w:eastAsia="Arial" w:hAnsi="Arial" w:cs="Arial"/>
          <w:color w:val="000000"/>
          <w:sz w:val="22"/>
          <w:szCs w:val="22"/>
        </w:rPr>
        <w:t xml:space="preserve"> called the NHS at Home which is a remote monitoring </w:t>
      </w:r>
      <w:proofErr w:type="spellStart"/>
      <w:r>
        <w:rPr>
          <w:rFonts w:ascii="Arial" w:eastAsia="Arial" w:hAnsi="Arial" w:cs="Arial"/>
          <w:color w:val="000000"/>
          <w:sz w:val="22"/>
          <w:szCs w:val="22"/>
        </w:rPr>
        <w:t>programme</w:t>
      </w:r>
      <w:proofErr w:type="spellEnd"/>
      <w:r>
        <w:rPr>
          <w:rFonts w:ascii="Arial" w:eastAsia="Arial" w:hAnsi="Arial" w:cs="Arial"/>
          <w:color w:val="000000"/>
          <w:sz w:val="22"/>
          <w:szCs w:val="22"/>
        </w:rPr>
        <w:t xml:space="preserve">, a digital technology that enables patients to manage their health conditions at home. This project reflects positive change and value to both the patients and the healthcare providers. Operating NHS at Home was created to combat the rise in numbers of </w:t>
      </w:r>
      <w:proofErr w:type="spellStart"/>
      <w:r>
        <w:rPr>
          <w:rFonts w:ascii="Arial" w:eastAsia="Arial" w:hAnsi="Arial" w:cs="Arial"/>
          <w:color w:val="000000"/>
          <w:sz w:val="22"/>
          <w:szCs w:val="22"/>
        </w:rPr>
        <w:t>hospitalisations</w:t>
      </w:r>
      <w:proofErr w:type="spellEnd"/>
      <w:r>
        <w:rPr>
          <w:rFonts w:ascii="Arial" w:eastAsia="Arial" w:hAnsi="Arial" w:cs="Arial"/>
          <w:color w:val="000000"/>
          <w:sz w:val="22"/>
          <w:szCs w:val="22"/>
        </w:rPr>
        <w:t xml:space="preserve"> and strain on health facilities (Knight and </w:t>
      </w:r>
      <w:proofErr w:type="spellStart"/>
      <w:r>
        <w:rPr>
          <w:rFonts w:ascii="Arial" w:eastAsia="Arial" w:hAnsi="Arial" w:cs="Arial"/>
          <w:color w:val="000000"/>
          <w:sz w:val="22"/>
          <w:szCs w:val="22"/>
        </w:rPr>
        <w:t>Lasserson</w:t>
      </w:r>
      <w:proofErr w:type="spellEnd"/>
      <w:r>
        <w:rPr>
          <w:rFonts w:ascii="Arial" w:eastAsia="Arial" w:hAnsi="Arial" w:cs="Arial"/>
          <w:color w:val="000000"/>
          <w:sz w:val="22"/>
          <w:szCs w:val="22"/>
        </w:rPr>
        <w:t>, 2021). Conventionally, it was necessary to keep the patients in hospital because they had chronic illnesses or were recovering. Nonetheless, with the help of creative thinking and applying digital technology, healthcare workers created a system according to which patients can remotely monitor themselves using digital devices that measure vital indicators like heart rate, oxygen levels, and blood pressure (</w:t>
      </w:r>
      <w:proofErr w:type="spellStart"/>
      <w:r>
        <w:rPr>
          <w:rFonts w:ascii="Arial" w:eastAsia="Arial" w:hAnsi="Arial" w:cs="Arial"/>
          <w:color w:val="000000"/>
          <w:sz w:val="22"/>
          <w:szCs w:val="22"/>
        </w:rPr>
        <w:t>Busnatu</w:t>
      </w:r>
      <w:proofErr w:type="spellEnd"/>
      <w:r>
        <w:rPr>
          <w:rFonts w:ascii="Arial" w:eastAsia="Arial" w:hAnsi="Arial" w:cs="Arial"/>
          <w:color w:val="000000"/>
          <w:sz w:val="22"/>
          <w:szCs w:val="22"/>
        </w:rPr>
        <w:t xml:space="preserve"> et al., 2022). These gadgets transmit the data to health workers directly thus enabling them to keep an eye on the health of the patients and take required action through intervention.</w:t>
      </w:r>
    </w:p>
    <w:p w14:paraId="125D745E" w14:textId="66A47CD9"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innovation has generated a great value both to the patients and the healthcare system. Remote monitoring offers patients more freedom and comfort as it gives them an opportunity to be at home and be under professional medical supervision (Oliver et al., 2022). It also removes the pressure that is linked to extended </w:t>
      </w:r>
      <w:proofErr w:type="spellStart"/>
      <w:r>
        <w:rPr>
          <w:rFonts w:ascii="Arial" w:eastAsia="Arial" w:hAnsi="Arial" w:cs="Arial"/>
          <w:color w:val="000000"/>
          <w:sz w:val="22"/>
          <w:szCs w:val="22"/>
        </w:rPr>
        <w:t>hospitalisation</w:t>
      </w:r>
      <w:proofErr w:type="spellEnd"/>
      <w:r>
        <w:rPr>
          <w:rFonts w:ascii="Arial" w:eastAsia="Arial" w:hAnsi="Arial" w:cs="Arial"/>
          <w:color w:val="000000"/>
          <w:sz w:val="22"/>
          <w:szCs w:val="22"/>
        </w:rPr>
        <w:t xml:space="preserve"> and enhances patient experience. To healthcare providers, the </w:t>
      </w:r>
      <w:proofErr w:type="spellStart"/>
      <w:r>
        <w:rPr>
          <w:rFonts w:ascii="Arial" w:eastAsia="Arial" w:hAnsi="Arial" w:cs="Arial"/>
          <w:color w:val="000000"/>
          <w:sz w:val="22"/>
          <w:szCs w:val="22"/>
        </w:rPr>
        <w:t>programme</w:t>
      </w:r>
      <w:proofErr w:type="spellEnd"/>
      <w:r>
        <w:rPr>
          <w:rFonts w:ascii="Arial" w:eastAsia="Arial" w:hAnsi="Arial" w:cs="Arial"/>
          <w:color w:val="000000"/>
          <w:sz w:val="22"/>
          <w:szCs w:val="22"/>
        </w:rPr>
        <w:t xml:space="preserve"> allows decreasing hospital admissions and waiting time and enables the medical staff to concentrate resources on more serious patients (Tsvetanov, 2024). </w:t>
      </w:r>
    </w:p>
    <w:p w14:paraId="264603F4" w14:textId="77777777" w:rsidR="004E14C7" w:rsidRDefault="00BA6B20">
      <w:pPr>
        <w:pStyle w:val="Heading1"/>
      </w:pPr>
      <w:bookmarkStart w:id="4" w:name="_kr8xoge2nt9r" w:colFirst="0" w:colLast="0"/>
      <w:bookmarkEnd w:id="4"/>
      <w:r>
        <w:t>Task 4 - Research Task</w:t>
      </w:r>
    </w:p>
    <w:p w14:paraId="67127E41" w14:textId="4F566E6B"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problem of mental health stigma is still a significant problem in health and social care as it does not allow people to approach help and obtain the necessary treatment (Thornicroft et al., </w:t>
      </w:r>
      <w:r>
        <w:rPr>
          <w:rFonts w:ascii="Arial" w:eastAsia="Arial" w:hAnsi="Arial" w:cs="Arial"/>
          <w:color w:val="000000"/>
          <w:sz w:val="22"/>
          <w:szCs w:val="22"/>
        </w:rPr>
        <w:lastRenderedPageBreak/>
        <w:t>2022). Negative stereotypes, ignorance, and cultural beliefs are prone to building stigma and attracting discrimination and social exclusion (</w:t>
      </w:r>
      <w:proofErr w:type="spellStart"/>
      <w:r>
        <w:rPr>
          <w:rFonts w:ascii="Arial" w:eastAsia="Arial" w:hAnsi="Arial" w:cs="Arial"/>
          <w:color w:val="000000"/>
          <w:sz w:val="22"/>
          <w:szCs w:val="22"/>
        </w:rPr>
        <w:t>Siette</w:t>
      </w:r>
      <w:proofErr w:type="spellEnd"/>
      <w:r>
        <w:rPr>
          <w:rFonts w:ascii="Arial" w:eastAsia="Arial" w:hAnsi="Arial" w:cs="Arial"/>
          <w:color w:val="000000"/>
          <w:sz w:val="22"/>
          <w:szCs w:val="22"/>
        </w:rPr>
        <w:t xml:space="preserve"> et al., 2023). The works by Patrick W. Corrigan and others describe the emergence of stigma associated with mental illness as being caused by the lack of understanding and the negative perceptions of people with mental health issues (Corrigan et al., 2024). Their paper has discovered that stigma can result in self-stigma, in which people negatively believe in themselves. This could decrease self-esteem and make people not want to seek assistance, even in cases when the services are offered. Consequently, individuals with mental health problems can postpone care, thus aggravating symptoms and lowering the chances of recovery (Ahad et al., 2023</w:t>
      </w:r>
    </w:p>
    <w:p w14:paraId="6B3BC4AA" w14:textId="77777777" w:rsidR="00D41984" w:rsidRDefault="00D41984">
      <w:pPr>
        <w:pBdr>
          <w:top w:val="nil"/>
          <w:left w:val="nil"/>
          <w:bottom w:val="nil"/>
          <w:right w:val="nil"/>
          <w:between w:val="nil"/>
        </w:pBdr>
        <w:spacing w:after="0" w:line="360" w:lineRule="auto"/>
        <w:jc w:val="both"/>
        <w:rPr>
          <w:rFonts w:ascii="Arial" w:eastAsia="Arial" w:hAnsi="Arial" w:cs="Arial"/>
          <w:color w:val="000000"/>
          <w:sz w:val="22"/>
          <w:szCs w:val="22"/>
        </w:rPr>
      </w:pPr>
    </w:p>
    <w:p w14:paraId="4B8282EB" w14:textId="6EF4A45E"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On the same note, investigations conducted by Graham Thornicroft target stigma and discrimination as some of the significant obstacles to mental health care in the world (Gronholm et al., 2023). The research indicates that mentally ill individuals tend to be socially rejected, discriminated upon by the job sectors, and even monitored by healthcare services without appropriate attention. The study also focuses on the fact that stigma is very high in certain cultural groups where mental illness is not understood or related to shame. According to </w:t>
      </w:r>
      <w:proofErr w:type="spellStart"/>
      <w:r>
        <w:rPr>
          <w:rFonts w:ascii="Arial" w:eastAsia="Arial" w:hAnsi="Arial" w:cs="Arial"/>
          <w:color w:val="000000"/>
          <w:sz w:val="22"/>
          <w:szCs w:val="22"/>
        </w:rPr>
        <w:t>Anindhita</w:t>
      </w:r>
      <w:proofErr w:type="spellEnd"/>
      <w:r>
        <w:rPr>
          <w:rFonts w:ascii="Arial" w:eastAsia="Arial" w:hAnsi="Arial" w:cs="Arial"/>
          <w:color w:val="000000"/>
          <w:sz w:val="22"/>
          <w:szCs w:val="22"/>
        </w:rPr>
        <w:t xml:space="preserve"> et al. (2024), community-based interventions, education, and better communication between the medical society and the community are necessary to lessen the stigma levels and enhance community access to mental health services.</w:t>
      </w:r>
    </w:p>
    <w:p w14:paraId="12D21BD0" w14:textId="77777777" w:rsidR="00C057C4" w:rsidRDefault="00C057C4">
      <w:pPr>
        <w:pBdr>
          <w:top w:val="nil"/>
          <w:left w:val="nil"/>
          <w:bottom w:val="nil"/>
          <w:right w:val="nil"/>
          <w:between w:val="nil"/>
        </w:pBdr>
        <w:spacing w:after="0" w:line="360" w:lineRule="auto"/>
        <w:jc w:val="both"/>
        <w:rPr>
          <w:rFonts w:ascii="Arial" w:eastAsia="Arial" w:hAnsi="Arial" w:cs="Arial"/>
          <w:color w:val="000000"/>
          <w:sz w:val="22"/>
          <w:szCs w:val="22"/>
        </w:rPr>
      </w:pPr>
    </w:p>
    <w:p w14:paraId="68E53C26" w14:textId="47E14C9E" w:rsidR="004E14C7" w:rsidRDefault="00BA6B20">
      <w:pPr>
        <w:pStyle w:val="Heading1"/>
      </w:pPr>
      <w:bookmarkStart w:id="5" w:name="_zgyu61uav7ms" w:colFirst="0" w:colLast="0"/>
      <w:bookmarkEnd w:id="5"/>
      <w:r>
        <w:t xml:space="preserve">Task 5 </w:t>
      </w:r>
      <w:r w:rsidR="00495A33">
        <w:t>–</w:t>
      </w:r>
      <w:r>
        <w:t xml:space="preserve"> Podcast</w:t>
      </w:r>
    </w:p>
    <w:p w14:paraId="2A03FB2C" w14:textId="77777777" w:rsidR="00495A33" w:rsidRPr="00495A33" w:rsidRDefault="00495A33" w:rsidP="00495A33"/>
    <w:p w14:paraId="60877795" w14:textId="04D77FC4" w:rsidR="00495A33" w:rsidRPr="00495A33" w:rsidRDefault="00C057C4" w:rsidP="00495A33">
      <w:r>
        <w:object w:dxaOrig="1860" w:dyaOrig="816" w14:anchorId="26D9BC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92.9pt;height:40.65pt" o:ole="">
            <v:imagedata r:id="rId10" o:title=""/>
          </v:shape>
          <o:OLEObject Type="Embed" ProgID="Package" ShapeID="_x0000_i1029" DrawAspect="Content" ObjectID="_1835688161" r:id="rId11"/>
        </w:object>
      </w:r>
    </w:p>
    <w:p w14:paraId="08A63D4C" w14:textId="4C11BA21" w:rsidR="004E14C7" w:rsidRDefault="004E14C7">
      <w:pPr>
        <w:pBdr>
          <w:top w:val="nil"/>
          <w:left w:val="nil"/>
          <w:bottom w:val="nil"/>
          <w:right w:val="nil"/>
          <w:between w:val="nil"/>
        </w:pBdr>
        <w:spacing w:after="0" w:line="360" w:lineRule="auto"/>
        <w:jc w:val="both"/>
        <w:rPr>
          <w:rFonts w:ascii="Arial" w:eastAsia="Arial" w:hAnsi="Arial" w:cs="Arial"/>
          <w:i/>
          <w:iCs/>
          <w:color w:val="000000"/>
          <w:sz w:val="22"/>
          <w:szCs w:val="22"/>
        </w:rPr>
      </w:pPr>
    </w:p>
    <w:p w14:paraId="6C8A3405" w14:textId="77777777" w:rsidR="004E14C7" w:rsidRDefault="00BA6B20">
      <w:pPr>
        <w:pStyle w:val="Heading1"/>
      </w:pPr>
      <w:bookmarkStart w:id="6" w:name="_xl1uxb280knm" w:colFirst="0" w:colLast="0"/>
      <w:bookmarkEnd w:id="6"/>
      <w:r>
        <w:t>Task 6 - NHS Leadership Framework Analysis</w:t>
      </w:r>
    </w:p>
    <w:p w14:paraId="0CFA927D" w14:textId="77777777" w:rsidR="004E14C7" w:rsidRDefault="00BA6B20">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 xml:space="preserve">Summary of the NHS Leadership Framework </w:t>
      </w:r>
    </w:p>
    <w:p w14:paraId="03D283D4" w14:textId="77777777"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NHS Leadership Framework is a guide that gives instructions on </w:t>
      </w:r>
      <w:proofErr w:type="spellStart"/>
      <w:r>
        <w:rPr>
          <w:rFonts w:ascii="Arial" w:eastAsia="Arial" w:hAnsi="Arial" w:cs="Arial"/>
          <w:color w:val="000000"/>
          <w:sz w:val="22"/>
          <w:szCs w:val="22"/>
        </w:rPr>
        <w:t>behaviours</w:t>
      </w:r>
      <w:proofErr w:type="spellEnd"/>
      <w:r>
        <w:rPr>
          <w:rFonts w:ascii="Arial" w:eastAsia="Arial" w:hAnsi="Arial" w:cs="Arial"/>
          <w:color w:val="000000"/>
          <w:sz w:val="22"/>
          <w:szCs w:val="22"/>
        </w:rPr>
        <w:t xml:space="preserve"> and skills needed to be a good leader in health and social care (Barr and Dowding, 2022). It was created to establish a standard way of addressing leadership development to all employees of the National Health Service, as leadership is not just seen as an attribute of senior managers only, but it can be shown by employees at all levels of the </w:t>
      </w:r>
      <w:proofErr w:type="spellStart"/>
      <w:r>
        <w:rPr>
          <w:rFonts w:ascii="Arial" w:eastAsia="Arial" w:hAnsi="Arial" w:cs="Arial"/>
          <w:color w:val="000000"/>
          <w:sz w:val="22"/>
          <w:szCs w:val="22"/>
        </w:rPr>
        <w:t>organisation</w:t>
      </w:r>
      <w:proofErr w:type="spellEnd"/>
      <w:r>
        <w:rPr>
          <w:rFonts w:ascii="Arial" w:eastAsia="Arial" w:hAnsi="Arial" w:cs="Arial"/>
          <w:color w:val="000000"/>
          <w:sz w:val="22"/>
          <w:szCs w:val="22"/>
        </w:rPr>
        <w:t>.</w:t>
      </w:r>
    </w:p>
    <w:p w14:paraId="3E181B41" w14:textId="77777777" w:rsidR="004E14C7" w:rsidRDefault="00BA6B20">
      <w:pPr>
        <w:pBdr>
          <w:top w:val="nil"/>
          <w:left w:val="nil"/>
          <w:bottom w:val="nil"/>
          <w:right w:val="nil"/>
          <w:between w:val="nil"/>
        </w:pBdr>
        <w:spacing w:after="0" w:line="360" w:lineRule="auto"/>
        <w:jc w:val="center"/>
        <w:rPr>
          <w:rFonts w:ascii="Arial" w:eastAsia="Arial" w:hAnsi="Arial" w:cs="Arial"/>
          <w:color w:val="000000"/>
          <w:sz w:val="22"/>
          <w:szCs w:val="22"/>
        </w:rPr>
      </w:pPr>
      <w:r>
        <w:rPr>
          <w:rFonts w:ascii="Arial" w:eastAsia="Arial" w:hAnsi="Arial" w:cs="Arial"/>
          <w:noProof/>
          <w:color w:val="000000"/>
          <w:sz w:val="22"/>
          <w:szCs w:val="22"/>
        </w:rPr>
        <w:lastRenderedPageBreak/>
        <w:drawing>
          <wp:inline distT="114300" distB="114300" distL="114300" distR="114300" wp14:anchorId="46E0381F" wp14:editId="22D5DBD3">
            <wp:extent cx="3533775" cy="2409825"/>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533775" cy="2409825"/>
                    </a:xfrm>
                    <a:prstGeom prst="rect">
                      <a:avLst/>
                    </a:prstGeom>
                    <a:ln w="12700">
                      <a:solidFill>
                        <a:srgbClr val="000000"/>
                      </a:solidFill>
                      <a:prstDash val="solid"/>
                    </a:ln>
                  </pic:spPr>
                </pic:pic>
              </a:graphicData>
            </a:graphic>
          </wp:inline>
        </w:drawing>
      </w:r>
    </w:p>
    <w:p w14:paraId="3DDA7224" w14:textId="77777777" w:rsidR="004E14C7" w:rsidRDefault="00BA6B20">
      <w:pPr>
        <w:pBdr>
          <w:top w:val="nil"/>
          <w:left w:val="nil"/>
          <w:bottom w:val="nil"/>
          <w:right w:val="nil"/>
          <w:between w:val="nil"/>
        </w:pBdr>
        <w:spacing w:after="0"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Figure 3:  NHS Leadership Framework</w:t>
      </w:r>
    </w:p>
    <w:p w14:paraId="0059ADA4" w14:textId="77777777" w:rsidR="004E14C7" w:rsidRDefault="00BA6B20">
      <w:pPr>
        <w:pBdr>
          <w:top w:val="nil"/>
          <w:left w:val="nil"/>
          <w:bottom w:val="nil"/>
          <w:right w:val="nil"/>
          <w:between w:val="nil"/>
        </w:pBdr>
        <w:spacing w:after="0" w:line="360" w:lineRule="auto"/>
        <w:jc w:val="center"/>
        <w:rPr>
          <w:rFonts w:ascii="Arial" w:eastAsia="Arial" w:hAnsi="Arial" w:cs="Arial"/>
          <w:color w:val="000000"/>
          <w:sz w:val="22"/>
          <w:szCs w:val="22"/>
        </w:rPr>
      </w:pPr>
      <w:r>
        <w:rPr>
          <w:rFonts w:ascii="Arial" w:eastAsia="Arial" w:hAnsi="Arial" w:cs="Arial"/>
          <w:color w:val="000000"/>
          <w:sz w:val="22"/>
          <w:szCs w:val="22"/>
        </w:rPr>
        <w:t>(Source: Author)</w:t>
      </w:r>
    </w:p>
    <w:p w14:paraId="0B6728E6" w14:textId="7FE7E908"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It has a framework </w:t>
      </w:r>
      <w:proofErr w:type="spellStart"/>
      <w:r>
        <w:rPr>
          <w:rFonts w:ascii="Arial" w:eastAsia="Arial" w:hAnsi="Arial" w:cs="Arial"/>
          <w:color w:val="000000"/>
          <w:sz w:val="22"/>
          <w:szCs w:val="22"/>
        </w:rPr>
        <w:t>organised</w:t>
      </w:r>
      <w:proofErr w:type="spellEnd"/>
      <w:r>
        <w:rPr>
          <w:rFonts w:ascii="Arial" w:eastAsia="Arial" w:hAnsi="Arial" w:cs="Arial"/>
          <w:color w:val="000000"/>
          <w:sz w:val="22"/>
          <w:szCs w:val="22"/>
        </w:rPr>
        <w:t xml:space="preserve"> in seven domains of leadership, and these domains define the main competencies that should be used to enable high-quality healthcare services (Barr and Dowding, 2022). The five initial core areas are showcasing personal traits, collaborating, service management, service enhancement, and direction setting. These areas put emphasis on self-awareness </w:t>
      </w:r>
      <w:proofErr w:type="spellStart"/>
      <w:r>
        <w:rPr>
          <w:rFonts w:ascii="Arial" w:eastAsia="Arial" w:hAnsi="Arial" w:cs="Arial"/>
          <w:color w:val="000000"/>
          <w:sz w:val="22"/>
          <w:szCs w:val="22"/>
        </w:rPr>
        <w:t>behaviours</w:t>
      </w:r>
      <w:proofErr w:type="spellEnd"/>
      <w:r>
        <w:rPr>
          <w:rFonts w:ascii="Arial" w:eastAsia="Arial" w:hAnsi="Arial" w:cs="Arial"/>
          <w:color w:val="000000"/>
          <w:sz w:val="22"/>
          <w:szCs w:val="22"/>
        </w:rPr>
        <w:t xml:space="preserve">, integrity, collaboration, managing resources effectively, and evidence-based decision making. The last two areas are developing the vision and presenting the strategy which are generally linked to the top management positions. These areas are geared towards having a clear direction of the </w:t>
      </w:r>
      <w:proofErr w:type="spellStart"/>
      <w:r>
        <w:rPr>
          <w:rFonts w:ascii="Arial" w:eastAsia="Arial" w:hAnsi="Arial" w:cs="Arial"/>
          <w:color w:val="000000"/>
          <w:sz w:val="22"/>
          <w:szCs w:val="22"/>
        </w:rPr>
        <w:t>organisations</w:t>
      </w:r>
      <w:proofErr w:type="spellEnd"/>
      <w:r>
        <w:rPr>
          <w:rFonts w:ascii="Arial" w:eastAsia="Arial" w:hAnsi="Arial" w:cs="Arial"/>
          <w:color w:val="000000"/>
          <w:sz w:val="22"/>
          <w:szCs w:val="22"/>
        </w:rPr>
        <w:t xml:space="preserve"> and also ensuring that the strategies are implemented.</w:t>
      </w:r>
    </w:p>
    <w:p w14:paraId="05FD7AE3" w14:textId="77777777" w:rsidR="00E94DE1" w:rsidRDefault="00E94DE1">
      <w:pPr>
        <w:pBdr>
          <w:top w:val="nil"/>
          <w:left w:val="nil"/>
          <w:bottom w:val="nil"/>
          <w:right w:val="nil"/>
          <w:between w:val="nil"/>
        </w:pBdr>
        <w:spacing w:after="0" w:line="360" w:lineRule="auto"/>
        <w:jc w:val="both"/>
        <w:rPr>
          <w:rFonts w:ascii="Arial" w:eastAsia="Arial" w:hAnsi="Arial" w:cs="Arial"/>
          <w:color w:val="000000"/>
          <w:sz w:val="22"/>
          <w:szCs w:val="22"/>
        </w:rPr>
      </w:pPr>
    </w:p>
    <w:p w14:paraId="5AC00136" w14:textId="7EE3D8B4" w:rsidR="00D41984" w:rsidRPr="00D41984" w:rsidRDefault="00BA6B20">
      <w:pPr>
        <w:pBdr>
          <w:top w:val="nil"/>
          <w:left w:val="nil"/>
          <w:bottom w:val="nil"/>
          <w:right w:val="nil"/>
          <w:between w:val="nil"/>
        </w:pBdr>
        <w:spacing w:after="0" w:line="360" w:lineRule="auto"/>
        <w:jc w:val="both"/>
        <w:rPr>
          <w:rFonts w:ascii="Arial" w:eastAsia="Arial" w:hAnsi="Arial" w:cs="Arial"/>
          <w:b/>
          <w:bCs/>
          <w:color w:val="000000"/>
          <w:sz w:val="22"/>
          <w:szCs w:val="22"/>
        </w:rPr>
      </w:pPr>
      <w:r>
        <w:rPr>
          <w:rFonts w:ascii="Arial" w:eastAsia="Arial" w:hAnsi="Arial" w:cs="Arial"/>
          <w:b/>
          <w:bCs/>
          <w:color w:val="000000"/>
          <w:sz w:val="22"/>
          <w:szCs w:val="22"/>
        </w:rPr>
        <w:t>Using “Improving Services” to Encourage Creativity in the NHS</w:t>
      </w:r>
      <w:r>
        <w:rPr>
          <w:rFonts w:ascii="Arial" w:eastAsia="Arial" w:hAnsi="Arial" w:cs="Arial"/>
          <w:color w:val="000000"/>
          <w:sz w:val="22"/>
          <w:szCs w:val="22"/>
        </w:rPr>
        <w:t xml:space="preserve"> </w:t>
      </w:r>
    </w:p>
    <w:p w14:paraId="3B1A4EFF" w14:textId="686015ED"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Improving services is one of the significant elements of the NHS Leadership Framework. The field is concerned with patient safety, a critical assessment of the current practices, innovation, and transformation of services (Salhab, 2025). </w:t>
      </w:r>
    </w:p>
    <w:p w14:paraId="3C64769A" w14:textId="77777777" w:rsidR="00E94DE1" w:rsidRDefault="00E94DE1">
      <w:pPr>
        <w:pBdr>
          <w:top w:val="nil"/>
          <w:left w:val="nil"/>
          <w:bottom w:val="nil"/>
          <w:right w:val="nil"/>
          <w:between w:val="nil"/>
        </w:pBdr>
        <w:spacing w:after="0" w:line="360" w:lineRule="auto"/>
        <w:jc w:val="both"/>
        <w:rPr>
          <w:rFonts w:ascii="Arial" w:eastAsia="Arial" w:hAnsi="Arial" w:cs="Arial"/>
          <w:color w:val="000000"/>
          <w:sz w:val="22"/>
          <w:szCs w:val="22"/>
        </w:rPr>
      </w:pPr>
    </w:p>
    <w:p w14:paraId="7B555B62" w14:textId="6AEEFE48" w:rsidR="004E14C7" w:rsidRDefault="00BA6B20">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As an example, a healthcare leader might manage to arrange team workshops or brainstorming sessions during which employees could suggest new innovative ideas to enhance patient care. Besides, evidence and feedback of patients can help the heads assess the effectiveness of innovative solutions. Efficiency, decreased waiting time, and patient experience may be improved with the implementation of creative solutions, including telemedicine or integrated care systems (</w:t>
      </w:r>
      <w:proofErr w:type="spellStart"/>
      <w:r>
        <w:rPr>
          <w:rFonts w:ascii="Arial" w:eastAsia="Arial" w:hAnsi="Arial" w:cs="Arial"/>
          <w:color w:val="000000"/>
          <w:sz w:val="22"/>
          <w:szCs w:val="22"/>
        </w:rPr>
        <w:t>Ezeamii</w:t>
      </w:r>
      <w:proofErr w:type="spellEnd"/>
      <w:r>
        <w:rPr>
          <w:rFonts w:ascii="Arial" w:eastAsia="Arial" w:hAnsi="Arial" w:cs="Arial"/>
          <w:color w:val="000000"/>
          <w:sz w:val="22"/>
          <w:szCs w:val="22"/>
        </w:rPr>
        <w:t>, 2024). Through this means, the domain of improving services will enable the ongoing innovation and improved health outcomes of the NHS.</w:t>
      </w:r>
    </w:p>
    <w:p w14:paraId="149FBB23" w14:textId="77777777" w:rsidR="004E14C7" w:rsidRDefault="00BA6B20">
      <w:pPr>
        <w:pStyle w:val="Heading1"/>
      </w:pPr>
      <w:bookmarkStart w:id="7" w:name="_jomzcvjuykp3" w:colFirst="0" w:colLast="0"/>
      <w:bookmarkEnd w:id="7"/>
      <w:r>
        <w:lastRenderedPageBreak/>
        <w:t>Task 7 - Self-Reflection Journal Entry</w:t>
      </w:r>
    </w:p>
    <w:p w14:paraId="4EDADCD8" w14:textId="6D9E08DD" w:rsidR="004E14C7" w:rsidRDefault="00BA6B20">
      <w:p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In this module, my knowledge about creativity and value addition in health and social care was enhanced. I thought of creativity as having been connected to artistic concepts; the module taught me that creativity in health care is connected to finding new ways to address issues, advance services, and patient outcomes. With the help of Gibbs Reflective Cycle, I have reflected on the potential of creative thinking to have an innovative and more effective professional practice.</w:t>
      </w:r>
    </w:p>
    <w:p w14:paraId="3D572DF9" w14:textId="6B334700" w:rsidR="004E14C7" w:rsidRDefault="00BA6B20">
      <w:p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lesson about the significance of reflective practice to enhance the quality of healthcare was one of the major ones. The reflection enables the professionals to </w:t>
      </w:r>
      <w:proofErr w:type="spellStart"/>
      <w:r>
        <w:rPr>
          <w:rFonts w:ascii="Arial" w:eastAsia="Arial" w:hAnsi="Arial" w:cs="Arial"/>
          <w:color w:val="000000"/>
          <w:sz w:val="22"/>
          <w:szCs w:val="22"/>
        </w:rPr>
        <w:t>recognise</w:t>
      </w:r>
      <w:proofErr w:type="spellEnd"/>
      <w:r>
        <w:rPr>
          <w:rFonts w:ascii="Arial" w:eastAsia="Arial" w:hAnsi="Arial" w:cs="Arial"/>
          <w:color w:val="000000"/>
          <w:sz w:val="22"/>
          <w:szCs w:val="22"/>
        </w:rPr>
        <w:t xml:space="preserve"> their strengths and areas to improve, which facilitates unceasing professional progress (</w:t>
      </w:r>
      <w:proofErr w:type="spellStart"/>
      <w:r>
        <w:rPr>
          <w:rFonts w:ascii="Arial" w:eastAsia="Arial" w:hAnsi="Arial" w:cs="Arial"/>
          <w:color w:val="000000"/>
          <w:sz w:val="22"/>
          <w:szCs w:val="22"/>
        </w:rPr>
        <w:t>Elendu</w:t>
      </w:r>
      <w:proofErr w:type="spellEnd"/>
      <w:r>
        <w:rPr>
          <w:rFonts w:ascii="Arial" w:eastAsia="Arial" w:hAnsi="Arial" w:cs="Arial"/>
          <w:color w:val="000000"/>
          <w:sz w:val="22"/>
          <w:szCs w:val="22"/>
        </w:rPr>
        <w:t xml:space="preserve"> et al., 2024). Reflective practice in health and social care helps to promote improved clinical judgment, enhance collaboration, and increase the person-</w:t>
      </w:r>
      <w:r w:rsidR="00D41984">
        <w:rPr>
          <w:rFonts w:ascii="Arial" w:eastAsia="Arial" w:hAnsi="Arial" w:cs="Arial"/>
          <w:color w:val="000000"/>
          <w:sz w:val="22"/>
          <w:szCs w:val="22"/>
        </w:rPr>
        <w:t>centered</w:t>
      </w:r>
      <w:r>
        <w:rPr>
          <w:rFonts w:ascii="Arial" w:eastAsia="Arial" w:hAnsi="Arial" w:cs="Arial"/>
          <w:color w:val="000000"/>
          <w:sz w:val="22"/>
          <w:szCs w:val="22"/>
        </w:rPr>
        <w:t xml:space="preserve"> care (</w:t>
      </w:r>
      <w:proofErr w:type="spellStart"/>
      <w:r>
        <w:rPr>
          <w:rFonts w:ascii="Arial" w:eastAsia="Arial" w:hAnsi="Arial" w:cs="Arial"/>
          <w:color w:val="000000"/>
          <w:sz w:val="22"/>
          <w:szCs w:val="22"/>
        </w:rPr>
        <w:t>Akinlotan</w:t>
      </w:r>
      <w:proofErr w:type="spellEnd"/>
      <w:r>
        <w:rPr>
          <w:rFonts w:ascii="Arial" w:eastAsia="Arial" w:hAnsi="Arial" w:cs="Arial"/>
          <w:color w:val="000000"/>
          <w:sz w:val="22"/>
          <w:szCs w:val="22"/>
        </w:rPr>
        <w:t xml:space="preserve">, 2024). </w:t>
      </w:r>
    </w:p>
    <w:p w14:paraId="548B8BB0" w14:textId="4EDB06B4" w:rsidR="004E14C7" w:rsidRDefault="00BA6B20">
      <w:p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 learned in this </w:t>
      </w:r>
      <w:r w:rsidR="00D41984">
        <w:rPr>
          <w:rFonts w:ascii="Arial" w:eastAsia="Arial" w:hAnsi="Arial" w:cs="Arial"/>
          <w:color w:val="000000"/>
          <w:sz w:val="22"/>
          <w:szCs w:val="22"/>
        </w:rPr>
        <w:t xml:space="preserve">module </w:t>
      </w:r>
      <w:r>
        <w:rPr>
          <w:rFonts w:ascii="Arial" w:eastAsia="Arial" w:hAnsi="Arial" w:cs="Arial"/>
          <w:color w:val="000000"/>
          <w:sz w:val="22"/>
          <w:szCs w:val="22"/>
        </w:rPr>
        <w:t>that technology can enhance the provision of care delivery. Digital devices, electronic health information exchanges, and remote telehealth may help to improve communication, speed up diagnosis, and patient management (Adeniyi et al., 2024). Moreover, leadership and teamwork should exist in order to institute creative solutions.</w:t>
      </w:r>
    </w:p>
    <w:p w14:paraId="087ABDCD" w14:textId="77777777" w:rsidR="004E14C7" w:rsidRDefault="004E14C7">
      <w:pPr>
        <w:pBdr>
          <w:top w:val="nil"/>
          <w:left w:val="nil"/>
          <w:bottom w:val="nil"/>
          <w:right w:val="nil"/>
          <w:between w:val="nil"/>
        </w:pBdr>
        <w:spacing w:line="360" w:lineRule="auto"/>
        <w:jc w:val="both"/>
        <w:rPr>
          <w:rFonts w:ascii="Arial" w:eastAsia="Arial" w:hAnsi="Arial" w:cs="Arial"/>
          <w:color w:val="000000"/>
          <w:sz w:val="22"/>
          <w:szCs w:val="22"/>
        </w:rPr>
      </w:pPr>
    </w:p>
    <w:p w14:paraId="67D0134C" w14:textId="77777777" w:rsidR="004E14C7" w:rsidRDefault="00BA6B20">
      <w:pPr>
        <w:pBdr>
          <w:top w:val="nil"/>
          <w:left w:val="nil"/>
          <w:bottom w:val="nil"/>
          <w:right w:val="nil"/>
          <w:between w:val="nil"/>
        </w:pBdr>
        <w:rPr>
          <w:rFonts w:ascii="Arial" w:eastAsia="Arial" w:hAnsi="Arial" w:cs="Arial"/>
          <w:b/>
          <w:bCs/>
          <w:color w:val="000000"/>
          <w:sz w:val="22"/>
          <w:szCs w:val="22"/>
        </w:rPr>
      </w:pPr>
      <w:r>
        <w:br w:type="page"/>
      </w:r>
    </w:p>
    <w:p w14:paraId="348142CC" w14:textId="77777777" w:rsidR="004E14C7" w:rsidRDefault="00BA6B20" w:rsidP="004124EE">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b/>
          <w:bCs/>
          <w:color w:val="000000"/>
          <w:sz w:val="22"/>
          <w:szCs w:val="22"/>
        </w:rPr>
        <w:lastRenderedPageBreak/>
        <w:t>Reference List</w:t>
      </w:r>
    </w:p>
    <w:p w14:paraId="3E1F2E56" w14:textId="77777777" w:rsidR="004124EE"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Adeniyi, A.O., </w:t>
      </w:r>
      <w:proofErr w:type="spellStart"/>
      <w:r>
        <w:rPr>
          <w:rFonts w:ascii="Arial" w:eastAsia="Arial" w:hAnsi="Arial" w:cs="Arial"/>
          <w:color w:val="000000"/>
          <w:sz w:val="22"/>
          <w:szCs w:val="22"/>
        </w:rPr>
        <w:t>Arowoogun</w:t>
      </w:r>
      <w:proofErr w:type="spellEnd"/>
      <w:r>
        <w:rPr>
          <w:rFonts w:ascii="Arial" w:eastAsia="Arial" w:hAnsi="Arial" w:cs="Arial"/>
          <w:color w:val="000000"/>
          <w:sz w:val="22"/>
          <w:szCs w:val="22"/>
        </w:rPr>
        <w:t xml:space="preserve">, J.O., Chidi, R., Okolo, C.A. and </w:t>
      </w:r>
      <w:proofErr w:type="spellStart"/>
      <w:r>
        <w:rPr>
          <w:rFonts w:ascii="Arial" w:eastAsia="Arial" w:hAnsi="Arial" w:cs="Arial"/>
          <w:color w:val="000000"/>
          <w:sz w:val="22"/>
          <w:szCs w:val="22"/>
        </w:rPr>
        <w:t>Babawarun</w:t>
      </w:r>
      <w:proofErr w:type="spellEnd"/>
      <w:r>
        <w:rPr>
          <w:rFonts w:ascii="Arial" w:eastAsia="Arial" w:hAnsi="Arial" w:cs="Arial"/>
          <w:color w:val="000000"/>
          <w:sz w:val="22"/>
          <w:szCs w:val="22"/>
        </w:rPr>
        <w:t xml:space="preserve">, O. (2024) ‘The impact of electronic health records on patient care and outcomes: A comprehensive review’, </w:t>
      </w:r>
      <w:r>
        <w:rPr>
          <w:rFonts w:ascii="Arial" w:eastAsia="Arial" w:hAnsi="Arial" w:cs="Arial"/>
          <w:i/>
          <w:iCs/>
          <w:color w:val="000000"/>
          <w:sz w:val="22"/>
          <w:szCs w:val="22"/>
        </w:rPr>
        <w:t>World Journal of Advanced Research and Reviews</w:t>
      </w:r>
      <w:r>
        <w:rPr>
          <w:rFonts w:ascii="Arial" w:eastAsia="Arial" w:hAnsi="Arial" w:cs="Arial"/>
          <w:color w:val="000000"/>
          <w:sz w:val="22"/>
          <w:szCs w:val="22"/>
        </w:rPr>
        <w:t xml:space="preserve">, 21(2), pp. 1446–1455.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13">
        <w:r>
          <w:rPr>
            <w:rFonts w:ascii="Arial" w:eastAsia="Arial" w:hAnsi="Arial" w:cs="Arial"/>
            <w:color w:val="000000"/>
            <w:sz w:val="22"/>
            <w:szCs w:val="22"/>
          </w:rPr>
          <w:t xml:space="preserve"> </w:t>
        </w:r>
      </w:hyperlink>
    </w:p>
    <w:p w14:paraId="5DEC4D12" w14:textId="0D9E6101" w:rsidR="004E14C7"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hyperlink r:id="rId14" w:history="1">
        <w:r w:rsidRPr="0099797F">
          <w:rPr>
            <w:rStyle w:val="Hyperlink"/>
            <w:rFonts w:ascii="Arial" w:eastAsia="Arial" w:hAnsi="Arial" w:cs="Arial"/>
            <w:sz w:val="22"/>
            <w:szCs w:val="22"/>
          </w:rPr>
          <w:t>https://doi.org/10.30574/wjarr.2024.21.2.0592</w:t>
        </w:r>
      </w:hyperlink>
      <w:r w:rsidR="00BA6B20">
        <w:rPr>
          <w:rFonts w:ascii="Arial" w:eastAsia="Arial" w:hAnsi="Arial" w:cs="Arial"/>
          <w:color w:val="000000"/>
          <w:sz w:val="22"/>
          <w:szCs w:val="22"/>
        </w:rPr>
        <w:t>.</w:t>
      </w:r>
    </w:p>
    <w:p w14:paraId="27E18DEF"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4D5597E3"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Ahad, A., Gonzalez, M. and Junquera, P. (2023) ‘Understanding and addressing mental health stigma across cultures for improving psychiatric care: A narrative review’, </w:t>
      </w:r>
      <w:proofErr w:type="spellStart"/>
      <w:r>
        <w:rPr>
          <w:rFonts w:ascii="Arial" w:eastAsia="Arial" w:hAnsi="Arial" w:cs="Arial"/>
          <w:i/>
          <w:iCs/>
          <w:color w:val="000000"/>
          <w:sz w:val="22"/>
          <w:szCs w:val="22"/>
        </w:rPr>
        <w:t>Cureus</w:t>
      </w:r>
      <w:proofErr w:type="spellEnd"/>
      <w:r>
        <w:rPr>
          <w:rFonts w:ascii="Arial" w:eastAsia="Arial" w:hAnsi="Arial" w:cs="Arial"/>
          <w:color w:val="000000"/>
          <w:sz w:val="22"/>
          <w:szCs w:val="22"/>
        </w:rPr>
        <w:t xml:space="preserve">, 15(5).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15">
        <w:r>
          <w:rPr>
            <w:rFonts w:ascii="Arial" w:eastAsia="Arial" w:hAnsi="Arial" w:cs="Arial"/>
            <w:color w:val="000000"/>
            <w:sz w:val="22"/>
            <w:szCs w:val="22"/>
          </w:rPr>
          <w:t xml:space="preserve"> </w:t>
        </w:r>
      </w:hyperlink>
      <w:hyperlink r:id="rId16">
        <w:r>
          <w:rPr>
            <w:rFonts w:ascii="Arial" w:eastAsia="Arial" w:hAnsi="Arial" w:cs="Arial"/>
            <w:color w:val="1155CC"/>
            <w:sz w:val="22"/>
            <w:szCs w:val="22"/>
            <w:u w:val="single"/>
          </w:rPr>
          <w:t>https://doi.org/10.7759/cureus.39549</w:t>
        </w:r>
      </w:hyperlink>
      <w:r>
        <w:rPr>
          <w:rFonts w:ascii="Arial" w:eastAsia="Arial" w:hAnsi="Arial" w:cs="Arial"/>
          <w:color w:val="000000"/>
          <w:sz w:val="22"/>
          <w:szCs w:val="22"/>
        </w:rPr>
        <w:t>.</w:t>
      </w:r>
    </w:p>
    <w:p w14:paraId="38C8B5E7"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67B0ABF7"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Akinlotan</w:t>
      </w:r>
      <w:proofErr w:type="spellEnd"/>
      <w:r>
        <w:rPr>
          <w:rFonts w:ascii="Arial" w:eastAsia="Arial" w:hAnsi="Arial" w:cs="Arial"/>
          <w:color w:val="000000"/>
          <w:sz w:val="22"/>
          <w:szCs w:val="22"/>
        </w:rPr>
        <w:t xml:space="preserve">, O. (2024) ‘Leading and managing a multidisciplinary team in health and social care: A critical and personal reflection’, </w:t>
      </w:r>
      <w:r>
        <w:rPr>
          <w:rFonts w:ascii="Arial" w:eastAsia="Arial" w:hAnsi="Arial" w:cs="Arial"/>
          <w:i/>
          <w:iCs/>
          <w:color w:val="000000"/>
          <w:sz w:val="22"/>
          <w:szCs w:val="22"/>
        </w:rPr>
        <w:t>British Journal of Nursing</w:t>
      </w:r>
      <w:r>
        <w:rPr>
          <w:rFonts w:ascii="Arial" w:eastAsia="Arial" w:hAnsi="Arial" w:cs="Arial"/>
          <w:color w:val="000000"/>
          <w:sz w:val="22"/>
          <w:szCs w:val="22"/>
        </w:rPr>
        <w:t xml:space="preserve">, 33(12), pp. 560–564.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17">
        <w:r>
          <w:rPr>
            <w:rFonts w:ascii="Arial" w:eastAsia="Arial" w:hAnsi="Arial" w:cs="Arial"/>
            <w:color w:val="000000"/>
            <w:sz w:val="22"/>
            <w:szCs w:val="22"/>
          </w:rPr>
          <w:t xml:space="preserve"> </w:t>
        </w:r>
      </w:hyperlink>
      <w:hyperlink r:id="rId18">
        <w:r>
          <w:rPr>
            <w:rFonts w:ascii="Arial" w:eastAsia="Arial" w:hAnsi="Arial" w:cs="Arial"/>
            <w:color w:val="1155CC"/>
            <w:sz w:val="22"/>
            <w:szCs w:val="22"/>
            <w:u w:val="single"/>
          </w:rPr>
          <w:t>https://doi.org/10.12968/bjon.2024.0063</w:t>
        </w:r>
      </w:hyperlink>
      <w:r>
        <w:rPr>
          <w:rFonts w:ascii="Arial" w:eastAsia="Arial" w:hAnsi="Arial" w:cs="Arial"/>
          <w:color w:val="000000"/>
          <w:sz w:val="22"/>
          <w:szCs w:val="22"/>
        </w:rPr>
        <w:t>.</w:t>
      </w:r>
    </w:p>
    <w:p w14:paraId="53CDCD38"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7FC20E06"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Anindhita</w:t>
      </w:r>
      <w:proofErr w:type="spellEnd"/>
      <w:r>
        <w:rPr>
          <w:rFonts w:ascii="Arial" w:eastAsia="Arial" w:hAnsi="Arial" w:cs="Arial"/>
          <w:color w:val="000000"/>
          <w:sz w:val="22"/>
          <w:szCs w:val="22"/>
        </w:rPr>
        <w:t xml:space="preserve">, M., Haniifah, M., Novia, M., </w:t>
      </w:r>
      <w:proofErr w:type="spellStart"/>
      <w:r>
        <w:rPr>
          <w:rFonts w:ascii="Arial" w:eastAsia="Arial" w:hAnsi="Arial" w:cs="Arial"/>
          <w:color w:val="000000"/>
          <w:sz w:val="22"/>
          <w:szCs w:val="22"/>
        </w:rPr>
        <w:t>Karnasih</w:t>
      </w:r>
      <w:proofErr w:type="spellEnd"/>
      <w:r>
        <w:rPr>
          <w:rFonts w:ascii="Arial" w:eastAsia="Arial" w:hAnsi="Arial" w:cs="Arial"/>
          <w:color w:val="000000"/>
          <w:sz w:val="22"/>
          <w:szCs w:val="22"/>
        </w:rPr>
        <w:t xml:space="preserve">, A., </w:t>
      </w:r>
      <w:proofErr w:type="spellStart"/>
      <w:r>
        <w:rPr>
          <w:rFonts w:ascii="Arial" w:eastAsia="Arial" w:hAnsi="Arial" w:cs="Arial"/>
          <w:color w:val="000000"/>
          <w:sz w:val="22"/>
          <w:szCs w:val="22"/>
        </w:rPr>
        <w:t>Agiananda</w:t>
      </w:r>
      <w:proofErr w:type="spellEnd"/>
      <w:r>
        <w:rPr>
          <w:rFonts w:ascii="Arial" w:eastAsia="Arial" w:hAnsi="Arial" w:cs="Arial"/>
          <w:color w:val="000000"/>
          <w:sz w:val="22"/>
          <w:szCs w:val="22"/>
        </w:rPr>
        <w:t xml:space="preserve">, F., Yani, F.F., Asiah, M., </w:t>
      </w:r>
      <w:proofErr w:type="spellStart"/>
      <w:r>
        <w:rPr>
          <w:rFonts w:ascii="Arial" w:eastAsia="Arial" w:hAnsi="Arial" w:cs="Arial"/>
          <w:color w:val="000000"/>
          <w:sz w:val="22"/>
          <w:szCs w:val="22"/>
        </w:rPr>
        <w:t>Pakasi</w:t>
      </w:r>
      <w:proofErr w:type="spellEnd"/>
      <w:r>
        <w:rPr>
          <w:rFonts w:ascii="Arial" w:eastAsia="Arial" w:hAnsi="Arial" w:cs="Arial"/>
          <w:color w:val="000000"/>
          <w:sz w:val="22"/>
          <w:szCs w:val="22"/>
        </w:rPr>
        <w:t xml:space="preserve">, T.A., </w:t>
      </w:r>
      <w:proofErr w:type="spellStart"/>
      <w:r>
        <w:rPr>
          <w:rFonts w:ascii="Arial" w:eastAsia="Arial" w:hAnsi="Arial" w:cs="Arial"/>
          <w:color w:val="000000"/>
          <w:sz w:val="22"/>
          <w:szCs w:val="22"/>
        </w:rPr>
        <w:t>Widyahening</w:t>
      </w:r>
      <w:proofErr w:type="spellEnd"/>
      <w:r>
        <w:rPr>
          <w:rFonts w:ascii="Arial" w:eastAsia="Arial" w:hAnsi="Arial" w:cs="Arial"/>
          <w:color w:val="000000"/>
          <w:sz w:val="22"/>
          <w:szCs w:val="22"/>
        </w:rPr>
        <w:t xml:space="preserve">, I.S., </w:t>
      </w:r>
      <w:proofErr w:type="spellStart"/>
      <w:r>
        <w:rPr>
          <w:rFonts w:ascii="Arial" w:eastAsia="Arial" w:hAnsi="Arial" w:cs="Arial"/>
          <w:color w:val="000000"/>
          <w:sz w:val="22"/>
          <w:szCs w:val="22"/>
        </w:rPr>
        <w:t>Fuady</w:t>
      </w:r>
      <w:proofErr w:type="spellEnd"/>
      <w:r>
        <w:rPr>
          <w:rFonts w:ascii="Arial" w:eastAsia="Arial" w:hAnsi="Arial" w:cs="Arial"/>
          <w:color w:val="000000"/>
          <w:sz w:val="22"/>
          <w:szCs w:val="22"/>
        </w:rPr>
        <w:t xml:space="preserve">, A. and Wingfield, T. (2024) ‘Community-based psychosocial support interventions to reduce stigma and improve mental health of people with infectious diseases: A scoping review’, </w:t>
      </w:r>
      <w:r>
        <w:rPr>
          <w:rFonts w:ascii="Arial" w:eastAsia="Arial" w:hAnsi="Arial" w:cs="Arial"/>
          <w:i/>
          <w:iCs/>
          <w:color w:val="000000"/>
          <w:sz w:val="22"/>
          <w:szCs w:val="22"/>
        </w:rPr>
        <w:t>Infectious Diseases of Poverty</w:t>
      </w:r>
      <w:r>
        <w:rPr>
          <w:rFonts w:ascii="Arial" w:eastAsia="Arial" w:hAnsi="Arial" w:cs="Arial"/>
          <w:color w:val="000000"/>
          <w:sz w:val="22"/>
          <w:szCs w:val="22"/>
        </w:rPr>
        <w:t xml:space="preserve">, 13(1).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19">
        <w:r>
          <w:rPr>
            <w:rFonts w:ascii="Arial" w:eastAsia="Arial" w:hAnsi="Arial" w:cs="Arial"/>
            <w:color w:val="000000"/>
            <w:sz w:val="22"/>
            <w:szCs w:val="22"/>
          </w:rPr>
          <w:t xml:space="preserve"> </w:t>
        </w:r>
      </w:hyperlink>
      <w:hyperlink r:id="rId20">
        <w:r>
          <w:rPr>
            <w:rFonts w:ascii="Arial" w:eastAsia="Arial" w:hAnsi="Arial" w:cs="Arial"/>
            <w:color w:val="1155CC"/>
            <w:sz w:val="22"/>
            <w:szCs w:val="22"/>
            <w:u w:val="single"/>
          </w:rPr>
          <w:t>https://doi.org/10.1186/s40249-024-01257-6</w:t>
        </w:r>
      </w:hyperlink>
      <w:r>
        <w:rPr>
          <w:rFonts w:ascii="Arial" w:eastAsia="Arial" w:hAnsi="Arial" w:cs="Arial"/>
          <w:color w:val="000000"/>
          <w:sz w:val="22"/>
          <w:szCs w:val="22"/>
        </w:rPr>
        <w:t>.</w:t>
      </w:r>
    </w:p>
    <w:p w14:paraId="49E58CA0"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52A10094"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Barr, J. and Dowding, L. (2022) </w:t>
      </w:r>
      <w:r>
        <w:rPr>
          <w:rFonts w:ascii="Arial" w:eastAsia="Arial" w:hAnsi="Arial" w:cs="Arial"/>
          <w:i/>
          <w:iCs/>
          <w:color w:val="000000"/>
          <w:sz w:val="22"/>
          <w:szCs w:val="22"/>
        </w:rPr>
        <w:t>Leadership in health care</w:t>
      </w:r>
      <w:r>
        <w:rPr>
          <w:rFonts w:ascii="Arial" w:eastAsia="Arial" w:hAnsi="Arial" w:cs="Arial"/>
          <w:color w:val="000000"/>
          <w:sz w:val="22"/>
          <w:szCs w:val="22"/>
        </w:rPr>
        <w:t xml:space="preserve">. 5th </w:t>
      </w:r>
      <w:proofErr w:type="spellStart"/>
      <w:r>
        <w:rPr>
          <w:rFonts w:ascii="Arial" w:eastAsia="Arial" w:hAnsi="Arial" w:cs="Arial"/>
          <w:color w:val="000000"/>
          <w:sz w:val="22"/>
          <w:szCs w:val="22"/>
        </w:rPr>
        <w:t>edn</w:t>
      </w:r>
      <w:proofErr w:type="spellEnd"/>
      <w:r>
        <w:rPr>
          <w:rFonts w:ascii="Arial" w:eastAsia="Arial" w:hAnsi="Arial" w:cs="Arial"/>
          <w:color w:val="000000"/>
          <w:sz w:val="22"/>
          <w:szCs w:val="22"/>
        </w:rPr>
        <w:t>. London: SAGE.</w:t>
      </w:r>
    </w:p>
    <w:p w14:paraId="05A0061C"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Busnatu</w:t>
      </w:r>
      <w:proofErr w:type="spellEnd"/>
      <w:r>
        <w:rPr>
          <w:rFonts w:ascii="Arial" w:eastAsia="Arial" w:hAnsi="Arial" w:cs="Arial"/>
          <w:color w:val="000000"/>
          <w:sz w:val="22"/>
          <w:szCs w:val="22"/>
        </w:rPr>
        <w:t xml:space="preserve">, S., Niculescu, A.-G., Bolocan, A., Andronic, O., Stoian, A.P., </w:t>
      </w:r>
      <w:proofErr w:type="spellStart"/>
      <w:r>
        <w:rPr>
          <w:rFonts w:ascii="Arial" w:eastAsia="Arial" w:hAnsi="Arial" w:cs="Arial"/>
          <w:color w:val="000000"/>
          <w:sz w:val="22"/>
          <w:szCs w:val="22"/>
        </w:rPr>
        <w:t>Scafa-Udriște</w:t>
      </w:r>
      <w:proofErr w:type="spellEnd"/>
      <w:r>
        <w:rPr>
          <w:rFonts w:ascii="Arial" w:eastAsia="Arial" w:hAnsi="Arial" w:cs="Arial"/>
          <w:color w:val="000000"/>
          <w:sz w:val="22"/>
          <w:szCs w:val="22"/>
        </w:rPr>
        <w:t xml:space="preserve">, A., Maria, A., Păduraru, D.N., Nicolescu, M.I., Grumezescu, A.M. and Jinga, V. (2022) ‘A review of digital health and biotelemetry: Modern approaches towards personalized medicine and remote health assessment’, </w:t>
      </w:r>
      <w:r>
        <w:rPr>
          <w:rFonts w:ascii="Arial" w:eastAsia="Arial" w:hAnsi="Arial" w:cs="Arial"/>
          <w:i/>
          <w:iCs/>
          <w:color w:val="000000"/>
          <w:sz w:val="22"/>
          <w:szCs w:val="22"/>
        </w:rPr>
        <w:t>Journal of Personalized Medicine</w:t>
      </w:r>
      <w:r>
        <w:rPr>
          <w:rFonts w:ascii="Arial" w:eastAsia="Arial" w:hAnsi="Arial" w:cs="Arial"/>
          <w:color w:val="000000"/>
          <w:sz w:val="22"/>
          <w:szCs w:val="22"/>
        </w:rPr>
        <w:t xml:space="preserve">, 12(10), p.1656.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21">
        <w:r>
          <w:rPr>
            <w:rFonts w:ascii="Arial" w:eastAsia="Arial" w:hAnsi="Arial" w:cs="Arial"/>
            <w:color w:val="000000"/>
            <w:sz w:val="22"/>
            <w:szCs w:val="22"/>
          </w:rPr>
          <w:t xml:space="preserve"> </w:t>
        </w:r>
      </w:hyperlink>
      <w:hyperlink r:id="rId22">
        <w:r>
          <w:rPr>
            <w:rFonts w:ascii="Arial" w:eastAsia="Arial" w:hAnsi="Arial" w:cs="Arial"/>
            <w:color w:val="1155CC"/>
            <w:sz w:val="22"/>
            <w:szCs w:val="22"/>
            <w:u w:val="single"/>
          </w:rPr>
          <w:t>https://doi.org/10.3390/jpm12101656</w:t>
        </w:r>
      </w:hyperlink>
      <w:r>
        <w:rPr>
          <w:rFonts w:ascii="Arial" w:eastAsia="Arial" w:hAnsi="Arial" w:cs="Arial"/>
          <w:color w:val="000000"/>
          <w:sz w:val="22"/>
          <w:szCs w:val="22"/>
        </w:rPr>
        <w:t>.</w:t>
      </w:r>
    </w:p>
    <w:p w14:paraId="7C3CAEC2" w14:textId="6DE2FE7D" w:rsidR="004E14C7" w:rsidRDefault="004E14C7"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3F093593"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Coulton, S., Clift, S., </w:t>
      </w:r>
      <w:proofErr w:type="spellStart"/>
      <w:r>
        <w:rPr>
          <w:rFonts w:ascii="Arial" w:eastAsia="Arial" w:hAnsi="Arial" w:cs="Arial"/>
          <w:color w:val="000000"/>
          <w:sz w:val="22"/>
          <w:szCs w:val="22"/>
        </w:rPr>
        <w:t>Skingley</w:t>
      </w:r>
      <w:proofErr w:type="spellEnd"/>
      <w:r>
        <w:rPr>
          <w:rFonts w:ascii="Arial" w:eastAsia="Arial" w:hAnsi="Arial" w:cs="Arial"/>
          <w:color w:val="000000"/>
          <w:sz w:val="22"/>
          <w:szCs w:val="22"/>
        </w:rPr>
        <w:t xml:space="preserve">, A. and Rodriguez, J. (2015) ‘Effectiveness and cost-effectiveness of community singing on mental health-related quality of life of older people: </w:t>
      </w:r>
      <w:proofErr w:type="spellStart"/>
      <w:r>
        <w:rPr>
          <w:rFonts w:ascii="Arial" w:eastAsia="Arial" w:hAnsi="Arial" w:cs="Arial"/>
          <w:color w:val="000000"/>
          <w:sz w:val="22"/>
          <w:szCs w:val="22"/>
        </w:rPr>
        <w:t>Randomised</w:t>
      </w:r>
      <w:proofErr w:type="spellEnd"/>
      <w:r>
        <w:rPr>
          <w:rFonts w:ascii="Arial" w:eastAsia="Arial" w:hAnsi="Arial" w:cs="Arial"/>
          <w:color w:val="000000"/>
          <w:sz w:val="22"/>
          <w:szCs w:val="22"/>
        </w:rPr>
        <w:t xml:space="preserve"> controlled trial’, </w:t>
      </w:r>
      <w:r>
        <w:rPr>
          <w:rFonts w:ascii="Arial" w:eastAsia="Arial" w:hAnsi="Arial" w:cs="Arial"/>
          <w:i/>
          <w:iCs/>
          <w:color w:val="000000"/>
          <w:sz w:val="22"/>
          <w:szCs w:val="22"/>
        </w:rPr>
        <w:t>The British Journal of Psychiatry</w:t>
      </w:r>
      <w:r>
        <w:rPr>
          <w:rFonts w:ascii="Arial" w:eastAsia="Arial" w:hAnsi="Arial" w:cs="Arial"/>
          <w:color w:val="000000"/>
          <w:sz w:val="22"/>
          <w:szCs w:val="22"/>
        </w:rPr>
        <w:t>, 207, pp. 250–255.</w:t>
      </w:r>
    </w:p>
    <w:p w14:paraId="585501A0" w14:textId="77777777" w:rsidR="004124EE"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Dynamic Training (2024) </w:t>
      </w:r>
      <w:r>
        <w:rPr>
          <w:rFonts w:ascii="Arial" w:eastAsia="Arial" w:hAnsi="Arial" w:cs="Arial"/>
          <w:i/>
          <w:iCs/>
          <w:color w:val="000000"/>
          <w:sz w:val="22"/>
          <w:szCs w:val="22"/>
        </w:rPr>
        <w:t>Understanding Gibbs’ reflective cycle</w:t>
      </w:r>
      <w:r>
        <w:rPr>
          <w:rFonts w:ascii="Arial" w:eastAsia="Arial" w:hAnsi="Arial" w:cs="Arial"/>
          <w:color w:val="000000"/>
          <w:sz w:val="22"/>
          <w:szCs w:val="22"/>
        </w:rPr>
        <w:t>. Available at:</w:t>
      </w:r>
    </w:p>
    <w:p w14:paraId="5F590DDC" w14:textId="2E1AABBD" w:rsidR="004E14C7"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hyperlink r:id="rId23" w:history="1">
        <w:r w:rsidRPr="0099797F">
          <w:rPr>
            <w:rStyle w:val="Hyperlink"/>
            <w:rFonts w:ascii="Arial" w:eastAsia="Arial" w:hAnsi="Arial" w:cs="Arial"/>
            <w:sz w:val="22"/>
            <w:szCs w:val="22"/>
          </w:rPr>
          <w:t xml:space="preserve"> </w:t>
        </w:r>
      </w:hyperlink>
      <w:hyperlink r:id="rId24">
        <w:r w:rsidR="00BA6B20">
          <w:rPr>
            <w:rFonts w:ascii="Arial" w:eastAsia="Arial" w:hAnsi="Arial" w:cs="Arial"/>
            <w:color w:val="1155CC"/>
            <w:sz w:val="22"/>
            <w:szCs w:val="22"/>
            <w:u w:val="single"/>
          </w:rPr>
          <w:t>https://www.dynamictraining.org.uk/learner-pulse/study-skill-gibbs-reflective-cycle/</w:t>
        </w:r>
      </w:hyperlink>
      <w:r w:rsidR="00BA6B20">
        <w:rPr>
          <w:rFonts w:ascii="Arial" w:eastAsia="Arial" w:hAnsi="Arial" w:cs="Arial"/>
          <w:color w:val="000000"/>
          <w:sz w:val="22"/>
          <w:szCs w:val="22"/>
        </w:rPr>
        <w:t xml:space="preserve"> (Accessed: 13 March 2026).</w:t>
      </w:r>
    </w:p>
    <w:p w14:paraId="75A68978"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7675995E"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lastRenderedPageBreak/>
        <w:t>Elendu</w:t>
      </w:r>
      <w:proofErr w:type="spellEnd"/>
      <w:r>
        <w:rPr>
          <w:rFonts w:ascii="Arial" w:eastAsia="Arial" w:hAnsi="Arial" w:cs="Arial"/>
          <w:color w:val="000000"/>
          <w:sz w:val="22"/>
          <w:szCs w:val="22"/>
        </w:rPr>
        <w:t xml:space="preserve">, C., Amaechi, D.C., </w:t>
      </w:r>
      <w:proofErr w:type="spellStart"/>
      <w:r>
        <w:rPr>
          <w:rFonts w:ascii="Arial" w:eastAsia="Arial" w:hAnsi="Arial" w:cs="Arial"/>
          <w:color w:val="000000"/>
          <w:sz w:val="22"/>
          <w:szCs w:val="22"/>
        </w:rPr>
        <w:t>Okatta</w:t>
      </w:r>
      <w:proofErr w:type="spellEnd"/>
      <w:r>
        <w:rPr>
          <w:rFonts w:ascii="Arial" w:eastAsia="Arial" w:hAnsi="Arial" w:cs="Arial"/>
          <w:color w:val="000000"/>
          <w:sz w:val="22"/>
          <w:szCs w:val="22"/>
        </w:rPr>
        <w:t xml:space="preserve">, A.U., Amaechi, E.C., </w:t>
      </w:r>
      <w:proofErr w:type="spellStart"/>
      <w:r>
        <w:rPr>
          <w:rFonts w:ascii="Arial" w:eastAsia="Arial" w:hAnsi="Arial" w:cs="Arial"/>
          <w:color w:val="000000"/>
          <w:sz w:val="22"/>
          <w:szCs w:val="22"/>
        </w:rPr>
        <w:t>Elendu</w:t>
      </w:r>
      <w:proofErr w:type="spellEnd"/>
      <w:r>
        <w:rPr>
          <w:rFonts w:ascii="Arial" w:eastAsia="Arial" w:hAnsi="Arial" w:cs="Arial"/>
          <w:color w:val="000000"/>
          <w:sz w:val="22"/>
          <w:szCs w:val="22"/>
        </w:rPr>
        <w:t xml:space="preserve">, T.C., Ezeh, C.P. and </w:t>
      </w:r>
      <w:proofErr w:type="spellStart"/>
      <w:r>
        <w:rPr>
          <w:rFonts w:ascii="Arial" w:eastAsia="Arial" w:hAnsi="Arial" w:cs="Arial"/>
          <w:color w:val="000000"/>
          <w:sz w:val="22"/>
          <w:szCs w:val="22"/>
        </w:rPr>
        <w:t>Elendu</w:t>
      </w:r>
      <w:proofErr w:type="spellEnd"/>
      <w:r>
        <w:rPr>
          <w:rFonts w:ascii="Arial" w:eastAsia="Arial" w:hAnsi="Arial" w:cs="Arial"/>
          <w:color w:val="000000"/>
          <w:sz w:val="22"/>
          <w:szCs w:val="22"/>
        </w:rPr>
        <w:t xml:space="preserve">, I.D. (2024) ‘The impact of simulation-based training in medical education: A review’, </w:t>
      </w:r>
      <w:r>
        <w:rPr>
          <w:rFonts w:ascii="Arial" w:eastAsia="Arial" w:hAnsi="Arial" w:cs="Arial"/>
          <w:i/>
          <w:iCs/>
          <w:color w:val="000000"/>
          <w:sz w:val="22"/>
          <w:szCs w:val="22"/>
        </w:rPr>
        <w:t>Medicine</w:t>
      </w:r>
      <w:r>
        <w:rPr>
          <w:rFonts w:ascii="Arial" w:eastAsia="Arial" w:hAnsi="Arial" w:cs="Arial"/>
          <w:color w:val="000000"/>
          <w:sz w:val="22"/>
          <w:szCs w:val="22"/>
        </w:rPr>
        <w:t xml:space="preserve">, 103(27), pp. 1–14.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25">
        <w:r>
          <w:rPr>
            <w:rFonts w:ascii="Arial" w:eastAsia="Arial" w:hAnsi="Arial" w:cs="Arial"/>
            <w:color w:val="000000"/>
            <w:sz w:val="22"/>
            <w:szCs w:val="22"/>
          </w:rPr>
          <w:t xml:space="preserve"> </w:t>
        </w:r>
      </w:hyperlink>
      <w:hyperlink r:id="rId26">
        <w:r>
          <w:rPr>
            <w:rFonts w:ascii="Arial" w:eastAsia="Arial" w:hAnsi="Arial" w:cs="Arial"/>
            <w:color w:val="1155CC"/>
            <w:sz w:val="22"/>
            <w:szCs w:val="22"/>
            <w:u w:val="single"/>
          </w:rPr>
          <w:t>https://doi.org/10.1097/MD.0000000000038813</w:t>
        </w:r>
      </w:hyperlink>
      <w:r>
        <w:rPr>
          <w:rFonts w:ascii="Arial" w:eastAsia="Arial" w:hAnsi="Arial" w:cs="Arial"/>
          <w:color w:val="000000"/>
          <w:sz w:val="22"/>
          <w:szCs w:val="22"/>
        </w:rPr>
        <w:t>.</w:t>
      </w:r>
    </w:p>
    <w:p w14:paraId="1508CCBA"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1889B34C"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Ezeamii</w:t>
      </w:r>
      <w:proofErr w:type="spellEnd"/>
      <w:r>
        <w:rPr>
          <w:rFonts w:ascii="Arial" w:eastAsia="Arial" w:hAnsi="Arial" w:cs="Arial"/>
          <w:color w:val="000000"/>
          <w:sz w:val="22"/>
          <w:szCs w:val="22"/>
        </w:rPr>
        <w:t xml:space="preserve">, V. (2024) ‘Revolutionizing healthcare: How telemedicine is improving patient outcomes and expanding access to care’, </w:t>
      </w:r>
      <w:proofErr w:type="spellStart"/>
      <w:r>
        <w:rPr>
          <w:rFonts w:ascii="Arial" w:eastAsia="Arial" w:hAnsi="Arial" w:cs="Arial"/>
          <w:i/>
          <w:iCs/>
          <w:color w:val="000000"/>
          <w:sz w:val="22"/>
          <w:szCs w:val="22"/>
        </w:rPr>
        <w:t>Cureus</w:t>
      </w:r>
      <w:proofErr w:type="spellEnd"/>
      <w:r>
        <w:rPr>
          <w:rFonts w:ascii="Arial" w:eastAsia="Arial" w:hAnsi="Arial" w:cs="Arial"/>
          <w:color w:val="000000"/>
          <w:sz w:val="22"/>
          <w:szCs w:val="22"/>
        </w:rPr>
        <w:t xml:space="preserve">, 16(7).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27">
        <w:r>
          <w:rPr>
            <w:rFonts w:ascii="Arial" w:eastAsia="Arial" w:hAnsi="Arial" w:cs="Arial"/>
            <w:color w:val="000000"/>
            <w:sz w:val="22"/>
            <w:szCs w:val="22"/>
          </w:rPr>
          <w:t xml:space="preserve"> </w:t>
        </w:r>
      </w:hyperlink>
      <w:hyperlink r:id="rId28">
        <w:r>
          <w:rPr>
            <w:rFonts w:ascii="Arial" w:eastAsia="Arial" w:hAnsi="Arial" w:cs="Arial"/>
            <w:color w:val="1155CC"/>
            <w:sz w:val="22"/>
            <w:szCs w:val="22"/>
            <w:u w:val="single"/>
          </w:rPr>
          <w:t>https://doi.org/10.7759/cureus.63881</w:t>
        </w:r>
      </w:hyperlink>
      <w:r>
        <w:rPr>
          <w:rFonts w:ascii="Arial" w:eastAsia="Arial" w:hAnsi="Arial" w:cs="Arial"/>
          <w:color w:val="000000"/>
          <w:sz w:val="22"/>
          <w:szCs w:val="22"/>
        </w:rPr>
        <w:t>.</w:t>
      </w:r>
    </w:p>
    <w:p w14:paraId="75B01FBB"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Gibbs, G. (1988) </w:t>
      </w:r>
      <w:r>
        <w:rPr>
          <w:rFonts w:ascii="Arial" w:eastAsia="Arial" w:hAnsi="Arial" w:cs="Arial"/>
          <w:i/>
          <w:iCs/>
          <w:color w:val="000000"/>
          <w:sz w:val="22"/>
          <w:szCs w:val="22"/>
        </w:rPr>
        <w:t>Learning by doing: A guide to teaching and learning methods</w:t>
      </w:r>
      <w:r>
        <w:rPr>
          <w:rFonts w:ascii="Arial" w:eastAsia="Arial" w:hAnsi="Arial" w:cs="Arial"/>
          <w:color w:val="000000"/>
          <w:sz w:val="22"/>
          <w:szCs w:val="22"/>
        </w:rPr>
        <w:t>. Oxford: Oxford Polytechnic.</w:t>
      </w:r>
    </w:p>
    <w:p w14:paraId="35CBC967"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00BE40D3"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Gronholm, P.C., </w:t>
      </w:r>
      <w:proofErr w:type="spellStart"/>
      <w:r>
        <w:rPr>
          <w:rFonts w:ascii="Arial" w:eastAsia="Arial" w:hAnsi="Arial" w:cs="Arial"/>
          <w:color w:val="000000"/>
          <w:sz w:val="22"/>
          <w:szCs w:val="22"/>
        </w:rPr>
        <w:t>Bakolis</w:t>
      </w:r>
      <w:proofErr w:type="spellEnd"/>
      <w:r>
        <w:rPr>
          <w:rFonts w:ascii="Arial" w:eastAsia="Arial" w:hAnsi="Arial" w:cs="Arial"/>
          <w:color w:val="000000"/>
          <w:sz w:val="22"/>
          <w:szCs w:val="22"/>
        </w:rPr>
        <w:t xml:space="preserve">, I., Cherian, A.V., Davies, K., Evans-Lacko, S., Girma, E., Gurung, D., Hanlon, C., Hanna, F., Henderson, C., Kohrt, B.A., </w:t>
      </w:r>
      <w:proofErr w:type="spellStart"/>
      <w:r>
        <w:rPr>
          <w:rFonts w:ascii="Arial" w:eastAsia="Arial" w:hAnsi="Arial" w:cs="Arial"/>
          <w:color w:val="000000"/>
          <w:sz w:val="22"/>
          <w:szCs w:val="22"/>
        </w:rPr>
        <w:t>Lempp</w:t>
      </w:r>
      <w:proofErr w:type="spellEnd"/>
      <w:r>
        <w:rPr>
          <w:rFonts w:ascii="Arial" w:eastAsia="Arial" w:hAnsi="Arial" w:cs="Arial"/>
          <w:color w:val="000000"/>
          <w:sz w:val="22"/>
          <w:szCs w:val="22"/>
        </w:rPr>
        <w:t xml:space="preserve">, H., Li, J., Loganathan, S., Maulik, P.K., Ma, N., Ouali, U., Romeo, R., </w:t>
      </w:r>
      <w:proofErr w:type="spellStart"/>
      <w:r>
        <w:rPr>
          <w:rFonts w:ascii="Arial" w:eastAsia="Arial" w:hAnsi="Arial" w:cs="Arial"/>
          <w:color w:val="000000"/>
          <w:sz w:val="22"/>
          <w:szCs w:val="22"/>
        </w:rPr>
        <w:t>Rüsch</w:t>
      </w:r>
      <w:proofErr w:type="spellEnd"/>
      <w:r>
        <w:rPr>
          <w:rFonts w:ascii="Arial" w:eastAsia="Arial" w:hAnsi="Arial" w:cs="Arial"/>
          <w:color w:val="000000"/>
          <w:sz w:val="22"/>
          <w:szCs w:val="22"/>
        </w:rPr>
        <w:t xml:space="preserve">, N. and Semrau, M. (2023) ‘Toward a multi-level strategy to reduce stigma in global mental health’, </w:t>
      </w:r>
      <w:r>
        <w:rPr>
          <w:rFonts w:ascii="Arial" w:eastAsia="Arial" w:hAnsi="Arial" w:cs="Arial"/>
          <w:i/>
          <w:iCs/>
          <w:color w:val="000000"/>
          <w:sz w:val="22"/>
          <w:szCs w:val="22"/>
        </w:rPr>
        <w:t>International Journal of Mental Health Systems</w:t>
      </w:r>
      <w:r>
        <w:rPr>
          <w:rFonts w:ascii="Arial" w:eastAsia="Arial" w:hAnsi="Arial" w:cs="Arial"/>
          <w:color w:val="000000"/>
          <w:sz w:val="22"/>
          <w:szCs w:val="22"/>
        </w:rPr>
        <w:t xml:space="preserve">, 17(1).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29">
        <w:r>
          <w:rPr>
            <w:rFonts w:ascii="Arial" w:eastAsia="Arial" w:hAnsi="Arial" w:cs="Arial"/>
            <w:color w:val="000000"/>
            <w:sz w:val="22"/>
            <w:szCs w:val="22"/>
          </w:rPr>
          <w:t xml:space="preserve"> </w:t>
        </w:r>
      </w:hyperlink>
      <w:hyperlink r:id="rId30">
        <w:r>
          <w:rPr>
            <w:rFonts w:ascii="Arial" w:eastAsia="Arial" w:hAnsi="Arial" w:cs="Arial"/>
            <w:color w:val="1155CC"/>
            <w:sz w:val="22"/>
            <w:szCs w:val="22"/>
            <w:u w:val="single"/>
          </w:rPr>
          <w:t>https://doi.org/10.1186/s13033-022-00564-5</w:t>
        </w:r>
      </w:hyperlink>
      <w:r>
        <w:rPr>
          <w:rFonts w:ascii="Arial" w:eastAsia="Arial" w:hAnsi="Arial" w:cs="Arial"/>
          <w:color w:val="000000"/>
          <w:sz w:val="22"/>
          <w:szCs w:val="22"/>
        </w:rPr>
        <w:t>.</w:t>
      </w:r>
    </w:p>
    <w:p w14:paraId="4C9682CC"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2B3E3E98" w14:textId="77777777" w:rsidR="004124EE"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Isaksen, S.G. (2023) ‘Developing creative potential: The power of process, people, and place’, </w:t>
      </w:r>
      <w:r>
        <w:rPr>
          <w:rFonts w:ascii="Arial" w:eastAsia="Arial" w:hAnsi="Arial" w:cs="Arial"/>
          <w:i/>
          <w:iCs/>
          <w:color w:val="000000"/>
          <w:sz w:val="22"/>
          <w:szCs w:val="22"/>
        </w:rPr>
        <w:t>Journal of Advanced Academics</w:t>
      </w:r>
      <w:r>
        <w:rPr>
          <w:rFonts w:ascii="Arial" w:eastAsia="Arial" w:hAnsi="Arial" w:cs="Arial"/>
          <w:color w:val="000000"/>
          <w:sz w:val="22"/>
          <w:szCs w:val="22"/>
        </w:rPr>
        <w:t xml:space="preserve">, 34(2), pp. 111–144.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31">
        <w:r>
          <w:rPr>
            <w:rFonts w:ascii="Arial" w:eastAsia="Arial" w:hAnsi="Arial" w:cs="Arial"/>
            <w:color w:val="000000"/>
            <w:sz w:val="22"/>
            <w:szCs w:val="22"/>
          </w:rPr>
          <w:t xml:space="preserve"> </w:t>
        </w:r>
      </w:hyperlink>
    </w:p>
    <w:p w14:paraId="1DC983BF" w14:textId="003012DA" w:rsidR="004E14C7"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hyperlink r:id="rId32" w:history="1">
        <w:r w:rsidRPr="0099797F">
          <w:rPr>
            <w:rStyle w:val="Hyperlink"/>
            <w:rFonts w:ascii="Arial" w:eastAsia="Arial" w:hAnsi="Arial" w:cs="Arial"/>
            <w:sz w:val="22"/>
            <w:szCs w:val="22"/>
          </w:rPr>
          <w:t>https://doi.org/10.1177/1932202x231156389</w:t>
        </w:r>
      </w:hyperlink>
      <w:r w:rsidR="00BA6B20">
        <w:rPr>
          <w:rFonts w:ascii="Arial" w:eastAsia="Arial" w:hAnsi="Arial" w:cs="Arial"/>
          <w:color w:val="000000"/>
          <w:sz w:val="22"/>
          <w:szCs w:val="22"/>
        </w:rPr>
        <w:t>.</w:t>
      </w:r>
    </w:p>
    <w:p w14:paraId="536E8077"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56CFE67E"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Knight, T. and </w:t>
      </w:r>
      <w:proofErr w:type="spellStart"/>
      <w:r>
        <w:rPr>
          <w:rFonts w:ascii="Arial" w:eastAsia="Arial" w:hAnsi="Arial" w:cs="Arial"/>
          <w:color w:val="000000"/>
          <w:sz w:val="22"/>
          <w:szCs w:val="22"/>
        </w:rPr>
        <w:t>Lasserson</w:t>
      </w:r>
      <w:proofErr w:type="spellEnd"/>
      <w:r>
        <w:rPr>
          <w:rFonts w:ascii="Arial" w:eastAsia="Arial" w:hAnsi="Arial" w:cs="Arial"/>
          <w:color w:val="000000"/>
          <w:sz w:val="22"/>
          <w:szCs w:val="22"/>
        </w:rPr>
        <w:t xml:space="preserve">, D. (2021) ‘Hospital at home for acute medical illness: The 21st century acute medical unit for a changing population’, </w:t>
      </w:r>
      <w:r>
        <w:rPr>
          <w:rFonts w:ascii="Arial" w:eastAsia="Arial" w:hAnsi="Arial" w:cs="Arial"/>
          <w:i/>
          <w:iCs/>
          <w:color w:val="000000"/>
          <w:sz w:val="22"/>
          <w:szCs w:val="22"/>
        </w:rPr>
        <w:t>Journal of Internal Medicine</w:t>
      </w:r>
      <w:r>
        <w:rPr>
          <w:rFonts w:ascii="Arial" w:eastAsia="Arial" w:hAnsi="Arial" w:cs="Arial"/>
          <w:color w:val="000000"/>
          <w:sz w:val="22"/>
          <w:szCs w:val="22"/>
        </w:rPr>
        <w:t xml:space="preserve">, 291(4), pp. 438–457.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33">
        <w:r>
          <w:rPr>
            <w:rFonts w:ascii="Arial" w:eastAsia="Arial" w:hAnsi="Arial" w:cs="Arial"/>
            <w:color w:val="000000"/>
            <w:sz w:val="22"/>
            <w:szCs w:val="22"/>
          </w:rPr>
          <w:t xml:space="preserve"> </w:t>
        </w:r>
      </w:hyperlink>
      <w:hyperlink r:id="rId34">
        <w:r>
          <w:rPr>
            <w:rFonts w:ascii="Arial" w:eastAsia="Arial" w:hAnsi="Arial" w:cs="Arial"/>
            <w:color w:val="1155CC"/>
            <w:sz w:val="22"/>
            <w:szCs w:val="22"/>
            <w:u w:val="single"/>
          </w:rPr>
          <w:t>https://doi.org/10.1111/joim.13394</w:t>
        </w:r>
      </w:hyperlink>
      <w:r>
        <w:rPr>
          <w:rFonts w:ascii="Arial" w:eastAsia="Arial" w:hAnsi="Arial" w:cs="Arial"/>
          <w:color w:val="000000"/>
          <w:sz w:val="22"/>
          <w:szCs w:val="22"/>
        </w:rPr>
        <w:t>.</w:t>
      </w:r>
    </w:p>
    <w:p w14:paraId="1C099957"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00CA4648"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Mental Health Foundation (2020) </w:t>
      </w:r>
      <w:r>
        <w:rPr>
          <w:rFonts w:ascii="Arial" w:eastAsia="Arial" w:hAnsi="Arial" w:cs="Arial"/>
          <w:i/>
          <w:iCs/>
          <w:color w:val="000000"/>
          <w:sz w:val="22"/>
          <w:szCs w:val="22"/>
        </w:rPr>
        <w:t>Creativity and innovation: Findings from the mental health fellowships</w:t>
      </w:r>
      <w:r>
        <w:rPr>
          <w:rFonts w:ascii="Arial" w:eastAsia="Arial" w:hAnsi="Arial" w:cs="Arial"/>
          <w:color w:val="000000"/>
          <w:sz w:val="22"/>
          <w:szCs w:val="22"/>
        </w:rPr>
        <w:t>. Available at:</w:t>
      </w:r>
      <w:hyperlink r:id="rId35">
        <w:r>
          <w:rPr>
            <w:rFonts w:ascii="Arial" w:eastAsia="Arial" w:hAnsi="Arial" w:cs="Arial"/>
            <w:color w:val="000000"/>
            <w:sz w:val="22"/>
            <w:szCs w:val="22"/>
          </w:rPr>
          <w:t xml:space="preserve"> </w:t>
        </w:r>
      </w:hyperlink>
      <w:hyperlink r:id="rId36">
        <w:r>
          <w:rPr>
            <w:rFonts w:ascii="Arial" w:eastAsia="Arial" w:hAnsi="Arial" w:cs="Arial"/>
            <w:color w:val="1155CC"/>
            <w:sz w:val="22"/>
            <w:szCs w:val="22"/>
            <w:u w:val="single"/>
          </w:rPr>
          <w:t>https://www.mentalhealth.org.uk/sites/default/files/2022-06/MHF-Winston-Churchill-Memorial-Trust-Creativity-Innovation-Findings.pdf</w:t>
        </w:r>
      </w:hyperlink>
      <w:r>
        <w:rPr>
          <w:rFonts w:ascii="Arial" w:eastAsia="Arial" w:hAnsi="Arial" w:cs="Arial"/>
          <w:color w:val="000000"/>
          <w:sz w:val="22"/>
          <w:szCs w:val="22"/>
        </w:rPr>
        <w:t xml:space="preserve"> (Accessed: 4 January 2025).</w:t>
      </w:r>
    </w:p>
    <w:p w14:paraId="6AF6F37F"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Moleman, M., </w:t>
      </w:r>
      <w:proofErr w:type="spellStart"/>
      <w:r>
        <w:rPr>
          <w:rFonts w:ascii="Arial" w:eastAsia="Arial" w:hAnsi="Arial" w:cs="Arial"/>
          <w:color w:val="000000"/>
          <w:sz w:val="22"/>
          <w:szCs w:val="22"/>
        </w:rPr>
        <w:t>Zuiderent</w:t>
      </w:r>
      <w:proofErr w:type="spellEnd"/>
      <w:r>
        <w:rPr>
          <w:rFonts w:ascii="Arial" w:eastAsia="Arial" w:hAnsi="Arial" w:cs="Arial"/>
          <w:color w:val="000000"/>
          <w:sz w:val="22"/>
          <w:szCs w:val="22"/>
        </w:rPr>
        <w:t xml:space="preserve">-Jerak, T., </w:t>
      </w:r>
      <w:proofErr w:type="spellStart"/>
      <w:r>
        <w:rPr>
          <w:rFonts w:ascii="Arial" w:eastAsia="Arial" w:hAnsi="Arial" w:cs="Arial"/>
          <w:color w:val="000000"/>
          <w:sz w:val="22"/>
          <w:szCs w:val="22"/>
        </w:rPr>
        <w:t>Lageweg</w:t>
      </w:r>
      <w:proofErr w:type="spellEnd"/>
      <w:r>
        <w:rPr>
          <w:rFonts w:ascii="Arial" w:eastAsia="Arial" w:hAnsi="Arial" w:cs="Arial"/>
          <w:color w:val="000000"/>
          <w:sz w:val="22"/>
          <w:szCs w:val="22"/>
        </w:rPr>
        <w:t xml:space="preserve">, M., van den Braak, G.L. and </w:t>
      </w:r>
      <w:proofErr w:type="spellStart"/>
      <w:r>
        <w:rPr>
          <w:rFonts w:ascii="Arial" w:eastAsia="Arial" w:hAnsi="Arial" w:cs="Arial"/>
          <w:color w:val="000000"/>
          <w:sz w:val="22"/>
          <w:szCs w:val="22"/>
        </w:rPr>
        <w:t>Schuitmaker-Warnaar</w:t>
      </w:r>
      <w:proofErr w:type="spellEnd"/>
      <w:r>
        <w:rPr>
          <w:rFonts w:ascii="Arial" w:eastAsia="Arial" w:hAnsi="Arial" w:cs="Arial"/>
          <w:color w:val="000000"/>
          <w:sz w:val="22"/>
          <w:szCs w:val="22"/>
        </w:rPr>
        <w:t xml:space="preserve">, T.J. (2022) ‘Doctors as resource stewards? Translating high-value, cost-conscious care to the consulting room’, </w:t>
      </w:r>
      <w:r>
        <w:rPr>
          <w:rFonts w:ascii="Arial" w:eastAsia="Arial" w:hAnsi="Arial" w:cs="Arial"/>
          <w:i/>
          <w:iCs/>
          <w:color w:val="000000"/>
          <w:sz w:val="22"/>
          <w:szCs w:val="22"/>
        </w:rPr>
        <w:t>Health Care Analysis</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37">
        <w:r>
          <w:rPr>
            <w:rFonts w:ascii="Arial" w:eastAsia="Arial" w:hAnsi="Arial" w:cs="Arial"/>
            <w:color w:val="000000"/>
            <w:sz w:val="22"/>
            <w:szCs w:val="22"/>
          </w:rPr>
          <w:t xml:space="preserve"> </w:t>
        </w:r>
      </w:hyperlink>
      <w:hyperlink r:id="rId38">
        <w:r>
          <w:rPr>
            <w:rFonts w:ascii="Arial" w:eastAsia="Arial" w:hAnsi="Arial" w:cs="Arial"/>
            <w:color w:val="1155CC"/>
            <w:sz w:val="22"/>
            <w:szCs w:val="22"/>
            <w:u w:val="single"/>
          </w:rPr>
          <w:t>https://doi.org/10.1007/s10728-022-00446-4</w:t>
        </w:r>
      </w:hyperlink>
      <w:r>
        <w:rPr>
          <w:rFonts w:ascii="Arial" w:eastAsia="Arial" w:hAnsi="Arial" w:cs="Arial"/>
          <w:color w:val="000000"/>
          <w:sz w:val="22"/>
          <w:szCs w:val="22"/>
        </w:rPr>
        <w:t>.</w:t>
      </w:r>
    </w:p>
    <w:p w14:paraId="06F595CB"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1EE849F3"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Oliver, J., Dutch, M., Rojek, A., </w:t>
      </w:r>
      <w:proofErr w:type="spellStart"/>
      <w:r>
        <w:rPr>
          <w:rFonts w:ascii="Arial" w:eastAsia="Arial" w:hAnsi="Arial" w:cs="Arial"/>
          <w:color w:val="000000"/>
          <w:sz w:val="22"/>
          <w:szCs w:val="22"/>
        </w:rPr>
        <w:t>Putland</w:t>
      </w:r>
      <w:proofErr w:type="spellEnd"/>
      <w:r>
        <w:rPr>
          <w:rFonts w:ascii="Arial" w:eastAsia="Arial" w:hAnsi="Arial" w:cs="Arial"/>
          <w:color w:val="000000"/>
          <w:sz w:val="22"/>
          <w:szCs w:val="22"/>
        </w:rPr>
        <w:t xml:space="preserve">, M. and Knott, J.C. (2022) ‘Remote COVID-19 patient monitoring system: A qualitative evaluation’, </w:t>
      </w:r>
      <w:r>
        <w:rPr>
          <w:rFonts w:ascii="Arial" w:eastAsia="Arial" w:hAnsi="Arial" w:cs="Arial"/>
          <w:i/>
          <w:iCs/>
          <w:color w:val="000000"/>
          <w:sz w:val="22"/>
          <w:szCs w:val="22"/>
        </w:rPr>
        <w:t>BMJ Open</w:t>
      </w:r>
      <w:r>
        <w:rPr>
          <w:rFonts w:ascii="Arial" w:eastAsia="Arial" w:hAnsi="Arial" w:cs="Arial"/>
          <w:color w:val="000000"/>
          <w:sz w:val="22"/>
          <w:szCs w:val="22"/>
        </w:rPr>
        <w:t xml:space="preserve">, 12(5), p.e054601.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39">
        <w:r>
          <w:rPr>
            <w:rFonts w:ascii="Arial" w:eastAsia="Arial" w:hAnsi="Arial" w:cs="Arial"/>
            <w:color w:val="000000"/>
            <w:sz w:val="22"/>
            <w:szCs w:val="22"/>
          </w:rPr>
          <w:t xml:space="preserve"> </w:t>
        </w:r>
      </w:hyperlink>
      <w:hyperlink r:id="rId40">
        <w:r>
          <w:rPr>
            <w:rFonts w:ascii="Arial" w:eastAsia="Arial" w:hAnsi="Arial" w:cs="Arial"/>
            <w:color w:val="1155CC"/>
            <w:sz w:val="22"/>
            <w:szCs w:val="22"/>
            <w:u w:val="single"/>
          </w:rPr>
          <w:t>https://doi.org/10.1136/bmjopen-2021-054601</w:t>
        </w:r>
      </w:hyperlink>
      <w:r>
        <w:rPr>
          <w:rFonts w:ascii="Arial" w:eastAsia="Arial" w:hAnsi="Arial" w:cs="Arial"/>
          <w:color w:val="000000"/>
          <w:sz w:val="22"/>
          <w:szCs w:val="22"/>
        </w:rPr>
        <w:t>.</w:t>
      </w:r>
    </w:p>
    <w:p w14:paraId="53A2200E"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661EA11E"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7FA11744"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Salhab, M.A. (</w:t>
      </w:r>
      <w:proofErr w:type="gramStart"/>
      <w:r>
        <w:rPr>
          <w:rFonts w:ascii="Arial" w:eastAsia="Arial" w:hAnsi="Arial" w:cs="Arial"/>
          <w:color w:val="000000"/>
          <w:sz w:val="22"/>
          <w:szCs w:val="22"/>
        </w:rPr>
        <w:t>2025) ‘</w:t>
      </w:r>
      <w:proofErr w:type="gramEnd"/>
      <w:r>
        <w:rPr>
          <w:rFonts w:ascii="Arial" w:eastAsia="Arial" w:hAnsi="Arial" w:cs="Arial"/>
          <w:color w:val="000000"/>
          <w:sz w:val="22"/>
          <w:szCs w:val="22"/>
        </w:rPr>
        <w:t xml:space="preserve">Fostering leadership and innovation in UK healthcare: Insights from the NHS clinical entrepreneur </w:t>
      </w:r>
      <w:proofErr w:type="spellStart"/>
      <w:proofErr w:type="gramStart"/>
      <w:r>
        <w:rPr>
          <w:rFonts w:ascii="Arial" w:eastAsia="Arial" w:hAnsi="Arial" w:cs="Arial"/>
          <w:color w:val="000000"/>
          <w:sz w:val="22"/>
          <w:szCs w:val="22"/>
        </w:rPr>
        <w:t>programme</w:t>
      </w:r>
      <w:proofErr w:type="spellEnd"/>
      <w:r>
        <w:rPr>
          <w:rFonts w:ascii="Arial" w:eastAsia="Arial" w:hAnsi="Arial" w:cs="Arial"/>
          <w:color w:val="000000"/>
          <w:sz w:val="22"/>
          <w:szCs w:val="22"/>
        </w:rPr>
        <w:t>’,</w:t>
      </w:r>
      <w:proofErr w:type="gramEnd"/>
      <w:r>
        <w:rPr>
          <w:rFonts w:ascii="Arial" w:eastAsia="Arial" w:hAnsi="Arial" w:cs="Arial"/>
          <w:color w:val="000000"/>
          <w:sz w:val="22"/>
          <w:szCs w:val="22"/>
        </w:rPr>
        <w:t xml:space="preserve"> </w:t>
      </w:r>
      <w:r>
        <w:rPr>
          <w:rFonts w:ascii="Arial" w:eastAsia="Arial" w:hAnsi="Arial" w:cs="Arial"/>
          <w:i/>
          <w:iCs/>
          <w:color w:val="000000"/>
          <w:sz w:val="22"/>
          <w:szCs w:val="22"/>
        </w:rPr>
        <w:t>Leadership in Health Services</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41">
        <w:r>
          <w:rPr>
            <w:rFonts w:ascii="Arial" w:eastAsia="Arial" w:hAnsi="Arial" w:cs="Arial"/>
            <w:color w:val="000000"/>
            <w:sz w:val="22"/>
            <w:szCs w:val="22"/>
          </w:rPr>
          <w:t xml:space="preserve"> </w:t>
        </w:r>
      </w:hyperlink>
      <w:hyperlink r:id="rId42">
        <w:r>
          <w:rPr>
            <w:rFonts w:ascii="Arial" w:eastAsia="Arial" w:hAnsi="Arial" w:cs="Arial"/>
            <w:color w:val="1155CC"/>
            <w:sz w:val="22"/>
            <w:szCs w:val="22"/>
            <w:u w:val="single"/>
          </w:rPr>
          <w:t>https://doi.org/10.1108/lhs-02-2025-0020</w:t>
        </w:r>
      </w:hyperlink>
      <w:r>
        <w:rPr>
          <w:rFonts w:ascii="Arial" w:eastAsia="Arial" w:hAnsi="Arial" w:cs="Arial"/>
          <w:color w:val="000000"/>
          <w:sz w:val="22"/>
          <w:szCs w:val="22"/>
        </w:rPr>
        <w:t>.</w:t>
      </w:r>
    </w:p>
    <w:p w14:paraId="707A8248"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62067AF8"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Siette</w:t>
      </w:r>
      <w:proofErr w:type="spellEnd"/>
      <w:r>
        <w:rPr>
          <w:rFonts w:ascii="Arial" w:eastAsia="Arial" w:hAnsi="Arial" w:cs="Arial"/>
          <w:color w:val="000000"/>
          <w:sz w:val="22"/>
          <w:szCs w:val="22"/>
        </w:rPr>
        <w:t xml:space="preserve">, J., Meka, A. and Antoniades, J. (2023) ‘Breaking the barriers: Overcoming dementia-related stigma in minority communities’, </w:t>
      </w:r>
      <w:r>
        <w:rPr>
          <w:rFonts w:ascii="Arial" w:eastAsia="Arial" w:hAnsi="Arial" w:cs="Arial"/>
          <w:i/>
          <w:iCs/>
          <w:color w:val="000000"/>
          <w:sz w:val="22"/>
          <w:szCs w:val="22"/>
        </w:rPr>
        <w:t>Frontiers in Psychiatry</w:t>
      </w:r>
      <w:r>
        <w:rPr>
          <w:rFonts w:ascii="Arial" w:eastAsia="Arial" w:hAnsi="Arial" w:cs="Arial"/>
          <w:color w:val="000000"/>
          <w:sz w:val="22"/>
          <w:szCs w:val="22"/>
        </w:rPr>
        <w:t xml:space="preserve">, 14, p.1278944.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43">
        <w:r>
          <w:rPr>
            <w:rFonts w:ascii="Arial" w:eastAsia="Arial" w:hAnsi="Arial" w:cs="Arial"/>
            <w:color w:val="000000"/>
            <w:sz w:val="22"/>
            <w:szCs w:val="22"/>
          </w:rPr>
          <w:t xml:space="preserve"> </w:t>
        </w:r>
      </w:hyperlink>
      <w:hyperlink r:id="rId44">
        <w:r>
          <w:rPr>
            <w:rFonts w:ascii="Arial" w:eastAsia="Arial" w:hAnsi="Arial" w:cs="Arial"/>
            <w:color w:val="1155CC"/>
            <w:sz w:val="22"/>
            <w:szCs w:val="22"/>
            <w:u w:val="single"/>
          </w:rPr>
          <w:t>https://doi.org/10.3389/fpsyt.2023.1278944</w:t>
        </w:r>
      </w:hyperlink>
      <w:r>
        <w:rPr>
          <w:rFonts w:ascii="Arial" w:eastAsia="Arial" w:hAnsi="Arial" w:cs="Arial"/>
          <w:color w:val="000000"/>
          <w:sz w:val="22"/>
          <w:szCs w:val="22"/>
        </w:rPr>
        <w:t>.</w:t>
      </w:r>
    </w:p>
    <w:p w14:paraId="3A2FF73E"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2DA87242"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Thornicroft, G., Sunkel, C., Aliev, A.A., Baker, S., Brohan, E., </w:t>
      </w:r>
      <w:proofErr w:type="spellStart"/>
      <w:r>
        <w:rPr>
          <w:rFonts w:ascii="Arial" w:eastAsia="Arial" w:hAnsi="Arial" w:cs="Arial"/>
          <w:color w:val="000000"/>
          <w:sz w:val="22"/>
          <w:szCs w:val="22"/>
        </w:rPr>
        <w:t>Chammay</w:t>
      </w:r>
      <w:proofErr w:type="spellEnd"/>
      <w:r>
        <w:rPr>
          <w:rFonts w:ascii="Arial" w:eastAsia="Arial" w:hAnsi="Arial" w:cs="Arial"/>
          <w:color w:val="000000"/>
          <w:sz w:val="22"/>
          <w:szCs w:val="22"/>
        </w:rPr>
        <w:t xml:space="preserve">, R.E., Davies, K., Demissie, M., Duncan, J., Fekadu, W., Gronholm, P.C., Guerrero, Z., Gurung, D., Habtamu, K., Hanlon, C., Heim, E., Henderson, C., Hijazi, Z., Hoffman, C. and Hosny, N. (2022) ‘The Lancet Commission on ending stigma and discrimination in mental health’, </w:t>
      </w:r>
      <w:r>
        <w:rPr>
          <w:rFonts w:ascii="Arial" w:eastAsia="Arial" w:hAnsi="Arial" w:cs="Arial"/>
          <w:i/>
          <w:iCs/>
          <w:color w:val="000000"/>
          <w:sz w:val="22"/>
          <w:szCs w:val="22"/>
        </w:rPr>
        <w:t>The Lancet</w:t>
      </w:r>
      <w:r>
        <w:rPr>
          <w:rFonts w:ascii="Arial" w:eastAsia="Arial" w:hAnsi="Arial" w:cs="Arial"/>
          <w:color w:val="000000"/>
          <w:sz w:val="22"/>
          <w:szCs w:val="22"/>
        </w:rPr>
        <w:t xml:space="preserve">, 400(10361), pp. 1438–1480.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45">
        <w:r>
          <w:rPr>
            <w:rFonts w:ascii="Arial" w:eastAsia="Arial" w:hAnsi="Arial" w:cs="Arial"/>
            <w:color w:val="000000"/>
            <w:sz w:val="22"/>
            <w:szCs w:val="22"/>
          </w:rPr>
          <w:t xml:space="preserve"> </w:t>
        </w:r>
      </w:hyperlink>
      <w:hyperlink r:id="rId46">
        <w:r>
          <w:rPr>
            <w:rFonts w:ascii="Arial" w:eastAsia="Arial" w:hAnsi="Arial" w:cs="Arial"/>
            <w:color w:val="1155CC"/>
            <w:sz w:val="22"/>
            <w:szCs w:val="22"/>
            <w:u w:val="single"/>
          </w:rPr>
          <w:t>https://doi.org/10.1016/S0140-6736(22)01470-2</w:t>
        </w:r>
      </w:hyperlink>
      <w:r>
        <w:rPr>
          <w:rFonts w:ascii="Arial" w:eastAsia="Arial" w:hAnsi="Arial" w:cs="Arial"/>
          <w:color w:val="000000"/>
          <w:sz w:val="22"/>
          <w:szCs w:val="22"/>
        </w:rPr>
        <w:t>.</w:t>
      </w:r>
    </w:p>
    <w:p w14:paraId="1C1A74A0"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3234129D" w14:textId="77777777" w:rsidR="004E14C7" w:rsidRDefault="00BA6B20" w:rsidP="004124EE">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Tsvetanov, F. (2024) ‘Integrating AI technologies into remote monitoring patient systems’, </w:t>
      </w:r>
      <w:r>
        <w:rPr>
          <w:rFonts w:ascii="Arial" w:eastAsia="Arial" w:hAnsi="Arial" w:cs="Arial"/>
          <w:i/>
          <w:iCs/>
          <w:color w:val="000000"/>
          <w:sz w:val="22"/>
          <w:szCs w:val="22"/>
        </w:rPr>
        <w:t>Engineering Proceedings</w:t>
      </w:r>
      <w:r>
        <w:rPr>
          <w:rFonts w:ascii="Arial" w:eastAsia="Arial" w:hAnsi="Arial" w:cs="Arial"/>
          <w:color w:val="000000"/>
          <w:sz w:val="22"/>
          <w:szCs w:val="22"/>
        </w:rPr>
        <w:t xml:space="preserve">, 37, p.54.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w:t>
      </w:r>
      <w:hyperlink r:id="rId47">
        <w:r>
          <w:rPr>
            <w:rFonts w:ascii="Arial" w:eastAsia="Arial" w:hAnsi="Arial" w:cs="Arial"/>
            <w:color w:val="000000"/>
            <w:sz w:val="22"/>
            <w:szCs w:val="22"/>
          </w:rPr>
          <w:t xml:space="preserve"> </w:t>
        </w:r>
      </w:hyperlink>
      <w:hyperlink r:id="rId48">
        <w:r>
          <w:rPr>
            <w:rFonts w:ascii="Arial" w:eastAsia="Arial" w:hAnsi="Arial" w:cs="Arial"/>
            <w:color w:val="1155CC"/>
            <w:sz w:val="22"/>
            <w:szCs w:val="22"/>
            <w:u w:val="single"/>
          </w:rPr>
          <w:t>https://doi.org/10.3390/engproc2024070054</w:t>
        </w:r>
      </w:hyperlink>
      <w:r>
        <w:rPr>
          <w:rFonts w:ascii="Arial" w:eastAsia="Arial" w:hAnsi="Arial" w:cs="Arial"/>
          <w:color w:val="000000"/>
          <w:sz w:val="22"/>
          <w:szCs w:val="22"/>
        </w:rPr>
        <w:t>.</w:t>
      </w:r>
    </w:p>
    <w:p w14:paraId="0FF21713" w14:textId="77777777" w:rsidR="004124EE" w:rsidRDefault="004124EE" w:rsidP="004124EE">
      <w:pPr>
        <w:pBdr>
          <w:top w:val="nil"/>
          <w:left w:val="nil"/>
          <w:bottom w:val="nil"/>
          <w:right w:val="nil"/>
          <w:between w:val="nil"/>
        </w:pBdr>
        <w:spacing w:after="0" w:line="360" w:lineRule="auto"/>
        <w:jc w:val="both"/>
        <w:rPr>
          <w:rFonts w:ascii="Arial" w:eastAsia="Arial" w:hAnsi="Arial" w:cs="Arial"/>
          <w:color w:val="000000"/>
          <w:sz w:val="22"/>
          <w:szCs w:val="22"/>
        </w:rPr>
      </w:pPr>
    </w:p>
    <w:p w14:paraId="24450DEA" w14:textId="77777777" w:rsidR="004E14C7" w:rsidRDefault="004E14C7">
      <w:pPr>
        <w:pBdr>
          <w:top w:val="nil"/>
          <w:left w:val="nil"/>
          <w:bottom w:val="nil"/>
          <w:right w:val="nil"/>
          <w:between w:val="nil"/>
        </w:pBdr>
        <w:spacing w:line="360" w:lineRule="auto"/>
        <w:jc w:val="both"/>
        <w:rPr>
          <w:rFonts w:ascii="Arial" w:eastAsia="Arial" w:hAnsi="Arial" w:cs="Arial"/>
          <w:color w:val="000000"/>
          <w:sz w:val="22"/>
          <w:szCs w:val="22"/>
        </w:rPr>
      </w:pPr>
    </w:p>
    <w:p w14:paraId="0833A14E" w14:textId="77777777" w:rsidR="004E14C7" w:rsidRDefault="004E14C7">
      <w:pPr>
        <w:pBdr>
          <w:top w:val="nil"/>
          <w:left w:val="nil"/>
          <w:bottom w:val="nil"/>
          <w:right w:val="nil"/>
          <w:between w:val="nil"/>
        </w:pBdr>
        <w:spacing w:line="360" w:lineRule="auto"/>
        <w:jc w:val="both"/>
        <w:rPr>
          <w:rFonts w:ascii="Arial" w:eastAsia="Arial" w:hAnsi="Arial" w:cs="Arial"/>
          <w:color w:val="000000"/>
          <w:sz w:val="22"/>
          <w:szCs w:val="22"/>
        </w:rPr>
      </w:pPr>
    </w:p>
    <w:p w14:paraId="3FBFD1E7" w14:textId="77777777" w:rsidR="004E14C7" w:rsidRDefault="004E14C7">
      <w:pPr>
        <w:pBdr>
          <w:top w:val="nil"/>
          <w:left w:val="nil"/>
          <w:bottom w:val="nil"/>
          <w:right w:val="nil"/>
          <w:between w:val="nil"/>
        </w:pBdr>
        <w:spacing w:line="360" w:lineRule="auto"/>
        <w:jc w:val="both"/>
        <w:rPr>
          <w:rFonts w:ascii="Arial" w:eastAsia="Arial" w:hAnsi="Arial" w:cs="Arial"/>
          <w:color w:val="000000"/>
          <w:sz w:val="22"/>
          <w:szCs w:val="22"/>
        </w:rPr>
      </w:pPr>
    </w:p>
    <w:sectPr w:rsidR="004E14C7">
      <w:headerReference w:type="default" r:id="rId49"/>
      <w:footerReference w:type="default" r:id="rId5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E5752" w14:textId="77777777" w:rsidR="0045462E" w:rsidRDefault="0045462E">
      <w:pPr>
        <w:spacing w:after="0" w:line="240" w:lineRule="auto"/>
      </w:pPr>
      <w:r>
        <w:separator/>
      </w:r>
    </w:p>
  </w:endnote>
  <w:endnote w:type="continuationSeparator" w:id="0">
    <w:p w14:paraId="2410A43F" w14:textId="77777777" w:rsidR="0045462E" w:rsidRDefault="00454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53B0F564-C3FD-4D8C-8E5E-95041FD11038}"/>
    <w:embedItalic r:id="rId2" w:fontKey="{57E2F9D6-BF09-4B0B-8D5A-24C7D22914EE}"/>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3" w:fontKey="{83A0F63A-41E7-4784-97A6-8968A42F37B3}"/>
  </w:font>
  <w:font w:name="Cambria">
    <w:panose1 w:val="02040503050406030204"/>
    <w:charset w:val="00"/>
    <w:family w:val="roman"/>
    <w:pitch w:val="variable"/>
    <w:sig w:usb0="E00006FF" w:usb1="420024FF" w:usb2="02000000" w:usb3="00000000" w:csb0="0000019F" w:csb1="00000000"/>
    <w:embedRegular r:id="rId4" w:fontKey="{D6549823-7BE6-445F-A6F7-6C3D9627764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90DD2" w14:textId="77777777" w:rsidR="004E14C7" w:rsidRDefault="00BA6B2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6302B">
      <w:rPr>
        <w:noProof/>
        <w:color w:val="000000"/>
      </w:rPr>
      <w:t>10</w:t>
    </w:r>
    <w:r>
      <w:rPr>
        <w:color w:val="000000"/>
      </w:rPr>
      <w:fldChar w:fldCharType="end"/>
    </w:r>
  </w:p>
  <w:p w14:paraId="18F41D43" w14:textId="77777777" w:rsidR="004E14C7" w:rsidRDefault="004E14C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E2609" w14:textId="77777777" w:rsidR="0045462E" w:rsidRDefault="0045462E">
      <w:pPr>
        <w:spacing w:after="0" w:line="240" w:lineRule="auto"/>
      </w:pPr>
      <w:r>
        <w:separator/>
      </w:r>
    </w:p>
  </w:footnote>
  <w:footnote w:type="continuationSeparator" w:id="0">
    <w:p w14:paraId="4CABFA22" w14:textId="77777777" w:rsidR="0045462E" w:rsidRDefault="004546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66ABD" w14:textId="77777777" w:rsidR="004E14C7" w:rsidRDefault="00BA6B20">
    <w:pPr>
      <w:pBdr>
        <w:top w:val="nil"/>
        <w:left w:val="nil"/>
        <w:bottom w:val="nil"/>
        <w:right w:val="nil"/>
        <w:between w:val="nil"/>
      </w:pBdr>
      <w:rPr>
        <w:color w:val="000000"/>
      </w:rPr>
    </w:pPr>
    <w:r>
      <w:rPr>
        <w:color w:val="000000"/>
      </w:rPr>
      <w:tab/>
    </w:r>
    <w:r>
      <w:rPr>
        <w:noProof/>
      </w:rPr>
      <w:drawing>
        <wp:anchor distT="0" distB="0" distL="114300" distR="114300" simplePos="0" relativeHeight="251658240" behindDoc="0" locked="0" layoutInCell="1" hidden="0" allowOverlap="1" wp14:anchorId="51FA0C50" wp14:editId="00B742F1">
          <wp:simplePos x="0" y="0"/>
          <wp:positionH relativeFrom="column">
            <wp:posOffset>4674870</wp:posOffset>
          </wp:positionH>
          <wp:positionV relativeFrom="paragraph">
            <wp:posOffset>-407668</wp:posOffset>
          </wp:positionV>
          <wp:extent cx="1809750" cy="62865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809750" cy="62865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4C7"/>
    <w:rsid w:val="00026147"/>
    <w:rsid w:val="004124EE"/>
    <w:rsid w:val="0045462E"/>
    <w:rsid w:val="00476420"/>
    <w:rsid w:val="00495A33"/>
    <w:rsid w:val="004E14C7"/>
    <w:rsid w:val="00535B08"/>
    <w:rsid w:val="00565E81"/>
    <w:rsid w:val="006D14C4"/>
    <w:rsid w:val="00B6302B"/>
    <w:rsid w:val="00BA6B20"/>
    <w:rsid w:val="00C057C4"/>
    <w:rsid w:val="00D41984"/>
    <w:rsid w:val="00DD4411"/>
    <w:rsid w:val="00E94DE1"/>
    <w:rsid w:val="00FA0B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D1370"/>
  <w15:docId w15:val="{15AC1F49-2108-401B-AE56-0AE20AD2F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U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after="0" w:line="360" w:lineRule="auto"/>
      <w:outlineLvl w:val="0"/>
    </w:pPr>
    <w:rPr>
      <w:rFonts w:ascii="Arial" w:eastAsia="Arial" w:hAnsi="Arial" w:cs="Arial"/>
      <w:b/>
      <w:bCs/>
      <w:color w:val="000000"/>
      <w:sz w:val="22"/>
      <w:szCs w:val="22"/>
    </w:rPr>
  </w:style>
  <w:style w:type="paragraph" w:styleId="Heading2">
    <w:name w:val="heading 2"/>
    <w:basedOn w:val="Normal"/>
    <w:next w:val="Normal"/>
    <w:pPr>
      <w:keepNext/>
      <w:keepLines/>
      <w:pBdr>
        <w:top w:val="nil"/>
        <w:left w:val="nil"/>
        <w:bottom w:val="nil"/>
        <w:right w:val="nil"/>
        <w:between w:val="nil"/>
      </w:pBdr>
      <w:spacing w:before="160" w:after="80"/>
      <w:outlineLvl w:val="1"/>
    </w:pPr>
    <w:rPr>
      <w:rFonts w:ascii="Play" w:eastAsia="Play" w:hAnsi="Play" w:cs="Play"/>
      <w:color w:val="0F4761"/>
      <w:sz w:val="32"/>
      <w:szCs w:val="32"/>
    </w:rPr>
  </w:style>
  <w:style w:type="paragraph" w:styleId="Heading3">
    <w:name w:val="heading 3"/>
    <w:basedOn w:val="Normal"/>
    <w:next w:val="Normal"/>
    <w:pPr>
      <w:keepNext/>
      <w:keepLines/>
      <w:pBdr>
        <w:top w:val="nil"/>
        <w:left w:val="nil"/>
        <w:bottom w:val="nil"/>
        <w:right w:val="nil"/>
        <w:between w:val="nil"/>
      </w:pBdr>
      <w:spacing w:before="160" w:after="80"/>
      <w:outlineLvl w:val="2"/>
    </w:pPr>
    <w:rPr>
      <w:color w:val="0F4761"/>
      <w:sz w:val="28"/>
      <w:szCs w:val="28"/>
    </w:rPr>
  </w:style>
  <w:style w:type="paragraph" w:styleId="Heading4">
    <w:name w:val="heading 4"/>
    <w:basedOn w:val="Normal"/>
    <w:next w:val="Normal"/>
    <w:pPr>
      <w:keepNext/>
      <w:keepLines/>
      <w:pBdr>
        <w:top w:val="nil"/>
        <w:left w:val="nil"/>
        <w:bottom w:val="nil"/>
        <w:right w:val="nil"/>
        <w:between w:val="nil"/>
      </w:pBdr>
      <w:spacing w:before="80" w:after="40"/>
      <w:outlineLvl w:val="3"/>
    </w:pPr>
    <w:rPr>
      <w:i/>
      <w:iCs/>
      <w:color w:val="0F4761"/>
    </w:rPr>
  </w:style>
  <w:style w:type="paragraph" w:styleId="Heading5">
    <w:name w:val="heading 5"/>
    <w:basedOn w:val="Normal"/>
    <w:next w:val="Normal"/>
    <w:pPr>
      <w:keepNext/>
      <w:keepLines/>
      <w:pBdr>
        <w:top w:val="nil"/>
        <w:left w:val="nil"/>
        <w:bottom w:val="nil"/>
        <w:right w:val="nil"/>
        <w:between w:val="nil"/>
      </w:pBdr>
      <w:spacing w:before="80" w:after="40"/>
      <w:outlineLvl w:val="4"/>
    </w:pPr>
    <w:rPr>
      <w:color w:val="0F4761"/>
    </w:rPr>
  </w:style>
  <w:style w:type="paragraph" w:styleId="Heading6">
    <w:name w:val="heading 6"/>
    <w:basedOn w:val="Normal"/>
    <w:next w:val="Normal"/>
    <w:pPr>
      <w:keepNext/>
      <w:keepLines/>
      <w:pBdr>
        <w:top w:val="nil"/>
        <w:left w:val="nil"/>
        <w:bottom w:val="nil"/>
        <w:right w:val="nil"/>
        <w:between w:val="nil"/>
      </w:pBdr>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pBdr>
        <w:top w:val="nil"/>
        <w:left w:val="nil"/>
        <w:bottom w:val="nil"/>
        <w:right w:val="nil"/>
        <w:between w:val="nil"/>
      </w:pBdr>
      <w:spacing w:after="80" w:line="240" w:lineRule="auto"/>
    </w:pPr>
    <w:rPr>
      <w:rFonts w:ascii="Play" w:eastAsia="Play" w:hAnsi="Play" w:cs="Play"/>
      <w:color w:val="000000"/>
      <w:sz w:val="56"/>
      <w:szCs w:val="56"/>
    </w:rPr>
  </w:style>
  <w:style w:type="paragraph" w:styleId="Subtitle">
    <w:name w:val="Subtitle"/>
    <w:basedOn w:val="Normal"/>
    <w:next w:val="Normal"/>
    <w:pPr>
      <w:pBdr>
        <w:top w:val="nil"/>
        <w:left w:val="nil"/>
        <w:bottom w:val="nil"/>
        <w:right w:val="nil"/>
        <w:between w:val="nil"/>
      </w:pBdr>
    </w:pPr>
    <w:rPr>
      <w:color w:val="595959"/>
      <w:sz w:val="28"/>
      <w:szCs w:val="28"/>
    </w:rPr>
  </w:style>
  <w:style w:type="character" w:styleId="Hyperlink">
    <w:name w:val="Hyperlink"/>
    <w:basedOn w:val="DefaultParagraphFont"/>
    <w:uiPriority w:val="99"/>
    <w:unhideWhenUsed/>
    <w:rsid w:val="004124EE"/>
    <w:rPr>
      <w:color w:val="0000FF" w:themeColor="hyperlink"/>
      <w:u w:val="single"/>
    </w:rPr>
  </w:style>
  <w:style w:type="character" w:styleId="UnresolvedMention">
    <w:name w:val="Unresolved Mention"/>
    <w:basedOn w:val="DefaultParagraphFont"/>
    <w:uiPriority w:val="99"/>
    <w:semiHidden/>
    <w:unhideWhenUsed/>
    <w:rsid w:val="004124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0574/wjarr.2024.21.2.0592" TargetMode="External"/><Relationship Id="rId18" Type="http://schemas.openxmlformats.org/officeDocument/2006/relationships/hyperlink" Target="https://doi.org/10.12968/bjon.2024.0063" TargetMode="External"/><Relationship Id="rId26" Type="http://schemas.openxmlformats.org/officeDocument/2006/relationships/hyperlink" Target="https://doi.org/10.1097/MD.0000000000038813" TargetMode="External"/><Relationship Id="rId39" Type="http://schemas.openxmlformats.org/officeDocument/2006/relationships/hyperlink" Target="https://doi.org/10.1136/bmjopen-2021-054601" TargetMode="External"/><Relationship Id="rId21" Type="http://schemas.openxmlformats.org/officeDocument/2006/relationships/hyperlink" Target="https://doi.org/10.3390/jpm12101656" TargetMode="External"/><Relationship Id="rId34" Type="http://schemas.openxmlformats.org/officeDocument/2006/relationships/hyperlink" Target="https://doi.org/10.1111/joim.13394" TargetMode="External"/><Relationship Id="rId42" Type="http://schemas.openxmlformats.org/officeDocument/2006/relationships/hyperlink" Target="https://doi.org/10.1108/lhs-02-2025-0020" TargetMode="External"/><Relationship Id="rId47" Type="http://schemas.openxmlformats.org/officeDocument/2006/relationships/hyperlink" Target="https://doi.org/10.3390/engproc2024070054"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7759/cureus.39549" TargetMode="External"/><Relationship Id="rId29" Type="http://schemas.openxmlformats.org/officeDocument/2006/relationships/hyperlink" Target="https://doi.org/10.1186/s13033-022-00564-5" TargetMode="External"/><Relationship Id="rId11" Type="http://schemas.openxmlformats.org/officeDocument/2006/relationships/oleObject" Target="embeddings/oleObject1.bin"/><Relationship Id="rId24" Type="http://schemas.openxmlformats.org/officeDocument/2006/relationships/hyperlink" Target="https://www.dynamictraining.org.uk/learner-pulse/study-skill-gibbs-reflective-cycle/" TargetMode="External"/><Relationship Id="rId32" Type="http://schemas.openxmlformats.org/officeDocument/2006/relationships/hyperlink" Target="https://doi.org/10.1177/1932202x231156389" TargetMode="External"/><Relationship Id="rId37" Type="http://schemas.openxmlformats.org/officeDocument/2006/relationships/hyperlink" Target="https://doi.org/10.1007/s10728-022-00446-4" TargetMode="External"/><Relationship Id="rId40" Type="http://schemas.openxmlformats.org/officeDocument/2006/relationships/hyperlink" Target="https://doi.org/10.1136/bmjopen-2021-054601" TargetMode="External"/><Relationship Id="rId45" Type="http://schemas.openxmlformats.org/officeDocument/2006/relationships/hyperlink" Target="https://doi.org/10.1016/S0140-6736(22)01470-2" TargetMode="External"/><Relationship Id="rId5" Type="http://schemas.openxmlformats.org/officeDocument/2006/relationships/footnotes" Target="footnotes.xml"/><Relationship Id="rId15" Type="http://schemas.openxmlformats.org/officeDocument/2006/relationships/hyperlink" Target="https://doi.org/10.7759/cureus.39549" TargetMode="External"/><Relationship Id="rId23" Type="http://schemas.openxmlformats.org/officeDocument/2006/relationships/hyperlink" Target="file:///C:\Users\flore\Downloads\" TargetMode="External"/><Relationship Id="rId28" Type="http://schemas.openxmlformats.org/officeDocument/2006/relationships/hyperlink" Target="https://doi.org/10.7759/cureus.63881" TargetMode="External"/><Relationship Id="rId36" Type="http://schemas.openxmlformats.org/officeDocument/2006/relationships/hyperlink" Target="https://www.mentalhealth.org.uk/sites/default/files/2022-06/MHF-Winston-Churchill-Memorial-Trust-Creativity-Innovation-Findings.pdf" TargetMode="External"/><Relationship Id="rId49" Type="http://schemas.openxmlformats.org/officeDocument/2006/relationships/header" Target="header1.xml"/><Relationship Id="rId10" Type="http://schemas.openxmlformats.org/officeDocument/2006/relationships/image" Target="media/image4.emf"/><Relationship Id="rId19" Type="http://schemas.openxmlformats.org/officeDocument/2006/relationships/hyperlink" Target="https://doi.org/10.1186/s40249-024-01257-6" TargetMode="External"/><Relationship Id="rId31" Type="http://schemas.openxmlformats.org/officeDocument/2006/relationships/hyperlink" Target="https://doi.org/10.1177/1932202x231156389" TargetMode="External"/><Relationship Id="rId44" Type="http://schemas.openxmlformats.org/officeDocument/2006/relationships/hyperlink" Target="https://doi.org/10.3389/fpsyt.2023.1278944"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0574/wjarr.2024.21.2.0592" TargetMode="External"/><Relationship Id="rId22" Type="http://schemas.openxmlformats.org/officeDocument/2006/relationships/hyperlink" Target="https://doi.org/10.3390/jpm12101656" TargetMode="External"/><Relationship Id="rId27" Type="http://schemas.openxmlformats.org/officeDocument/2006/relationships/hyperlink" Target="https://doi.org/10.7759/cureus.63881" TargetMode="External"/><Relationship Id="rId30" Type="http://schemas.openxmlformats.org/officeDocument/2006/relationships/hyperlink" Target="https://doi.org/10.1186/s13033-022-00564-5" TargetMode="External"/><Relationship Id="rId35" Type="http://schemas.openxmlformats.org/officeDocument/2006/relationships/hyperlink" Target="https://www.mentalhealth.org.uk/sites/default/files/2022-06/MHF-Winston-Churchill-Memorial-Trust-Creativity-Innovation-Findings.pdf" TargetMode="External"/><Relationship Id="rId43" Type="http://schemas.openxmlformats.org/officeDocument/2006/relationships/hyperlink" Target="https://doi.org/10.3389/fpsyt.2023.1278944" TargetMode="External"/><Relationship Id="rId48" Type="http://schemas.openxmlformats.org/officeDocument/2006/relationships/hyperlink" Target="https://doi.org/10.3390/engproc2024070054"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doi.org/10.12968/bjon.2024.0063" TargetMode="External"/><Relationship Id="rId25" Type="http://schemas.openxmlformats.org/officeDocument/2006/relationships/hyperlink" Target="https://doi.org/10.1097/MD.0000000000038813" TargetMode="External"/><Relationship Id="rId33" Type="http://schemas.openxmlformats.org/officeDocument/2006/relationships/hyperlink" Target="https://doi.org/10.1111/joim.13394" TargetMode="External"/><Relationship Id="rId38" Type="http://schemas.openxmlformats.org/officeDocument/2006/relationships/hyperlink" Target="https://doi.org/10.1007/s10728-022-00446-4" TargetMode="External"/><Relationship Id="rId46" Type="http://schemas.openxmlformats.org/officeDocument/2006/relationships/hyperlink" Target="https://doi.org/10.1016/S0140-6736(22)01470-2" TargetMode="External"/><Relationship Id="rId20" Type="http://schemas.openxmlformats.org/officeDocument/2006/relationships/hyperlink" Target="https://doi.org/10.1186/s40249-024-01257-6" TargetMode="External"/><Relationship Id="rId41" Type="http://schemas.openxmlformats.org/officeDocument/2006/relationships/hyperlink" Target="https://doi.org/10.1108/lhs-02-2025-0020"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399AC-10CB-490E-848B-20049D4A9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11</Pages>
  <Words>2877</Words>
  <Characters>16402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Florea</dc:creator>
  <cp:lastModifiedBy>Lilieana Lavinia Victoria (2412370)</cp:lastModifiedBy>
  <cp:revision>4</cp:revision>
  <dcterms:created xsi:type="dcterms:W3CDTF">2026-03-22T11:51:00Z</dcterms:created>
  <dcterms:modified xsi:type="dcterms:W3CDTF">2026-03-22T12:36:00Z</dcterms:modified>
</cp:coreProperties>
</file>