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7CBCE751" w:rsidP="2FD6D6E1" w:rsidRDefault="7CBCE751" w14:paraId="23C0DD58" w14:textId="4B139881">
      <w:pPr>
        <w:spacing w:line="360" w:lineRule="auto"/>
        <w:rPr>
          <w:rFonts w:ascii="Calibri" w:hAnsi="Calibri" w:eastAsia="Calibri" w:cs="Calibri" w:asciiTheme="minorAscii" w:hAnsiTheme="minorAscii" w:eastAsiaTheme="minorAscii" w:cstheme="minorAscii"/>
          <w:b w:val="0"/>
          <w:bCs w:val="0"/>
          <w:noProof w:val="0"/>
          <w:sz w:val="24"/>
          <w:szCs w:val="24"/>
          <w:lang w:val="en-GB"/>
        </w:rPr>
      </w:pPr>
      <w:r w:rsidRPr="2FD6D6E1" w:rsidR="7CBCE751">
        <w:rPr>
          <w:rFonts w:ascii="Calibri" w:hAnsi="Calibri" w:eastAsia="Calibri" w:cs="Calibri" w:asciiTheme="minorAscii" w:hAnsiTheme="minorAscii" w:eastAsiaTheme="minorAscii" w:cstheme="minorAscii"/>
          <w:b w:val="0"/>
          <w:bCs w:val="0"/>
          <w:noProof w:val="0"/>
          <w:sz w:val="24"/>
          <w:szCs w:val="24"/>
          <w:lang w:val="en-GB"/>
        </w:rPr>
        <w:t xml:space="preserve">Hello </w:t>
      </w:r>
      <w:r w:rsidRPr="2FD6D6E1" w:rsidR="7C29D818">
        <w:rPr>
          <w:rFonts w:ascii="Calibri" w:hAnsi="Calibri" w:eastAsia="Calibri" w:cs="Calibri" w:asciiTheme="minorAscii" w:hAnsiTheme="minorAscii" w:eastAsiaTheme="minorAscii" w:cstheme="minorAscii"/>
          <w:b w:val="0"/>
          <w:bCs w:val="0"/>
          <w:noProof w:val="0"/>
          <w:sz w:val="24"/>
          <w:szCs w:val="24"/>
          <w:lang w:val="en-GB"/>
        </w:rPr>
        <w:t xml:space="preserve">everyone. My name is Llinos Gillett, </w:t>
      </w:r>
      <w:r w:rsidRPr="2FD6D6E1" w:rsidR="124B7052">
        <w:rPr>
          <w:rFonts w:ascii="Calibri" w:hAnsi="Calibri" w:eastAsia="Calibri" w:cs="Calibri" w:asciiTheme="minorAscii" w:hAnsiTheme="minorAscii" w:eastAsiaTheme="minorAscii" w:cstheme="minorAscii"/>
          <w:b w:val="0"/>
          <w:bCs w:val="0"/>
          <w:noProof w:val="0"/>
          <w:sz w:val="24"/>
          <w:szCs w:val="24"/>
          <w:lang w:val="en-GB"/>
        </w:rPr>
        <w:t xml:space="preserve">student number 2514259 </w:t>
      </w:r>
      <w:r w:rsidRPr="2FD6D6E1" w:rsidR="7C29D818">
        <w:rPr>
          <w:rFonts w:ascii="Calibri" w:hAnsi="Calibri" w:eastAsia="Calibri" w:cs="Calibri" w:asciiTheme="minorAscii" w:hAnsiTheme="minorAscii" w:eastAsiaTheme="minorAscii" w:cstheme="minorAscii"/>
          <w:b w:val="0"/>
          <w:bCs w:val="0"/>
          <w:noProof w:val="0"/>
          <w:sz w:val="24"/>
          <w:szCs w:val="24"/>
          <w:lang w:val="en-GB"/>
        </w:rPr>
        <w:t>and today I am presenting on one of the most critical public health and educational challenges facing our sector today: childhood obesity and its profound effects on a child’s health, wellbeing, and lifestyle.</w:t>
      </w:r>
    </w:p>
    <w:p w:rsidR="7C29D818" w:rsidP="2FD6D6E1" w:rsidRDefault="7C29D818" w14:paraId="57FF493C" w14:textId="53F32754">
      <w:pPr>
        <w:spacing w:line="360" w:lineRule="auto"/>
        <w:rPr>
          <w:rFonts w:ascii="Calibri" w:hAnsi="Calibri" w:eastAsia="Calibri" w:cs="Calibri" w:asciiTheme="minorAscii" w:hAnsiTheme="minorAscii" w:eastAsiaTheme="minorAscii" w:cstheme="minorAscii"/>
          <w:b w:val="0"/>
          <w:bCs w:val="0"/>
          <w:noProof w:val="0"/>
          <w:sz w:val="24"/>
          <w:szCs w:val="24"/>
          <w:lang w:val="en-GB"/>
        </w:rPr>
      </w:pPr>
      <w:r w:rsidRPr="060F3EE5" w:rsidR="7C29D818">
        <w:rPr>
          <w:rFonts w:ascii="Calibri" w:hAnsi="Calibri" w:eastAsia="Calibri" w:cs="Calibri" w:asciiTheme="minorAscii" w:hAnsiTheme="minorAscii" w:eastAsiaTheme="minorAscii" w:cstheme="minorAscii"/>
          <w:b w:val="0"/>
          <w:bCs w:val="0"/>
          <w:noProof w:val="0"/>
          <w:sz w:val="24"/>
          <w:szCs w:val="24"/>
          <w:lang w:val="en-GB"/>
        </w:rPr>
        <w:t xml:space="preserve">To give this presentation academic and geographical context, I will be anchoring my discussion within South Wales. I will interpret local data from the Public Health Wales Child Measurement Programme </w:t>
      </w:r>
      <w:r w:rsidRPr="060F3EE5" w:rsidR="7C29D818">
        <w:rPr>
          <w:rFonts w:ascii="Calibri" w:hAnsi="Calibri" w:eastAsia="Calibri" w:cs="Calibri" w:asciiTheme="minorAscii" w:hAnsiTheme="minorAscii" w:eastAsiaTheme="minorAscii" w:cstheme="minorAscii"/>
          <w:b w:val="0"/>
          <w:bCs w:val="0"/>
          <w:noProof w:val="0"/>
          <w:sz w:val="24"/>
          <w:szCs w:val="24"/>
          <w:lang w:val="en-GB"/>
        </w:rPr>
        <w:t>and also</w:t>
      </w:r>
      <w:r w:rsidRPr="060F3EE5" w:rsidR="7C29D818">
        <w:rPr>
          <w:rFonts w:ascii="Calibri" w:hAnsi="Calibri" w:eastAsia="Calibri" w:cs="Calibri" w:asciiTheme="minorAscii" w:hAnsiTheme="minorAscii" w:eastAsiaTheme="minorAscii" w:cstheme="minorAscii"/>
          <w:b w:val="0"/>
          <w:bCs w:val="0"/>
          <w:noProof w:val="0"/>
          <w:sz w:val="24"/>
          <w:szCs w:val="24"/>
          <w:lang w:val="en-GB"/>
        </w:rPr>
        <w:t xml:space="preserve"> will be seeing through the lens of Urie Bronfenbrenner’s Bioecological Systems Theory. This framework allows us to look past reductionist, victim-blaming narratives of 'individual choice' and instead </w:t>
      </w:r>
      <w:r w:rsidRPr="060F3EE5" w:rsidR="68AEA4EA">
        <w:rPr>
          <w:rFonts w:ascii="Calibri" w:hAnsi="Calibri" w:eastAsia="Calibri" w:cs="Calibri" w:asciiTheme="minorAscii" w:hAnsiTheme="minorAscii" w:eastAsiaTheme="minorAscii" w:cstheme="minorAscii"/>
          <w:b w:val="0"/>
          <w:bCs w:val="0"/>
          <w:noProof w:val="0"/>
          <w:sz w:val="24"/>
          <w:szCs w:val="24"/>
          <w:lang w:val="en-GB"/>
        </w:rPr>
        <w:t>analyse</w:t>
      </w:r>
      <w:r w:rsidRPr="060F3EE5" w:rsidR="7C29D818">
        <w:rPr>
          <w:rFonts w:ascii="Calibri" w:hAnsi="Calibri" w:eastAsia="Calibri" w:cs="Calibri" w:asciiTheme="minorAscii" w:hAnsiTheme="minorAscii" w:eastAsiaTheme="minorAscii" w:cstheme="minorAscii"/>
          <w:b w:val="0"/>
          <w:bCs w:val="0"/>
          <w:noProof w:val="0"/>
          <w:sz w:val="24"/>
          <w:szCs w:val="24"/>
          <w:lang w:val="en-GB"/>
        </w:rPr>
        <w:t xml:space="preserve"> the intersecting layers of influence—from immediate familial microsystems to macro-level public health strategies like the Welsh Government’s 'Healthy Weight: Healthy </w:t>
      </w:r>
      <w:r w:rsidRPr="060F3EE5" w:rsidR="7C29D818">
        <w:rPr>
          <w:rFonts w:ascii="Calibri" w:hAnsi="Calibri" w:eastAsia="Calibri" w:cs="Calibri" w:asciiTheme="minorAscii" w:hAnsiTheme="minorAscii" w:eastAsiaTheme="minorAscii" w:cstheme="minorAscii"/>
          <w:b w:val="0"/>
          <w:bCs w:val="0"/>
          <w:noProof w:val="0"/>
          <w:sz w:val="24"/>
          <w:szCs w:val="24"/>
          <w:lang w:val="en-GB"/>
        </w:rPr>
        <w:t>Wales'</w:t>
      </w:r>
      <w:r w:rsidRPr="060F3EE5" w:rsidR="7C29D818">
        <w:rPr>
          <w:rFonts w:ascii="Calibri" w:hAnsi="Calibri" w:eastAsia="Calibri" w:cs="Calibri" w:asciiTheme="minorAscii" w:hAnsiTheme="minorAscii" w:eastAsiaTheme="minorAscii" w:cstheme="minorAscii"/>
          <w:b w:val="0"/>
          <w:bCs w:val="0"/>
          <w:noProof w:val="0"/>
          <w:sz w:val="24"/>
          <w:szCs w:val="24"/>
          <w:lang w:val="en-GB"/>
        </w:rPr>
        <w:t xml:space="preserve"> initiative.</w:t>
      </w:r>
    </w:p>
    <w:p w:rsidR="7C29D818" w:rsidP="2FD6D6E1" w:rsidRDefault="7C29D818" w14:paraId="555CA121" w14:textId="681DEE24">
      <w:pPr>
        <w:spacing w:line="360" w:lineRule="auto"/>
        <w:rPr>
          <w:rFonts w:ascii="Calibri" w:hAnsi="Calibri" w:eastAsia="Calibri" w:cs="Calibri" w:asciiTheme="minorAscii" w:hAnsiTheme="minorAscii" w:eastAsiaTheme="minorAscii" w:cstheme="minorAscii"/>
          <w:b w:val="0"/>
          <w:bCs w:val="0"/>
          <w:noProof w:val="0"/>
          <w:sz w:val="24"/>
          <w:szCs w:val="24"/>
          <w:lang w:val="en-GB"/>
        </w:rPr>
      </w:pPr>
      <w:r w:rsidRPr="2FD6D6E1" w:rsidR="7C29D818">
        <w:rPr>
          <w:rFonts w:ascii="Calibri" w:hAnsi="Calibri" w:eastAsia="Calibri" w:cs="Calibri" w:asciiTheme="minorAscii" w:hAnsiTheme="minorAscii" w:eastAsiaTheme="minorAscii" w:cstheme="minorAscii"/>
          <w:b w:val="0"/>
          <w:bCs w:val="0"/>
          <w:noProof w:val="0"/>
          <w:sz w:val="24"/>
          <w:szCs w:val="24"/>
          <w:lang w:val="en-GB"/>
        </w:rPr>
        <w:t xml:space="preserve">First, let us define what childhood obesity actually is. In children, obesity is defined using the Body Mass Index (BMI) centile charts. A child is classified as living with overweight if their BMI is at or above the 85th </w:t>
      </w:r>
      <w:r w:rsidRPr="2FD6D6E1" w:rsidR="7C29D818">
        <w:rPr>
          <w:rFonts w:ascii="Calibri" w:hAnsi="Calibri" w:eastAsia="Calibri" w:cs="Calibri" w:asciiTheme="minorAscii" w:hAnsiTheme="minorAscii" w:eastAsiaTheme="minorAscii" w:cstheme="minorAscii"/>
          <w:b w:val="0"/>
          <w:bCs w:val="0"/>
          <w:noProof w:val="0"/>
          <w:sz w:val="24"/>
          <w:szCs w:val="24"/>
          <w:lang w:val="en-GB"/>
        </w:rPr>
        <w:t>centile, and</w:t>
      </w:r>
      <w:r w:rsidRPr="2FD6D6E1" w:rsidR="7C29D818">
        <w:rPr>
          <w:rFonts w:ascii="Calibri" w:hAnsi="Calibri" w:eastAsia="Calibri" w:cs="Calibri" w:asciiTheme="minorAscii" w:hAnsiTheme="minorAscii" w:eastAsiaTheme="minorAscii" w:cstheme="minorAscii"/>
          <w:b w:val="0"/>
          <w:bCs w:val="0"/>
          <w:noProof w:val="0"/>
          <w:sz w:val="24"/>
          <w:szCs w:val="24"/>
          <w:lang w:val="en-GB"/>
        </w:rPr>
        <w:t xml:space="preserve"> living with obesity if they are at or above the 95th centile, </w:t>
      </w:r>
      <w:r w:rsidRPr="2FD6D6E1" w:rsidR="7C29D818">
        <w:rPr>
          <w:rFonts w:ascii="Calibri" w:hAnsi="Calibri" w:eastAsia="Calibri" w:cs="Calibri" w:asciiTheme="minorAscii" w:hAnsiTheme="minorAscii" w:eastAsiaTheme="minorAscii" w:cstheme="minorAscii"/>
          <w:b w:val="0"/>
          <w:bCs w:val="0"/>
          <w:noProof w:val="0"/>
          <w:sz w:val="24"/>
          <w:szCs w:val="24"/>
          <w:lang w:val="en-GB"/>
        </w:rPr>
        <w:t>relative</w:t>
      </w:r>
      <w:r w:rsidRPr="2FD6D6E1" w:rsidR="7C29D818">
        <w:rPr>
          <w:rFonts w:ascii="Calibri" w:hAnsi="Calibri" w:eastAsia="Calibri" w:cs="Calibri" w:asciiTheme="minorAscii" w:hAnsiTheme="minorAscii" w:eastAsiaTheme="minorAscii" w:cstheme="minorAscii"/>
          <w:b w:val="0"/>
          <w:bCs w:val="0"/>
          <w:noProof w:val="0"/>
          <w:sz w:val="24"/>
          <w:szCs w:val="24"/>
          <w:lang w:val="en-GB"/>
        </w:rPr>
        <w:t xml:space="preserve"> to the 1990 UK reference population.</w:t>
      </w:r>
    </w:p>
    <w:p w:rsidR="7C29D818" w:rsidP="2FD6D6E1" w:rsidRDefault="7C29D818" w14:paraId="74F7C561" w14:textId="2F3255AA">
      <w:pPr>
        <w:spacing w:line="360" w:lineRule="auto"/>
        <w:rPr>
          <w:rFonts w:ascii="Calibri" w:hAnsi="Calibri" w:eastAsia="Calibri" w:cs="Calibri" w:asciiTheme="minorAscii" w:hAnsiTheme="minorAscii" w:eastAsiaTheme="minorAscii" w:cstheme="minorAscii"/>
          <w:b w:val="0"/>
          <w:bCs w:val="0"/>
          <w:noProof w:val="0"/>
          <w:sz w:val="24"/>
          <w:szCs w:val="24"/>
          <w:lang w:val="en-GB"/>
        </w:rPr>
      </w:pPr>
      <w:r w:rsidRPr="2FD6D6E1" w:rsidR="7C29D818">
        <w:rPr>
          <w:rFonts w:ascii="Calibri" w:hAnsi="Calibri" w:eastAsia="Calibri" w:cs="Calibri" w:asciiTheme="minorAscii" w:hAnsiTheme="minorAscii" w:eastAsiaTheme="minorAscii" w:cstheme="minorAscii"/>
          <w:b w:val="0"/>
          <w:bCs w:val="0"/>
          <w:noProof w:val="0"/>
          <w:sz w:val="24"/>
          <w:szCs w:val="24"/>
          <w:lang w:val="en-GB"/>
        </w:rPr>
        <w:t>But why is this so significant today? According to the official Public Health Wales Child Measurement Programme report, a record 27.3% of Reception-age children (four and five-year-olds) in Wales are now living with overweight or obesity. Alarmingly, Wales has the highest prevalence of childhood obesity compared to England and Scotland.</w:t>
      </w:r>
    </w:p>
    <w:p w:rsidR="7C29D818" w:rsidP="2FD6D6E1" w:rsidRDefault="7C29D818" w14:paraId="418A1452" w14:textId="0731BD8B">
      <w:pPr>
        <w:spacing w:line="360" w:lineRule="auto"/>
        <w:rPr>
          <w:rFonts w:ascii="Calibri" w:hAnsi="Calibri" w:eastAsia="Calibri" w:cs="Calibri" w:asciiTheme="minorAscii" w:hAnsiTheme="minorAscii" w:eastAsiaTheme="minorAscii" w:cstheme="minorAscii"/>
          <w:b w:val="0"/>
          <w:bCs w:val="0"/>
          <w:noProof w:val="0"/>
          <w:sz w:val="24"/>
          <w:szCs w:val="24"/>
          <w:lang w:val="en-GB"/>
        </w:rPr>
      </w:pPr>
      <w:r w:rsidRPr="2FD6D6E1" w:rsidR="7C29D818">
        <w:rPr>
          <w:rFonts w:ascii="Calibri" w:hAnsi="Calibri" w:eastAsia="Calibri" w:cs="Calibri" w:asciiTheme="minorAscii" w:hAnsiTheme="minorAscii" w:eastAsiaTheme="minorAscii" w:cstheme="minorAscii"/>
          <w:b w:val="0"/>
          <w:bCs w:val="0"/>
          <w:noProof w:val="0"/>
          <w:sz w:val="24"/>
          <w:szCs w:val="24"/>
          <w:lang w:val="en-GB"/>
        </w:rPr>
        <w:t xml:space="preserve">This statistic is significant because obesity is not just a cosmetic or adult issue. Sir Michael Marmot’s seminal work on health inequalities notes that up to 80% of children who live with obesity will carry it into adulthood. Sir Michael introduces the concept of the 'causes of the causes'—arguing that to understand childhood obesity, we must look at the social gradients that shape human </w:t>
      </w:r>
      <w:r w:rsidRPr="2FD6D6E1" w:rsidR="2C6CD32E">
        <w:rPr>
          <w:rFonts w:ascii="Calibri" w:hAnsi="Calibri" w:eastAsia="Calibri" w:cs="Calibri" w:asciiTheme="minorAscii" w:hAnsiTheme="minorAscii" w:eastAsiaTheme="minorAscii" w:cstheme="minorAscii"/>
          <w:b w:val="0"/>
          <w:bCs w:val="0"/>
          <w:noProof w:val="0"/>
          <w:sz w:val="24"/>
          <w:szCs w:val="24"/>
          <w:lang w:val="en-GB"/>
        </w:rPr>
        <w:t>behaviour</w:t>
      </w:r>
      <w:r w:rsidRPr="2FD6D6E1" w:rsidR="7C29D818">
        <w:rPr>
          <w:rFonts w:ascii="Calibri" w:hAnsi="Calibri" w:eastAsia="Calibri" w:cs="Calibri" w:asciiTheme="minorAscii" w:hAnsiTheme="minorAscii" w:eastAsiaTheme="minorAscii" w:cstheme="minorAscii"/>
          <w:b w:val="0"/>
          <w:bCs w:val="0"/>
          <w:noProof w:val="0"/>
          <w:sz w:val="24"/>
          <w:szCs w:val="24"/>
          <w:lang w:val="en-GB"/>
        </w:rPr>
        <w:t xml:space="preserve">. We are looking at a trajectory that </w:t>
      </w:r>
      <w:r w:rsidRPr="2FD6D6E1" w:rsidR="7C29D818">
        <w:rPr>
          <w:rFonts w:ascii="Calibri" w:hAnsi="Calibri" w:eastAsia="Calibri" w:cs="Calibri" w:asciiTheme="minorAscii" w:hAnsiTheme="minorAscii" w:eastAsiaTheme="minorAscii" w:cstheme="minorAscii"/>
          <w:b w:val="0"/>
          <w:bCs w:val="0"/>
          <w:noProof w:val="0"/>
          <w:sz w:val="24"/>
          <w:szCs w:val="24"/>
          <w:lang w:val="en-GB"/>
        </w:rPr>
        <w:t>directly links</w:t>
      </w:r>
      <w:r w:rsidRPr="2FD6D6E1" w:rsidR="7C29D818">
        <w:rPr>
          <w:rFonts w:ascii="Calibri" w:hAnsi="Calibri" w:eastAsia="Calibri" w:cs="Calibri" w:asciiTheme="minorAscii" w:hAnsiTheme="minorAscii" w:eastAsiaTheme="minorAscii" w:cstheme="minorAscii"/>
          <w:b w:val="0"/>
          <w:bCs w:val="0"/>
          <w:noProof w:val="0"/>
          <w:sz w:val="24"/>
          <w:szCs w:val="24"/>
          <w:lang w:val="en-GB"/>
        </w:rPr>
        <w:t xml:space="preserve"> early childhood weight to adult chronic illnesses: type 2 diabetes, cardiovascular disease, and musculoskeletal disorders. </w:t>
      </w:r>
      <w:r w:rsidRPr="2FD6D6E1" w:rsidR="7C29D818">
        <w:rPr>
          <w:rFonts w:ascii="Calibri" w:hAnsi="Calibri" w:eastAsia="Calibri" w:cs="Calibri" w:asciiTheme="minorAscii" w:hAnsiTheme="minorAscii" w:eastAsiaTheme="minorAscii" w:cstheme="minorAscii"/>
          <w:b w:val="0"/>
          <w:bCs w:val="0"/>
          <w:noProof w:val="0"/>
          <w:sz w:val="24"/>
          <w:szCs w:val="24"/>
          <w:lang w:val="en-GB"/>
        </w:rPr>
        <w:t>In essence, the</w:t>
      </w:r>
      <w:r w:rsidRPr="2FD6D6E1" w:rsidR="7C29D818">
        <w:rPr>
          <w:rFonts w:ascii="Calibri" w:hAnsi="Calibri" w:eastAsia="Calibri" w:cs="Calibri" w:asciiTheme="minorAscii" w:hAnsiTheme="minorAscii" w:eastAsiaTheme="minorAscii" w:cstheme="minorAscii"/>
          <w:b w:val="0"/>
          <w:bCs w:val="0"/>
          <w:noProof w:val="0"/>
          <w:sz w:val="24"/>
          <w:szCs w:val="24"/>
          <w:lang w:val="en-GB"/>
        </w:rPr>
        <w:t xml:space="preserve"> biological foundations for a child's lifelong health are being compromised before they even leave our foundation phase settings.</w:t>
      </w:r>
    </w:p>
    <w:p w:rsidR="7C29D818" w:rsidP="2FD6D6E1" w:rsidRDefault="7C29D818" w14:paraId="4913777A" w14:textId="449D2E5F">
      <w:pPr>
        <w:spacing w:line="360" w:lineRule="auto"/>
        <w:rPr>
          <w:rFonts w:ascii="Calibri" w:hAnsi="Calibri" w:eastAsia="Calibri" w:cs="Calibri" w:asciiTheme="minorAscii" w:hAnsiTheme="minorAscii" w:eastAsiaTheme="minorAscii" w:cstheme="minorAscii"/>
          <w:b w:val="0"/>
          <w:bCs w:val="0"/>
          <w:noProof w:val="0"/>
          <w:sz w:val="24"/>
          <w:szCs w:val="24"/>
          <w:lang w:val="en-GB"/>
        </w:rPr>
      </w:pPr>
      <w:r w:rsidRPr="2FD6D6E1" w:rsidR="7C29D818">
        <w:rPr>
          <w:rFonts w:ascii="Calibri" w:hAnsi="Calibri" w:eastAsia="Calibri" w:cs="Calibri" w:asciiTheme="minorAscii" w:hAnsiTheme="minorAscii" w:eastAsiaTheme="minorAscii" w:cstheme="minorAscii"/>
          <w:b w:val="0"/>
          <w:bCs w:val="0"/>
          <w:noProof w:val="0"/>
          <w:sz w:val="24"/>
          <w:szCs w:val="24"/>
          <w:lang w:val="en-GB"/>
        </w:rPr>
        <w:t>Let’s break down how this impacts a child on a day-to-day basis across three core areas: health, wellbeing, and lifestyle.</w:t>
      </w:r>
    </w:p>
    <w:p w:rsidR="7C29D818" w:rsidP="2FD6D6E1" w:rsidRDefault="7C29D818" w14:paraId="7BA5A295" w14:textId="3A9A6B99">
      <w:pPr>
        <w:spacing w:line="360" w:lineRule="auto"/>
        <w:rPr>
          <w:rFonts w:ascii="Calibri" w:hAnsi="Calibri" w:eastAsia="Calibri" w:cs="Calibri" w:asciiTheme="minorAscii" w:hAnsiTheme="minorAscii" w:eastAsiaTheme="minorAscii" w:cstheme="minorAscii"/>
          <w:b w:val="0"/>
          <w:bCs w:val="0"/>
          <w:noProof w:val="0"/>
          <w:sz w:val="24"/>
          <w:szCs w:val="24"/>
          <w:lang w:val="en-GB"/>
        </w:rPr>
      </w:pPr>
      <w:r w:rsidRPr="2FD6D6E1" w:rsidR="7C29D818">
        <w:rPr>
          <w:rFonts w:ascii="Calibri" w:hAnsi="Calibri" w:eastAsia="Calibri" w:cs="Calibri" w:asciiTheme="minorAscii" w:hAnsiTheme="minorAscii" w:eastAsiaTheme="minorAscii" w:cstheme="minorAscii"/>
          <w:b w:val="0"/>
          <w:bCs w:val="0"/>
          <w:noProof w:val="0"/>
          <w:sz w:val="24"/>
          <w:szCs w:val="24"/>
          <w:lang w:val="en-GB"/>
        </w:rPr>
        <w:t>Physically, young children carrying excess weight experience immediate strain. They face higher risks of asthma, sleep apnoea, early joint pain, and sluggishness.</w:t>
      </w:r>
    </w:p>
    <w:p w:rsidR="50B11879" w:rsidP="2FD6D6E1" w:rsidRDefault="50B11879" w14:paraId="619ADC0A" w14:textId="3CC99DF3">
      <w:pPr>
        <w:spacing w:line="360" w:lineRule="auto"/>
        <w:rPr>
          <w:rFonts w:ascii="Calibri" w:hAnsi="Calibri" w:eastAsia="Calibri" w:cs="Calibri" w:asciiTheme="minorAscii" w:hAnsiTheme="minorAscii" w:eastAsiaTheme="minorAscii" w:cstheme="minorAscii"/>
          <w:b w:val="0"/>
          <w:bCs w:val="0"/>
          <w:noProof w:val="0"/>
          <w:sz w:val="24"/>
          <w:szCs w:val="24"/>
          <w:lang w:val="en-GB"/>
        </w:rPr>
      </w:pPr>
      <w:r w:rsidRPr="2FD6D6E1" w:rsidR="50B11879">
        <w:rPr>
          <w:rFonts w:ascii="Calibri" w:hAnsi="Calibri" w:eastAsia="Calibri" w:cs="Calibri" w:asciiTheme="minorAscii" w:hAnsiTheme="minorAscii" w:eastAsiaTheme="minorAscii" w:cstheme="minorAscii"/>
          <w:b w:val="0"/>
          <w:bCs w:val="0"/>
          <w:noProof w:val="0"/>
          <w:sz w:val="24"/>
          <w:szCs w:val="24"/>
          <w:lang w:val="en-GB"/>
        </w:rPr>
        <w:t>R</w:t>
      </w:r>
      <w:r w:rsidRPr="2FD6D6E1" w:rsidR="7C29D818">
        <w:rPr>
          <w:rFonts w:ascii="Calibri" w:hAnsi="Calibri" w:eastAsia="Calibri" w:cs="Calibri" w:asciiTheme="minorAscii" w:hAnsiTheme="minorAscii" w:eastAsiaTheme="minorAscii" w:cstheme="minorAscii"/>
          <w:b w:val="0"/>
          <w:bCs w:val="0"/>
          <w:noProof w:val="0"/>
          <w:sz w:val="24"/>
          <w:szCs w:val="24"/>
          <w:lang w:val="en-GB"/>
        </w:rPr>
        <w:t>esearch by the Royal College of Paediatrics and Child Health (RCPCH) Wales highlights that children living with obesity face severe weight-related stigma. This manifests as low self-esteem, poor body image, social anxiety, and a significantly higher risk of bullying. In the classroom, a child who feels socially isolated or anxious will underperform academically because their emotional brain is in a state of stress. When a child's amygdala is hyperactive due to social anxiety, their prefrontal cortex—the area responsible for executive functioning, working memory, and self-regulation—is effectively offline.</w:t>
      </w:r>
    </w:p>
    <w:p w:rsidR="7C29D818" w:rsidP="2FD6D6E1" w:rsidRDefault="7C29D818" w14:paraId="30094F09" w14:textId="375BD3B4">
      <w:pPr>
        <w:spacing w:line="360" w:lineRule="auto"/>
        <w:rPr>
          <w:rFonts w:ascii="Calibri" w:hAnsi="Calibri" w:eastAsia="Calibri" w:cs="Calibri" w:asciiTheme="minorAscii" w:hAnsiTheme="minorAscii" w:eastAsiaTheme="minorAscii" w:cstheme="minorAscii"/>
          <w:b w:val="0"/>
          <w:bCs w:val="0"/>
          <w:noProof w:val="0"/>
          <w:sz w:val="24"/>
          <w:szCs w:val="24"/>
          <w:lang w:val="en-GB"/>
        </w:rPr>
      </w:pPr>
      <w:r w:rsidRPr="2FD6D6E1" w:rsidR="7C29D818">
        <w:rPr>
          <w:rFonts w:ascii="Calibri" w:hAnsi="Calibri" w:eastAsia="Calibri" w:cs="Calibri" w:asciiTheme="minorAscii" w:hAnsiTheme="minorAscii" w:eastAsiaTheme="minorAscii" w:cstheme="minorAscii"/>
          <w:b w:val="0"/>
          <w:bCs w:val="0"/>
          <w:noProof w:val="0"/>
          <w:sz w:val="24"/>
          <w:szCs w:val="24"/>
          <w:lang w:val="en-GB"/>
        </w:rPr>
        <w:t xml:space="preserve">In terms of lifestyle, it creates a restrictive cycle. Children with obesity often find physical play challenging or embarrassing. This leads to sedentary </w:t>
      </w:r>
      <w:r w:rsidRPr="2FD6D6E1" w:rsidR="2C6CD32E">
        <w:rPr>
          <w:rFonts w:ascii="Calibri" w:hAnsi="Calibri" w:eastAsia="Calibri" w:cs="Calibri" w:asciiTheme="minorAscii" w:hAnsiTheme="minorAscii" w:eastAsiaTheme="minorAscii" w:cstheme="minorAscii"/>
          <w:b w:val="0"/>
          <w:bCs w:val="0"/>
          <w:noProof w:val="0"/>
          <w:sz w:val="24"/>
          <w:szCs w:val="24"/>
          <w:lang w:val="en-GB"/>
        </w:rPr>
        <w:t>behaviour</w:t>
      </w:r>
      <w:r w:rsidRPr="2FD6D6E1" w:rsidR="7C29D818">
        <w:rPr>
          <w:rFonts w:ascii="Calibri" w:hAnsi="Calibri" w:eastAsia="Calibri" w:cs="Calibri" w:asciiTheme="minorAscii" w:hAnsiTheme="minorAscii" w:eastAsiaTheme="minorAscii" w:cstheme="minorAscii"/>
          <w:b w:val="0"/>
          <w:bCs w:val="0"/>
          <w:noProof w:val="0"/>
          <w:sz w:val="24"/>
          <w:szCs w:val="24"/>
          <w:lang w:val="en-GB"/>
        </w:rPr>
        <w:t>s</w:t>
      </w:r>
      <w:r w:rsidRPr="2FD6D6E1" w:rsidR="7C29D818">
        <w:rPr>
          <w:rFonts w:ascii="Calibri" w:hAnsi="Calibri" w:eastAsia="Calibri" w:cs="Calibri" w:asciiTheme="minorAscii" w:hAnsiTheme="minorAscii" w:eastAsiaTheme="minorAscii" w:cstheme="minorAscii"/>
          <w:b w:val="0"/>
          <w:bCs w:val="0"/>
          <w:noProof w:val="0"/>
          <w:sz w:val="24"/>
          <w:szCs w:val="24"/>
          <w:lang w:val="en-GB"/>
        </w:rPr>
        <w:t>, a preference for screen time, and disrupted sleep patterns—which, ironically, further triggers weight gain due to hormonal imbalances caused by lack of sleep, specifically the dysregulation of leptin, the hormones that signal fullness and hunger.</w:t>
      </w:r>
    </w:p>
    <w:p w:rsidR="7C29D818" w:rsidP="2FD6D6E1" w:rsidRDefault="7C29D818" w14:paraId="53AE3C8F" w14:textId="2EAD188A">
      <w:pPr>
        <w:spacing w:line="360" w:lineRule="auto"/>
        <w:rPr>
          <w:rFonts w:ascii="Calibri" w:hAnsi="Calibri" w:eastAsia="Calibri" w:cs="Calibri" w:asciiTheme="minorAscii" w:hAnsiTheme="minorAscii" w:eastAsiaTheme="minorAscii" w:cstheme="minorAscii"/>
          <w:b w:val="0"/>
          <w:bCs w:val="0"/>
          <w:noProof w:val="0"/>
          <w:sz w:val="24"/>
          <w:szCs w:val="24"/>
          <w:lang w:val="en-GB"/>
        </w:rPr>
      </w:pPr>
      <w:r w:rsidRPr="2FD6D6E1" w:rsidR="7C29D818">
        <w:rPr>
          <w:rFonts w:ascii="Calibri" w:hAnsi="Calibri" w:eastAsia="Calibri" w:cs="Calibri" w:asciiTheme="minorAscii" w:hAnsiTheme="minorAscii" w:eastAsiaTheme="minorAscii" w:cstheme="minorAscii"/>
          <w:b w:val="0"/>
          <w:bCs w:val="0"/>
          <w:noProof w:val="0"/>
          <w:sz w:val="24"/>
          <w:szCs w:val="24"/>
          <w:lang w:val="en-GB"/>
        </w:rPr>
        <w:t>It is vital that we do not view obesity simply as a failure of willpower or bad parenting. The Health and Care Research Wales Evidence Centre emphasizes that obesity is driven by a complex web of biological, environmental, and socio-economic factors.</w:t>
      </w:r>
    </w:p>
    <w:p w:rsidR="7C29D818" w:rsidP="2FD6D6E1" w:rsidRDefault="7C29D818" w14:paraId="3D3684D3" w14:textId="1A913FCD">
      <w:pPr>
        <w:spacing w:line="360" w:lineRule="auto"/>
        <w:rPr>
          <w:rFonts w:ascii="Calibri" w:hAnsi="Calibri" w:eastAsia="Calibri" w:cs="Calibri" w:asciiTheme="minorAscii" w:hAnsiTheme="minorAscii" w:eastAsiaTheme="minorAscii" w:cstheme="minorAscii"/>
          <w:b w:val="0"/>
          <w:bCs w:val="0"/>
          <w:noProof w:val="0"/>
          <w:sz w:val="24"/>
          <w:szCs w:val="24"/>
          <w:lang w:val="en-GB"/>
        </w:rPr>
      </w:pPr>
      <w:r w:rsidRPr="2FD6D6E1" w:rsidR="7C29D818">
        <w:rPr>
          <w:rFonts w:ascii="Calibri" w:hAnsi="Calibri" w:eastAsia="Calibri" w:cs="Calibri" w:asciiTheme="minorAscii" w:hAnsiTheme="minorAscii" w:eastAsiaTheme="minorAscii" w:cstheme="minorAscii"/>
          <w:b w:val="0"/>
          <w:bCs w:val="0"/>
          <w:noProof w:val="0"/>
          <w:sz w:val="24"/>
          <w:szCs w:val="24"/>
          <w:lang w:val="en-GB"/>
        </w:rPr>
        <w:t>In South Wales, the single biggest predictor of childhood obesity is socio-economic deprivation. The 2026 Public Health Wales data shows that childhood obesity rates in our most deprived communities—such as parts of Merthyr Tydfil, Blaenau Gwent, and the Rhondda Valleys—are roughly 75% higher than in our least deprived areas.</w:t>
      </w:r>
    </w:p>
    <w:p w:rsidR="7C29D818" w:rsidP="2FD6D6E1" w:rsidRDefault="7C29D818" w14:paraId="5B58F3BF" w14:textId="5ED4D9B7">
      <w:pPr>
        <w:spacing w:line="360" w:lineRule="auto"/>
        <w:rPr>
          <w:rFonts w:ascii="Calibri" w:hAnsi="Calibri" w:eastAsia="Calibri" w:cs="Calibri" w:asciiTheme="minorAscii" w:hAnsiTheme="minorAscii" w:eastAsiaTheme="minorAscii" w:cstheme="minorAscii"/>
          <w:b w:val="0"/>
          <w:bCs w:val="0"/>
          <w:noProof w:val="0"/>
          <w:sz w:val="24"/>
          <w:szCs w:val="24"/>
          <w:lang w:val="en-GB"/>
        </w:rPr>
      </w:pPr>
      <w:r w:rsidRPr="2FD6D6E1" w:rsidR="7C29D818">
        <w:rPr>
          <w:rFonts w:ascii="Calibri" w:hAnsi="Calibri" w:eastAsia="Calibri" w:cs="Calibri" w:asciiTheme="minorAscii" w:hAnsiTheme="minorAscii" w:eastAsiaTheme="minorAscii" w:cstheme="minorAscii"/>
          <w:b w:val="0"/>
          <w:bCs w:val="0"/>
          <w:noProof w:val="0"/>
          <w:sz w:val="24"/>
          <w:szCs w:val="24"/>
          <w:lang w:val="en-GB"/>
        </w:rPr>
        <w:t xml:space="preserve">Applying Bronfenbrenner’s </w:t>
      </w:r>
      <w:r w:rsidRPr="2FD6D6E1" w:rsidR="7C29D818">
        <w:rPr>
          <w:rFonts w:ascii="Calibri" w:hAnsi="Calibri" w:eastAsia="Calibri" w:cs="Calibri" w:asciiTheme="minorAscii" w:hAnsiTheme="minorAscii" w:eastAsiaTheme="minorAscii" w:cstheme="minorAscii"/>
          <w:b w:val="0"/>
          <w:bCs w:val="0"/>
          <w:noProof w:val="0"/>
          <w:sz w:val="24"/>
          <w:szCs w:val="24"/>
          <w:lang w:val="en-GB"/>
        </w:rPr>
        <w:t>Exosystem</w:t>
      </w:r>
      <w:r w:rsidRPr="2FD6D6E1" w:rsidR="7C29D818">
        <w:rPr>
          <w:rFonts w:ascii="Calibri" w:hAnsi="Calibri" w:eastAsia="Calibri" w:cs="Calibri" w:asciiTheme="minorAscii" w:hAnsiTheme="minorAscii" w:eastAsiaTheme="minorAscii" w:cstheme="minorAscii"/>
          <w:b w:val="0"/>
          <w:bCs w:val="0"/>
          <w:noProof w:val="0"/>
          <w:sz w:val="24"/>
          <w:szCs w:val="24"/>
          <w:lang w:val="en-GB"/>
        </w:rPr>
        <w:t xml:space="preserve"> analysis, we can see that structural factors dictate individual outcomes. Deprived urban areas often suffer from food insecurity and the proliferation of 'food deserts,' where affordable, nutrient-dense whole foods are unavailable, yet high-calorie, ultra-processed foods are cheap and heavily marketed.</w:t>
      </w:r>
    </w:p>
    <w:p w:rsidR="7C29D818" w:rsidP="2FD6D6E1" w:rsidRDefault="7C29D818" w14:paraId="7BA71687" w14:textId="3FC27815">
      <w:pPr>
        <w:spacing w:line="360" w:lineRule="auto"/>
        <w:rPr>
          <w:rFonts w:ascii="Calibri" w:hAnsi="Calibri" w:eastAsia="Calibri" w:cs="Calibri" w:asciiTheme="minorAscii" w:hAnsiTheme="minorAscii" w:eastAsiaTheme="minorAscii" w:cstheme="minorAscii"/>
          <w:b w:val="0"/>
          <w:bCs w:val="0"/>
          <w:noProof w:val="0"/>
          <w:sz w:val="24"/>
          <w:szCs w:val="24"/>
          <w:lang w:val="en-GB"/>
        </w:rPr>
      </w:pPr>
      <w:r w:rsidRPr="2FD6D6E1" w:rsidR="7C29D818">
        <w:rPr>
          <w:rFonts w:ascii="Calibri" w:hAnsi="Calibri" w:eastAsia="Calibri" w:cs="Calibri" w:asciiTheme="minorAscii" w:hAnsiTheme="minorAscii" w:eastAsiaTheme="minorAscii" w:cstheme="minorAscii"/>
          <w:b w:val="0"/>
          <w:bCs w:val="0"/>
          <w:noProof w:val="0"/>
          <w:sz w:val="24"/>
          <w:szCs w:val="24"/>
          <w:lang w:val="en-GB"/>
        </w:rPr>
        <w:t>Furthermore, poor weather, heavy traffic, and a lack of safe, accessible green spaces in urban valleys restrict opportunities for children to engage in active, outdoor play. When calorie-dense, highly processed food is cheaper and easier to access than fresh fruit, families face structural barriers that motivation alone cannot fix.</w:t>
      </w:r>
    </w:p>
    <w:p w:rsidR="7C29D818" w:rsidP="2FD6D6E1" w:rsidRDefault="7C29D818" w14:paraId="278FA4CF" w14:textId="6319397B">
      <w:pPr>
        <w:spacing w:line="360" w:lineRule="auto"/>
        <w:rPr>
          <w:rFonts w:ascii="Calibri" w:hAnsi="Calibri" w:eastAsia="Calibri" w:cs="Calibri" w:asciiTheme="minorAscii" w:hAnsiTheme="minorAscii" w:eastAsiaTheme="minorAscii" w:cstheme="minorAscii"/>
          <w:b w:val="0"/>
          <w:bCs w:val="0"/>
          <w:noProof w:val="0"/>
          <w:sz w:val="24"/>
          <w:szCs w:val="24"/>
          <w:lang w:val="en-GB"/>
        </w:rPr>
      </w:pPr>
      <w:r w:rsidRPr="2FD6D6E1" w:rsidR="7C29D818">
        <w:rPr>
          <w:rFonts w:ascii="Calibri" w:hAnsi="Calibri" w:eastAsia="Calibri" w:cs="Calibri" w:asciiTheme="minorAscii" w:hAnsiTheme="minorAscii" w:eastAsiaTheme="minorAscii" w:cstheme="minorAscii"/>
          <w:b w:val="0"/>
          <w:bCs w:val="0"/>
          <w:noProof w:val="0"/>
          <w:sz w:val="24"/>
          <w:szCs w:val="24"/>
          <w:lang w:val="en-GB"/>
        </w:rPr>
        <w:t xml:space="preserve">To expand this using Bronfenbrenner’s </w:t>
      </w:r>
      <w:r w:rsidRPr="2FD6D6E1" w:rsidR="7C29D818">
        <w:rPr>
          <w:rFonts w:ascii="Calibri" w:hAnsi="Calibri" w:eastAsia="Calibri" w:cs="Calibri" w:asciiTheme="minorAscii" w:hAnsiTheme="minorAscii" w:eastAsiaTheme="minorAscii" w:cstheme="minorAscii"/>
          <w:b w:val="0"/>
          <w:bCs w:val="0"/>
          <w:noProof w:val="0"/>
          <w:sz w:val="24"/>
          <w:szCs w:val="24"/>
          <w:lang w:val="en-GB"/>
        </w:rPr>
        <w:t>Chronosystem</w:t>
      </w:r>
      <w:r w:rsidRPr="2FD6D6E1" w:rsidR="7C29D818">
        <w:rPr>
          <w:rFonts w:ascii="Calibri" w:hAnsi="Calibri" w:eastAsia="Calibri" w:cs="Calibri" w:asciiTheme="minorAscii" w:hAnsiTheme="minorAscii" w:eastAsiaTheme="minorAscii" w:cstheme="minorAscii"/>
          <w:b w:val="0"/>
          <w:bCs w:val="0"/>
          <w:noProof w:val="0"/>
          <w:sz w:val="24"/>
          <w:szCs w:val="24"/>
          <w:lang w:val="en-GB"/>
        </w:rPr>
        <w:t>, we must acknowledge the socio-historical shifts occurring right now in the mid-2020s. The compounding effects of the ongoing cost-of-living crisis across South Wales have fundamentally altered the purchasing power of low-income families. Food inflation has disproportionately affected fresh, perishable goods. Therefore, when we analy</w:t>
      </w:r>
      <w:r w:rsidRPr="2FD6D6E1" w:rsidR="31D04032">
        <w:rPr>
          <w:rFonts w:ascii="Calibri" w:hAnsi="Calibri" w:eastAsia="Calibri" w:cs="Calibri" w:asciiTheme="minorAscii" w:hAnsiTheme="minorAscii" w:eastAsiaTheme="minorAscii" w:cstheme="minorAscii"/>
          <w:b w:val="0"/>
          <w:bCs w:val="0"/>
          <w:noProof w:val="0"/>
          <w:sz w:val="24"/>
          <w:szCs w:val="24"/>
          <w:lang w:val="en-GB"/>
        </w:rPr>
        <w:t>s</w:t>
      </w:r>
      <w:r w:rsidRPr="2FD6D6E1" w:rsidR="7C29D818">
        <w:rPr>
          <w:rFonts w:ascii="Calibri" w:hAnsi="Calibri" w:eastAsia="Calibri" w:cs="Calibri" w:asciiTheme="minorAscii" w:hAnsiTheme="minorAscii" w:eastAsiaTheme="minorAscii" w:cstheme="minorAscii"/>
          <w:b w:val="0"/>
          <w:bCs w:val="0"/>
          <w:noProof w:val="0"/>
          <w:sz w:val="24"/>
          <w:szCs w:val="24"/>
          <w:lang w:val="en-GB"/>
        </w:rPr>
        <w:t>e a family's choices, we are looking at a system under acute chronological stress, where survival budgets prioritize caloric density over nutritional value.</w:t>
      </w:r>
    </w:p>
    <w:p w:rsidR="7C29D818" w:rsidP="2FD6D6E1" w:rsidRDefault="7C29D818" w14:paraId="52FBD52B" w14:textId="32A2E414">
      <w:pPr>
        <w:spacing w:line="360" w:lineRule="auto"/>
        <w:rPr>
          <w:rFonts w:ascii="Calibri" w:hAnsi="Calibri" w:eastAsia="Calibri" w:cs="Calibri" w:asciiTheme="minorAscii" w:hAnsiTheme="minorAscii" w:eastAsiaTheme="minorAscii" w:cstheme="minorAscii"/>
          <w:b w:val="0"/>
          <w:bCs w:val="0"/>
          <w:noProof w:val="0"/>
          <w:sz w:val="24"/>
          <w:szCs w:val="24"/>
          <w:lang w:val="en-GB"/>
        </w:rPr>
      </w:pPr>
      <w:r w:rsidRPr="2FD6D6E1" w:rsidR="7C29D818">
        <w:rPr>
          <w:rFonts w:ascii="Calibri" w:hAnsi="Calibri" w:eastAsia="Calibri" w:cs="Calibri" w:asciiTheme="minorAscii" w:hAnsiTheme="minorAscii" w:eastAsiaTheme="minorAscii" w:cstheme="minorAscii"/>
          <w:b w:val="0"/>
          <w:bCs w:val="0"/>
          <w:noProof w:val="0"/>
          <w:sz w:val="24"/>
          <w:szCs w:val="24"/>
          <w:lang w:val="en-GB"/>
        </w:rPr>
        <w:t xml:space="preserve">Parents are a child's first and most influential educators, and their impact begins before birth. A recent study published by Public Health Wales </w:t>
      </w:r>
      <w:r w:rsidRPr="2FD6D6E1" w:rsidR="1787A75B">
        <w:rPr>
          <w:rFonts w:ascii="Calibri" w:hAnsi="Calibri" w:eastAsia="Calibri" w:cs="Calibri" w:asciiTheme="minorAscii" w:hAnsiTheme="minorAscii" w:eastAsiaTheme="minorAscii" w:cstheme="minorAscii"/>
          <w:b w:val="0"/>
          <w:bCs w:val="0"/>
          <w:noProof w:val="0"/>
          <w:sz w:val="24"/>
          <w:szCs w:val="24"/>
          <w:lang w:val="en-GB"/>
        </w:rPr>
        <w:t>analysed</w:t>
      </w:r>
      <w:r w:rsidRPr="2FD6D6E1" w:rsidR="7C29D818">
        <w:rPr>
          <w:rFonts w:ascii="Calibri" w:hAnsi="Calibri" w:eastAsia="Calibri" w:cs="Calibri" w:asciiTheme="minorAscii" w:hAnsiTheme="minorAscii" w:eastAsiaTheme="minorAscii" w:cstheme="minorAscii"/>
          <w:b w:val="0"/>
          <w:bCs w:val="0"/>
          <w:noProof w:val="0"/>
          <w:sz w:val="24"/>
          <w:szCs w:val="24"/>
          <w:lang w:val="en-GB"/>
        </w:rPr>
        <w:t xml:space="preserve"> the influences on rapid weight gain during the first 1,000 days of life. The research found that early infant feeding practices heavily dictate future BMI. For instance, infants exclusively fed formula milk at six months had nearly double the chance of rapid weight gain compared to those exclusively breastfed.</w:t>
      </w:r>
    </w:p>
    <w:p w:rsidR="7C29D818" w:rsidP="2FD6D6E1" w:rsidRDefault="7C29D818" w14:paraId="07266299" w14:textId="67F2EDE6">
      <w:pPr>
        <w:spacing w:line="360" w:lineRule="auto"/>
        <w:rPr>
          <w:rFonts w:ascii="Calibri" w:hAnsi="Calibri" w:eastAsia="Calibri" w:cs="Calibri" w:asciiTheme="minorAscii" w:hAnsiTheme="minorAscii" w:eastAsiaTheme="minorAscii" w:cstheme="minorAscii"/>
          <w:b w:val="0"/>
          <w:bCs w:val="0"/>
          <w:noProof w:val="0"/>
          <w:sz w:val="24"/>
          <w:szCs w:val="24"/>
          <w:lang w:val="en-GB"/>
        </w:rPr>
      </w:pPr>
      <w:r w:rsidRPr="2FD6D6E1" w:rsidR="7C29D818">
        <w:rPr>
          <w:rFonts w:ascii="Calibri" w:hAnsi="Calibri" w:eastAsia="Calibri" w:cs="Calibri" w:asciiTheme="minorAscii" w:hAnsiTheme="minorAscii" w:eastAsiaTheme="minorAscii" w:cstheme="minorAscii"/>
          <w:b w:val="0"/>
          <w:bCs w:val="0"/>
          <w:noProof w:val="0"/>
          <w:sz w:val="24"/>
          <w:szCs w:val="24"/>
          <w:lang w:val="en-GB"/>
        </w:rPr>
        <w:t xml:space="preserve">Parents shape a child's relationship with food and movement. However, as practitioners and applying Pierre Bourdieu's concept of </w:t>
      </w:r>
      <w:r w:rsidRPr="2FD6D6E1" w:rsidR="7C29D818">
        <w:rPr>
          <w:rFonts w:ascii="Calibri" w:hAnsi="Calibri" w:eastAsia="Calibri" w:cs="Calibri" w:asciiTheme="minorAscii" w:hAnsiTheme="minorAscii" w:eastAsiaTheme="minorAscii" w:cstheme="minorAscii"/>
          <w:b w:val="0"/>
          <w:bCs w:val="0"/>
          <w:noProof w:val="0"/>
          <w:sz w:val="24"/>
          <w:szCs w:val="24"/>
          <w:lang w:val="en-GB"/>
        </w:rPr>
        <w:t>habitus</w:t>
      </w:r>
      <w:r w:rsidRPr="2FD6D6E1" w:rsidR="7C29D818">
        <w:rPr>
          <w:rFonts w:ascii="Calibri" w:hAnsi="Calibri" w:eastAsia="Calibri" w:cs="Calibri" w:asciiTheme="minorAscii" w:hAnsiTheme="minorAscii" w:eastAsiaTheme="minorAscii" w:cstheme="minorAscii"/>
          <w:b w:val="0"/>
          <w:bCs w:val="0"/>
          <w:noProof w:val="0"/>
          <w:sz w:val="24"/>
          <w:szCs w:val="24"/>
          <w:lang w:val="en-GB"/>
        </w:rPr>
        <w:t xml:space="preserve">, our approach must be entirely free of judgment. Bourdieu teaches us that our habits, tastes, and lifestyle choices are not purely autonomous; they are deeply ingrained dispositions absorbed from our social and economic environment. A parent's </w:t>
      </w:r>
      <w:r w:rsidRPr="2FD6D6E1" w:rsidR="7C29D818">
        <w:rPr>
          <w:rFonts w:ascii="Calibri" w:hAnsi="Calibri" w:eastAsia="Calibri" w:cs="Calibri" w:asciiTheme="minorAscii" w:hAnsiTheme="minorAscii" w:eastAsiaTheme="minorAscii" w:cstheme="minorAscii"/>
          <w:b w:val="0"/>
          <w:bCs w:val="0"/>
          <w:i w:val="1"/>
          <w:iCs w:val="1"/>
          <w:noProof w:val="0"/>
          <w:sz w:val="24"/>
          <w:szCs w:val="24"/>
          <w:lang w:val="en-GB"/>
        </w:rPr>
        <w:t>habitus</w:t>
      </w:r>
      <w:r w:rsidRPr="2FD6D6E1" w:rsidR="7C29D818">
        <w:rPr>
          <w:rFonts w:ascii="Calibri" w:hAnsi="Calibri" w:eastAsia="Calibri" w:cs="Calibri" w:asciiTheme="minorAscii" w:hAnsiTheme="minorAscii" w:eastAsiaTheme="minorAscii" w:cstheme="minorAscii"/>
          <w:b w:val="0"/>
          <w:bCs w:val="0"/>
          <w:noProof w:val="0"/>
          <w:sz w:val="24"/>
          <w:szCs w:val="24"/>
          <w:lang w:val="en-GB"/>
        </w:rPr>
        <w:t xml:space="preserve"> is shaped by their access to what Bourdieu calls </w:t>
      </w:r>
      <w:r w:rsidRPr="2FD6D6E1" w:rsidR="7C29D818">
        <w:rPr>
          <w:rFonts w:ascii="Calibri" w:hAnsi="Calibri" w:eastAsia="Calibri" w:cs="Calibri" w:asciiTheme="minorAscii" w:hAnsiTheme="minorAscii" w:eastAsiaTheme="minorAscii" w:cstheme="minorAscii"/>
          <w:b w:val="0"/>
          <w:bCs w:val="0"/>
          <w:noProof w:val="0"/>
          <w:sz w:val="24"/>
          <w:szCs w:val="24"/>
          <w:lang w:val="en-GB"/>
        </w:rPr>
        <w:t>Economic Capital</w:t>
      </w:r>
      <w:r w:rsidRPr="2FD6D6E1" w:rsidR="7C29D818">
        <w:rPr>
          <w:rFonts w:ascii="Calibri" w:hAnsi="Calibri" w:eastAsia="Calibri" w:cs="Calibri" w:asciiTheme="minorAscii" w:hAnsiTheme="minorAscii" w:eastAsiaTheme="minorAscii" w:cstheme="minorAscii"/>
          <w:b w:val="0"/>
          <w:bCs w:val="0"/>
          <w:noProof w:val="0"/>
          <w:sz w:val="24"/>
          <w:szCs w:val="24"/>
          <w:lang w:val="en-GB"/>
        </w:rPr>
        <w:t xml:space="preserve"> (disposable income) and </w:t>
      </w:r>
      <w:r w:rsidRPr="2FD6D6E1" w:rsidR="7C29D818">
        <w:rPr>
          <w:rFonts w:ascii="Calibri" w:hAnsi="Calibri" w:eastAsia="Calibri" w:cs="Calibri" w:asciiTheme="minorAscii" w:hAnsiTheme="minorAscii" w:eastAsiaTheme="minorAscii" w:cstheme="minorAscii"/>
          <w:b w:val="0"/>
          <w:bCs w:val="0"/>
          <w:noProof w:val="0"/>
          <w:sz w:val="24"/>
          <w:szCs w:val="24"/>
          <w:lang w:val="en-GB"/>
        </w:rPr>
        <w:t>Cultural Capital</w:t>
      </w:r>
      <w:r w:rsidRPr="2FD6D6E1" w:rsidR="7C29D818">
        <w:rPr>
          <w:rFonts w:ascii="Calibri" w:hAnsi="Calibri" w:eastAsia="Calibri" w:cs="Calibri" w:asciiTheme="minorAscii" w:hAnsiTheme="minorAscii" w:eastAsiaTheme="minorAscii" w:cstheme="minorAscii"/>
          <w:b w:val="0"/>
          <w:bCs w:val="0"/>
          <w:noProof w:val="0"/>
          <w:sz w:val="24"/>
          <w:szCs w:val="24"/>
          <w:lang w:val="en-GB"/>
        </w:rPr>
        <w:t xml:space="preserve"> (health literacy and education).</w:t>
      </w:r>
    </w:p>
    <w:p w:rsidR="7C29D818" w:rsidP="2FD6D6E1" w:rsidRDefault="7C29D818" w14:paraId="654E794F" w14:textId="70CEECAF">
      <w:pPr>
        <w:spacing w:line="360" w:lineRule="auto"/>
        <w:rPr>
          <w:rFonts w:ascii="Calibri" w:hAnsi="Calibri" w:eastAsia="Calibri" w:cs="Calibri" w:asciiTheme="minorAscii" w:hAnsiTheme="minorAscii" w:eastAsiaTheme="minorAscii" w:cstheme="minorAscii"/>
          <w:b w:val="0"/>
          <w:bCs w:val="0"/>
          <w:noProof w:val="0"/>
          <w:sz w:val="24"/>
          <w:szCs w:val="24"/>
          <w:lang w:val="en-GB"/>
        </w:rPr>
      </w:pPr>
      <w:r w:rsidRPr="2FD6D6E1" w:rsidR="7C29D818">
        <w:rPr>
          <w:rFonts w:ascii="Calibri" w:hAnsi="Calibri" w:eastAsia="Calibri" w:cs="Calibri" w:asciiTheme="minorAscii" w:hAnsiTheme="minorAscii" w:eastAsiaTheme="minorAscii" w:cstheme="minorAscii"/>
          <w:b w:val="0"/>
          <w:bCs w:val="0"/>
          <w:noProof w:val="0"/>
          <w:sz w:val="24"/>
          <w:szCs w:val="24"/>
          <w:lang w:val="en-GB"/>
        </w:rPr>
        <w:t>Public Health Wales's insight work shows that parents genuinely want the best for their children, but face severe time constraints, shifting shift-work patterns in the gig economy, tight budgets, and aggressive marketing of unhealthy baby foods.</w:t>
      </w:r>
    </w:p>
    <w:p w:rsidR="7C29D818" w:rsidP="2FD6D6E1" w:rsidRDefault="7C29D818" w14:paraId="745B5F84" w14:textId="53BC2182">
      <w:pPr>
        <w:spacing w:line="360" w:lineRule="auto"/>
        <w:rPr>
          <w:rFonts w:ascii="Calibri" w:hAnsi="Calibri" w:eastAsia="Calibri" w:cs="Calibri" w:asciiTheme="minorAscii" w:hAnsiTheme="minorAscii" w:eastAsiaTheme="minorAscii" w:cstheme="minorAscii"/>
          <w:b w:val="0"/>
          <w:bCs w:val="0"/>
          <w:noProof w:val="0"/>
          <w:sz w:val="24"/>
          <w:szCs w:val="24"/>
          <w:lang w:val="en-GB"/>
        </w:rPr>
      </w:pPr>
      <w:r w:rsidRPr="2FD6D6E1" w:rsidR="7C29D818">
        <w:rPr>
          <w:rFonts w:ascii="Calibri" w:hAnsi="Calibri" w:eastAsia="Calibri" w:cs="Calibri" w:asciiTheme="minorAscii" w:hAnsiTheme="minorAscii" w:eastAsiaTheme="minorAscii" w:cstheme="minorAscii"/>
          <w:b w:val="0"/>
          <w:bCs w:val="0"/>
          <w:noProof w:val="0"/>
          <w:sz w:val="24"/>
          <w:szCs w:val="24"/>
          <w:lang w:val="en-GB"/>
        </w:rPr>
        <w:t xml:space="preserve">Parents can help by adopting responsive feeding—recognizing when a toddler is full rather than forcing them to clean the plate. They can build healthy habits by involving children in cooking, drinking water instead of sugary juices, and normalizing active family lifestyles, like walking to the local park instead of driving. But our role as professionals is to scaffold this </w:t>
      </w:r>
      <w:r w:rsidRPr="2FD6D6E1" w:rsidR="7C29D818">
        <w:rPr>
          <w:rFonts w:ascii="Calibri" w:hAnsi="Calibri" w:eastAsia="Calibri" w:cs="Calibri" w:asciiTheme="minorAscii" w:hAnsiTheme="minorAscii" w:eastAsiaTheme="minorAscii" w:cstheme="minorAscii"/>
          <w:b w:val="0"/>
          <w:bCs w:val="0"/>
          <w:i w:val="1"/>
          <w:iCs w:val="1"/>
          <w:noProof w:val="0"/>
          <w:sz w:val="24"/>
          <w:szCs w:val="24"/>
          <w:lang w:val="en-GB"/>
        </w:rPr>
        <w:t>habitus</w:t>
      </w:r>
      <w:r w:rsidRPr="2FD6D6E1" w:rsidR="7C29D818">
        <w:rPr>
          <w:rFonts w:ascii="Calibri" w:hAnsi="Calibri" w:eastAsia="Calibri" w:cs="Calibri" w:asciiTheme="minorAscii" w:hAnsiTheme="minorAscii" w:eastAsiaTheme="minorAscii" w:cstheme="minorAscii"/>
          <w:b w:val="0"/>
          <w:bCs w:val="0"/>
          <w:noProof w:val="0"/>
          <w:sz w:val="24"/>
          <w:szCs w:val="24"/>
          <w:lang w:val="en-GB"/>
        </w:rPr>
        <w:t>, not to penalize it.</w:t>
      </w:r>
    </w:p>
    <w:p w:rsidR="7C29D818" w:rsidP="2FD6D6E1" w:rsidRDefault="7C29D818" w14:paraId="59923F8B" w14:textId="55C3BBF2">
      <w:pPr>
        <w:spacing w:line="360" w:lineRule="auto"/>
        <w:rPr>
          <w:rFonts w:ascii="Calibri" w:hAnsi="Calibri" w:eastAsia="Calibri" w:cs="Calibri" w:asciiTheme="minorAscii" w:hAnsiTheme="minorAscii" w:eastAsiaTheme="minorAscii" w:cstheme="minorAscii"/>
          <w:b w:val="0"/>
          <w:bCs w:val="0"/>
          <w:noProof w:val="0"/>
          <w:sz w:val="24"/>
          <w:szCs w:val="24"/>
          <w:lang w:val="en-GB"/>
        </w:rPr>
      </w:pPr>
      <w:r w:rsidRPr="2FD6D6E1" w:rsidR="7C29D818">
        <w:rPr>
          <w:rFonts w:ascii="Calibri" w:hAnsi="Calibri" w:eastAsia="Calibri" w:cs="Calibri" w:asciiTheme="minorAscii" w:hAnsiTheme="minorAscii" w:eastAsiaTheme="minorAscii" w:cstheme="minorAscii"/>
          <w:b w:val="0"/>
          <w:bCs w:val="0"/>
          <w:noProof w:val="0"/>
          <w:sz w:val="24"/>
          <w:szCs w:val="24"/>
          <w:lang w:val="en-GB"/>
        </w:rPr>
        <w:t>So, where do we step in? As Early Years Practitioners, we are uniquely positioned to intervene early. Our settings should be an antidote to the obesogenic environment.</w:t>
      </w:r>
    </w:p>
    <w:p w:rsidR="7C29D818" w:rsidP="2FD6D6E1" w:rsidRDefault="7C29D818" w14:paraId="3A65EB31" w14:textId="48C61186">
      <w:pPr>
        <w:spacing w:line="360" w:lineRule="auto"/>
        <w:rPr>
          <w:rFonts w:ascii="Calibri" w:hAnsi="Calibri" w:eastAsia="Calibri" w:cs="Calibri" w:asciiTheme="minorAscii" w:hAnsiTheme="minorAscii" w:eastAsiaTheme="minorAscii" w:cstheme="minorAscii"/>
          <w:b w:val="0"/>
          <w:bCs w:val="0"/>
          <w:noProof w:val="0"/>
          <w:sz w:val="24"/>
          <w:szCs w:val="24"/>
          <w:lang w:val="en-GB"/>
        </w:rPr>
      </w:pPr>
      <w:r w:rsidRPr="2FD6D6E1" w:rsidR="7C29D818">
        <w:rPr>
          <w:rFonts w:ascii="Calibri" w:hAnsi="Calibri" w:eastAsia="Calibri" w:cs="Calibri" w:asciiTheme="minorAscii" w:hAnsiTheme="minorAscii" w:eastAsiaTheme="minorAscii" w:cstheme="minorAscii"/>
          <w:b w:val="0"/>
          <w:bCs w:val="0"/>
          <w:noProof w:val="0"/>
          <w:sz w:val="24"/>
          <w:szCs w:val="24"/>
          <w:lang w:val="en-GB"/>
        </w:rPr>
        <w:t xml:space="preserve">Here, we must examine Bronfenbrenner’s </w:t>
      </w:r>
      <w:r w:rsidRPr="2FD6D6E1" w:rsidR="7C29D818">
        <w:rPr>
          <w:rFonts w:ascii="Calibri" w:hAnsi="Calibri" w:eastAsia="Calibri" w:cs="Calibri" w:asciiTheme="minorAscii" w:hAnsiTheme="minorAscii" w:eastAsiaTheme="minorAscii" w:cstheme="minorAscii"/>
          <w:b w:val="0"/>
          <w:bCs w:val="0"/>
          <w:noProof w:val="0"/>
          <w:sz w:val="24"/>
          <w:szCs w:val="24"/>
          <w:lang w:val="en-GB"/>
        </w:rPr>
        <w:t>Mesosystem</w:t>
      </w:r>
      <w:r w:rsidRPr="2FD6D6E1" w:rsidR="7C29D818">
        <w:rPr>
          <w:rFonts w:ascii="Calibri" w:hAnsi="Calibri" w:eastAsia="Calibri" w:cs="Calibri" w:asciiTheme="minorAscii" w:hAnsiTheme="minorAscii" w:eastAsiaTheme="minorAscii" w:cstheme="minorAscii"/>
          <w:b w:val="0"/>
          <w:bCs w:val="0"/>
          <w:noProof w:val="0"/>
          <w:sz w:val="24"/>
          <w:szCs w:val="24"/>
          <w:lang w:val="en-GB"/>
        </w:rPr>
        <w:t>—which represents the linkages and interactions between a child's primary microsystems, specifically the home and the early years setting. If there is a disconnect between the nutritional and physical values taught at nursery and those experienced at home, the mesosystem fractures, causing confusion for the child.</w:t>
      </w:r>
    </w:p>
    <w:p w:rsidR="7C29D818" w:rsidP="2FD6D6E1" w:rsidRDefault="7C29D818" w14:paraId="184A0DA9" w14:textId="22E3F9CC">
      <w:pPr>
        <w:spacing w:line="360" w:lineRule="auto"/>
        <w:rPr>
          <w:rFonts w:ascii="Calibri" w:hAnsi="Calibri" w:eastAsia="Calibri" w:cs="Calibri" w:asciiTheme="minorAscii" w:hAnsiTheme="minorAscii" w:eastAsiaTheme="minorAscii" w:cstheme="minorAscii"/>
          <w:b w:val="0"/>
          <w:bCs w:val="0"/>
          <w:noProof w:val="0"/>
          <w:sz w:val="24"/>
          <w:szCs w:val="24"/>
          <w:lang w:val="en-GB"/>
        </w:rPr>
      </w:pPr>
      <w:r w:rsidRPr="2FD6D6E1" w:rsidR="7C29D818">
        <w:rPr>
          <w:rFonts w:ascii="Calibri" w:hAnsi="Calibri" w:eastAsia="Calibri" w:cs="Calibri" w:asciiTheme="minorAscii" w:hAnsiTheme="minorAscii" w:eastAsiaTheme="minorAscii" w:cstheme="minorAscii"/>
          <w:b w:val="0"/>
          <w:bCs w:val="0"/>
          <w:noProof w:val="0"/>
          <w:sz w:val="24"/>
          <w:szCs w:val="24"/>
          <w:lang w:val="en-GB"/>
        </w:rPr>
        <w:t>First, we control the food environment within our care. By embedding schemes like the Welsh Healthy Pre-schools Scheme, we ensure that snacks provided are highly nutritious, and we teach children where food comes from through edible gardening and cooking activities, creating a positive feedback loop that children carry back into their domestic microsystem.</w:t>
      </w:r>
    </w:p>
    <w:p w:rsidR="7C29D818" w:rsidP="2FD6D6E1" w:rsidRDefault="7C29D818" w14:paraId="3739FB53" w14:textId="201A2657">
      <w:pPr>
        <w:spacing w:line="360" w:lineRule="auto"/>
        <w:rPr>
          <w:rFonts w:ascii="Calibri" w:hAnsi="Calibri" w:eastAsia="Calibri" w:cs="Calibri" w:asciiTheme="minorAscii" w:hAnsiTheme="minorAscii" w:eastAsiaTheme="minorAscii" w:cstheme="minorAscii"/>
          <w:b w:val="0"/>
          <w:bCs w:val="0"/>
          <w:noProof w:val="0"/>
          <w:sz w:val="24"/>
          <w:szCs w:val="24"/>
          <w:lang w:val="en-GB"/>
        </w:rPr>
      </w:pPr>
      <w:r w:rsidRPr="2FD6D6E1" w:rsidR="7C29D818">
        <w:rPr>
          <w:rFonts w:ascii="Calibri" w:hAnsi="Calibri" w:eastAsia="Calibri" w:cs="Calibri" w:asciiTheme="minorAscii" w:hAnsiTheme="minorAscii" w:eastAsiaTheme="minorAscii" w:cstheme="minorAscii"/>
          <w:b w:val="0"/>
          <w:bCs w:val="0"/>
          <w:noProof w:val="0"/>
          <w:sz w:val="24"/>
          <w:szCs w:val="24"/>
          <w:lang w:val="en-GB"/>
        </w:rPr>
        <w:t xml:space="preserve">Second, we design the physical environment. Through the principles of the </w:t>
      </w:r>
      <w:r w:rsidRPr="2FD6D6E1" w:rsidR="7C29D818">
        <w:rPr>
          <w:rFonts w:ascii="Calibri" w:hAnsi="Calibri" w:eastAsia="Calibri" w:cs="Calibri" w:asciiTheme="minorAscii" w:hAnsiTheme="minorAscii" w:eastAsiaTheme="minorAscii" w:cstheme="minorAscii"/>
          <w:b w:val="0"/>
          <w:bCs w:val="0"/>
          <w:i w:val="1"/>
          <w:iCs w:val="1"/>
          <w:noProof w:val="0"/>
          <w:sz w:val="24"/>
          <w:szCs w:val="24"/>
          <w:lang w:val="en-GB"/>
        </w:rPr>
        <w:t>Curriculum for Wales</w:t>
      </w:r>
      <w:r w:rsidRPr="2FD6D6E1" w:rsidR="7C29D818">
        <w:rPr>
          <w:rFonts w:ascii="Calibri" w:hAnsi="Calibri" w:eastAsia="Calibri" w:cs="Calibri" w:asciiTheme="minorAscii" w:hAnsiTheme="minorAscii" w:eastAsiaTheme="minorAscii" w:cstheme="minorAscii"/>
          <w:b w:val="0"/>
          <w:bCs w:val="0"/>
          <w:noProof w:val="0"/>
          <w:sz w:val="24"/>
          <w:szCs w:val="24"/>
          <w:lang w:val="en-GB"/>
        </w:rPr>
        <w:t xml:space="preserve">, we can facilitate high-quality physical play. However, we must confront an academic paradox here: while the </w:t>
      </w:r>
      <w:r w:rsidRPr="2FD6D6E1" w:rsidR="7C29D818">
        <w:rPr>
          <w:rFonts w:ascii="Calibri" w:hAnsi="Calibri" w:eastAsia="Calibri" w:cs="Calibri" w:asciiTheme="minorAscii" w:hAnsiTheme="minorAscii" w:eastAsiaTheme="minorAscii" w:cstheme="minorAscii"/>
          <w:b w:val="0"/>
          <w:bCs w:val="0"/>
          <w:i w:val="1"/>
          <w:iCs w:val="1"/>
          <w:noProof w:val="0"/>
          <w:sz w:val="24"/>
          <w:szCs w:val="24"/>
          <w:lang w:val="en-GB"/>
        </w:rPr>
        <w:t>Curriculum for Wales</w:t>
      </w:r>
      <w:r w:rsidRPr="2FD6D6E1" w:rsidR="7C29D818">
        <w:rPr>
          <w:rFonts w:ascii="Calibri" w:hAnsi="Calibri" w:eastAsia="Calibri" w:cs="Calibri" w:asciiTheme="minorAscii" w:hAnsiTheme="minorAscii" w:eastAsiaTheme="minorAscii" w:cstheme="minorAscii"/>
          <w:b w:val="0"/>
          <w:bCs w:val="0"/>
          <w:noProof w:val="0"/>
          <w:sz w:val="24"/>
          <w:szCs w:val="24"/>
          <w:lang w:val="en-GB"/>
        </w:rPr>
        <w:t xml:space="preserve"> champions holistic, outdoor, child-led exploration, many urban settings face space constraints and underfunding. To overcome this, we utilize </w:t>
      </w:r>
      <w:r w:rsidRPr="2FD6D6E1" w:rsidR="7C29D818">
        <w:rPr>
          <w:rFonts w:ascii="Calibri" w:hAnsi="Calibri" w:eastAsia="Calibri" w:cs="Calibri" w:asciiTheme="minorAscii" w:hAnsiTheme="minorAscii" w:eastAsiaTheme="minorAscii" w:cstheme="minorAscii"/>
          <w:b w:val="0"/>
          <w:bCs w:val="0"/>
          <w:noProof w:val="0"/>
          <w:sz w:val="24"/>
          <w:szCs w:val="24"/>
          <w:lang w:val="en-GB"/>
        </w:rPr>
        <w:t>'loose parts play'</w:t>
      </w:r>
      <w:r w:rsidRPr="2FD6D6E1" w:rsidR="7C29D818">
        <w:rPr>
          <w:rFonts w:ascii="Calibri" w:hAnsi="Calibri" w:eastAsia="Calibri" w:cs="Calibri" w:asciiTheme="minorAscii" w:hAnsiTheme="minorAscii" w:eastAsiaTheme="minorAscii" w:cstheme="minorAscii"/>
          <w:b w:val="0"/>
          <w:bCs w:val="0"/>
          <w:noProof w:val="0"/>
          <w:sz w:val="24"/>
          <w:szCs w:val="24"/>
          <w:lang w:val="en-GB"/>
        </w:rPr>
        <w:t>—using open-ended materials like crates, tyres, and planks. This encourages physical literacy, risk-assessment, gross motor skills, climbing, lifting, and elevating children’s heart rate without requiring expensive, specialized infrastructure.</w:t>
      </w:r>
    </w:p>
    <w:p w:rsidR="7C29D818" w:rsidP="2FD6D6E1" w:rsidRDefault="7C29D818" w14:paraId="3B2F6A0A" w14:textId="0FDE29F2">
      <w:pPr>
        <w:spacing w:line="360" w:lineRule="auto"/>
        <w:rPr>
          <w:rFonts w:ascii="Calibri" w:hAnsi="Calibri" w:eastAsia="Calibri" w:cs="Calibri" w:asciiTheme="minorAscii" w:hAnsiTheme="minorAscii" w:eastAsiaTheme="minorAscii" w:cstheme="minorAscii"/>
          <w:b w:val="0"/>
          <w:bCs w:val="0"/>
          <w:noProof w:val="0"/>
          <w:sz w:val="24"/>
          <w:szCs w:val="24"/>
          <w:lang w:val="en-GB"/>
        </w:rPr>
      </w:pPr>
      <w:r w:rsidRPr="2FD6D6E1" w:rsidR="7C29D818">
        <w:rPr>
          <w:rFonts w:ascii="Calibri" w:hAnsi="Calibri" w:eastAsia="Calibri" w:cs="Calibri" w:asciiTheme="minorAscii" w:hAnsiTheme="minorAscii" w:eastAsiaTheme="minorAscii" w:cstheme="minorAscii"/>
          <w:b w:val="0"/>
          <w:bCs w:val="0"/>
          <w:noProof w:val="0"/>
          <w:sz w:val="24"/>
          <w:szCs w:val="24"/>
          <w:lang w:val="en-GB"/>
        </w:rPr>
        <w:t>Crucially, our role is to protect children's emotional wellbeing. We must eliminate weight-stigmatizing language in our settings, promote body positivity, and use emotional literacy strategies to ensure children do not turn to comfort eating as a coping mechanism for stress or anxiety.</w:t>
      </w:r>
    </w:p>
    <w:p w:rsidR="7C29D818" w:rsidP="2FD6D6E1" w:rsidRDefault="7C29D818" w14:paraId="1805558C" w14:textId="062E0375">
      <w:pPr>
        <w:spacing w:line="360" w:lineRule="auto"/>
        <w:rPr>
          <w:rFonts w:ascii="Calibri" w:hAnsi="Calibri" w:eastAsia="Calibri" w:cs="Calibri" w:asciiTheme="minorAscii" w:hAnsiTheme="minorAscii" w:eastAsiaTheme="minorAscii" w:cstheme="minorAscii"/>
          <w:b w:val="0"/>
          <w:bCs w:val="0"/>
          <w:noProof w:val="0"/>
          <w:sz w:val="24"/>
          <w:szCs w:val="24"/>
          <w:lang w:val="en-GB"/>
        </w:rPr>
      </w:pPr>
      <w:r w:rsidRPr="2FD6D6E1" w:rsidR="7C29D818">
        <w:rPr>
          <w:rFonts w:ascii="Calibri" w:hAnsi="Calibri" w:eastAsia="Calibri" w:cs="Calibri" w:asciiTheme="minorAscii" w:hAnsiTheme="minorAscii" w:eastAsiaTheme="minorAscii" w:cstheme="minorAscii"/>
          <w:b w:val="0"/>
          <w:bCs w:val="0"/>
          <w:noProof w:val="0"/>
          <w:sz w:val="24"/>
          <w:szCs w:val="24"/>
          <w:lang w:val="en-GB"/>
        </w:rPr>
        <w:t xml:space="preserve">No single agency can solve this alone. The Welsh Government’s 'Healthy Weight: Healthy </w:t>
      </w:r>
      <w:r w:rsidRPr="2FD6D6E1" w:rsidR="7C29D818">
        <w:rPr>
          <w:rFonts w:ascii="Calibri" w:hAnsi="Calibri" w:eastAsia="Calibri" w:cs="Calibri" w:asciiTheme="minorAscii" w:hAnsiTheme="minorAscii" w:eastAsiaTheme="minorAscii" w:cstheme="minorAscii"/>
          <w:b w:val="0"/>
          <w:bCs w:val="0"/>
          <w:noProof w:val="0"/>
          <w:sz w:val="24"/>
          <w:szCs w:val="24"/>
          <w:lang w:val="en-GB"/>
        </w:rPr>
        <w:t>Wales'</w:t>
      </w:r>
      <w:r w:rsidRPr="2FD6D6E1" w:rsidR="7C29D818">
        <w:rPr>
          <w:rFonts w:ascii="Calibri" w:hAnsi="Calibri" w:eastAsia="Calibri" w:cs="Calibri" w:asciiTheme="minorAscii" w:hAnsiTheme="minorAscii" w:eastAsiaTheme="minorAscii" w:cstheme="minorAscii"/>
          <w:b w:val="0"/>
          <w:bCs w:val="0"/>
          <w:noProof w:val="0"/>
          <w:sz w:val="24"/>
          <w:szCs w:val="24"/>
          <w:lang w:val="en-GB"/>
        </w:rPr>
        <w:t xml:space="preserve"> delivery plan explicitly mandates a 'whole-system approach.' As practitioners, we act as the eyes and ears on the ground, linking families to wider multi-agency support.</w:t>
      </w:r>
    </w:p>
    <w:p w:rsidR="7C29D818" w:rsidP="2FD6D6E1" w:rsidRDefault="7C29D818" w14:paraId="0C552B44" w14:textId="1F185F71">
      <w:pPr>
        <w:spacing w:line="360" w:lineRule="auto"/>
        <w:rPr>
          <w:rFonts w:ascii="Calibri" w:hAnsi="Calibri" w:eastAsia="Calibri" w:cs="Calibri" w:asciiTheme="minorAscii" w:hAnsiTheme="minorAscii" w:eastAsiaTheme="minorAscii" w:cstheme="minorAscii"/>
          <w:b w:val="0"/>
          <w:bCs w:val="0"/>
          <w:noProof w:val="0"/>
          <w:sz w:val="24"/>
          <w:szCs w:val="24"/>
          <w:lang w:val="en-GB"/>
        </w:rPr>
      </w:pPr>
      <w:r w:rsidRPr="2FD6D6E1" w:rsidR="7C29D818">
        <w:rPr>
          <w:rFonts w:ascii="Calibri" w:hAnsi="Calibri" w:eastAsia="Calibri" w:cs="Calibri" w:asciiTheme="minorAscii" w:hAnsiTheme="minorAscii" w:eastAsiaTheme="minorAscii" w:cstheme="minorAscii"/>
          <w:b w:val="0"/>
          <w:bCs w:val="0"/>
          <w:noProof w:val="0"/>
          <w:sz w:val="24"/>
          <w:szCs w:val="24"/>
          <w:lang w:val="en-GB"/>
        </w:rPr>
        <w:t>We collaborate closely with Health Visitors through the Healthy Child Wales Programme, tracking growth patterns and identifying early signs of rapid weight gain. We work alongside Flying Start services in our deprived South Wales communities, ensuring parents get direct access to parenting programmes and early nutrition workshops.</w:t>
      </w:r>
    </w:p>
    <w:p w:rsidR="7C29D818" w:rsidP="2FD6D6E1" w:rsidRDefault="7C29D818" w14:paraId="7AE1D734" w14:textId="49E564B4">
      <w:pPr>
        <w:spacing w:line="360" w:lineRule="auto"/>
        <w:rPr>
          <w:rFonts w:ascii="Calibri" w:hAnsi="Calibri" w:eastAsia="Calibri" w:cs="Calibri" w:asciiTheme="minorAscii" w:hAnsiTheme="minorAscii" w:eastAsiaTheme="minorAscii" w:cstheme="minorAscii"/>
          <w:b w:val="0"/>
          <w:bCs w:val="0"/>
          <w:noProof w:val="0"/>
          <w:sz w:val="24"/>
          <w:szCs w:val="24"/>
          <w:lang w:val="en-GB"/>
        </w:rPr>
      </w:pPr>
      <w:r w:rsidRPr="060F3EE5" w:rsidR="7C29D818">
        <w:rPr>
          <w:rFonts w:ascii="Calibri" w:hAnsi="Calibri" w:eastAsia="Calibri" w:cs="Calibri" w:asciiTheme="minorAscii" w:hAnsiTheme="minorAscii" w:eastAsiaTheme="minorAscii" w:cstheme="minorAscii"/>
          <w:b w:val="0"/>
          <w:bCs w:val="0"/>
          <w:noProof w:val="0"/>
          <w:sz w:val="24"/>
          <w:szCs w:val="24"/>
          <w:lang w:val="en-GB"/>
        </w:rPr>
        <w:t xml:space="preserve">When a child </w:t>
      </w:r>
      <w:r w:rsidRPr="060F3EE5" w:rsidR="7C29D818">
        <w:rPr>
          <w:rFonts w:ascii="Calibri" w:hAnsi="Calibri" w:eastAsia="Calibri" w:cs="Calibri" w:asciiTheme="minorAscii" w:hAnsiTheme="minorAscii" w:eastAsiaTheme="minorAscii" w:cstheme="minorAscii"/>
          <w:b w:val="0"/>
          <w:bCs w:val="0"/>
          <w:noProof w:val="0"/>
          <w:sz w:val="24"/>
          <w:szCs w:val="24"/>
          <w:lang w:val="en-GB"/>
        </w:rPr>
        <w:t>requires</w:t>
      </w:r>
      <w:r w:rsidRPr="060F3EE5" w:rsidR="7C29D818">
        <w:rPr>
          <w:rFonts w:ascii="Calibri" w:hAnsi="Calibri" w:eastAsia="Calibri" w:cs="Calibri" w:asciiTheme="minorAscii" w:hAnsiTheme="minorAscii" w:eastAsiaTheme="minorAscii" w:cstheme="minorAscii"/>
          <w:b w:val="0"/>
          <w:bCs w:val="0"/>
          <w:noProof w:val="0"/>
          <w:sz w:val="24"/>
          <w:szCs w:val="24"/>
          <w:lang w:val="en-GB"/>
        </w:rPr>
        <w:t xml:space="preserve"> targeted support, we </w:t>
      </w:r>
      <w:r w:rsidRPr="060F3EE5" w:rsidR="7C29D818">
        <w:rPr>
          <w:rFonts w:ascii="Calibri" w:hAnsi="Calibri" w:eastAsia="Calibri" w:cs="Calibri" w:asciiTheme="minorAscii" w:hAnsiTheme="minorAscii" w:eastAsiaTheme="minorAscii" w:cstheme="minorAscii"/>
          <w:b w:val="0"/>
          <w:bCs w:val="0"/>
          <w:noProof w:val="0"/>
          <w:sz w:val="24"/>
          <w:szCs w:val="24"/>
          <w:lang w:val="en-GB"/>
        </w:rPr>
        <w:t>utilize</w:t>
      </w:r>
      <w:r w:rsidRPr="060F3EE5" w:rsidR="7C29D818">
        <w:rPr>
          <w:rFonts w:ascii="Calibri" w:hAnsi="Calibri" w:eastAsia="Calibri" w:cs="Calibri" w:asciiTheme="minorAscii" w:hAnsiTheme="minorAscii" w:eastAsiaTheme="minorAscii" w:cstheme="minorAscii"/>
          <w:b w:val="0"/>
          <w:bCs w:val="0"/>
          <w:noProof w:val="0"/>
          <w:sz w:val="24"/>
          <w:szCs w:val="24"/>
          <w:lang w:val="en-GB"/>
        </w:rPr>
        <w:t xml:space="preserve"> the </w:t>
      </w:r>
      <w:r w:rsidRPr="060F3EE5" w:rsidR="7C29D818">
        <w:rPr>
          <w:rFonts w:ascii="Calibri" w:hAnsi="Calibri" w:eastAsia="Calibri" w:cs="Calibri" w:asciiTheme="minorAscii" w:hAnsiTheme="minorAscii" w:eastAsiaTheme="minorAscii" w:cstheme="minorAscii"/>
          <w:b w:val="0"/>
          <w:bCs w:val="0"/>
          <w:noProof w:val="0"/>
          <w:sz w:val="24"/>
          <w:szCs w:val="24"/>
          <w:lang w:val="en-GB"/>
        </w:rPr>
        <w:t>All Wales Weight</w:t>
      </w:r>
      <w:r w:rsidRPr="060F3EE5" w:rsidR="7C29D818">
        <w:rPr>
          <w:rFonts w:ascii="Calibri" w:hAnsi="Calibri" w:eastAsia="Calibri" w:cs="Calibri" w:asciiTheme="minorAscii" w:hAnsiTheme="minorAscii" w:eastAsiaTheme="minorAscii" w:cstheme="minorAscii"/>
          <w:b w:val="0"/>
          <w:bCs w:val="0"/>
          <w:noProof w:val="0"/>
          <w:sz w:val="24"/>
          <w:szCs w:val="24"/>
          <w:lang w:val="en-GB"/>
        </w:rPr>
        <w:t xml:space="preserve"> Management Pathway, referring families to community </w:t>
      </w:r>
      <w:r w:rsidRPr="060F3EE5" w:rsidR="7271DA51">
        <w:rPr>
          <w:rFonts w:ascii="Calibri" w:hAnsi="Calibri" w:eastAsia="Calibri" w:cs="Calibri" w:asciiTheme="minorAscii" w:hAnsiTheme="minorAscii" w:eastAsiaTheme="minorAscii" w:cstheme="minorAscii"/>
          <w:b w:val="0"/>
          <w:bCs w:val="0"/>
          <w:noProof w:val="0"/>
          <w:sz w:val="24"/>
          <w:szCs w:val="24"/>
          <w:lang w:val="en-GB"/>
        </w:rPr>
        <w:t>paediatric</w:t>
      </w:r>
      <w:r w:rsidRPr="060F3EE5" w:rsidR="7C29D818">
        <w:rPr>
          <w:rFonts w:ascii="Calibri" w:hAnsi="Calibri" w:eastAsia="Calibri" w:cs="Calibri" w:asciiTheme="minorAscii" w:hAnsiTheme="minorAscii" w:eastAsiaTheme="minorAscii" w:cstheme="minorAscii"/>
          <w:b w:val="0"/>
          <w:bCs w:val="0"/>
          <w:noProof w:val="0"/>
          <w:sz w:val="24"/>
          <w:szCs w:val="24"/>
          <w:lang w:val="en-GB"/>
        </w:rPr>
        <w:t xml:space="preserve"> dietitians or speciali</w:t>
      </w:r>
      <w:r w:rsidRPr="060F3EE5" w:rsidR="68D9BC51">
        <w:rPr>
          <w:rFonts w:ascii="Calibri" w:hAnsi="Calibri" w:eastAsia="Calibri" w:cs="Calibri" w:asciiTheme="minorAscii" w:hAnsiTheme="minorAscii" w:eastAsiaTheme="minorAscii" w:cstheme="minorAscii"/>
          <w:b w:val="0"/>
          <w:bCs w:val="0"/>
          <w:noProof w:val="0"/>
          <w:sz w:val="24"/>
          <w:szCs w:val="24"/>
          <w:lang w:val="en-GB"/>
        </w:rPr>
        <w:t>s</w:t>
      </w:r>
      <w:r w:rsidRPr="060F3EE5" w:rsidR="7C29D818">
        <w:rPr>
          <w:rFonts w:ascii="Calibri" w:hAnsi="Calibri" w:eastAsia="Calibri" w:cs="Calibri" w:asciiTheme="minorAscii" w:hAnsiTheme="minorAscii" w:eastAsiaTheme="minorAscii" w:cstheme="minorAscii"/>
          <w:b w:val="0"/>
          <w:bCs w:val="0"/>
          <w:noProof w:val="0"/>
          <w:sz w:val="24"/>
          <w:szCs w:val="24"/>
          <w:lang w:val="en-GB"/>
        </w:rPr>
        <w:t>ed family weight services. We also maximize the uptake of the Healthy Start Scheme, which provides financial vouchers for fresh milk, fruit, and vegetables to low-income families. By working seamlessly with health, social care, and community leaders, we create a robust ecological safety net that supports the whole family, not just the child.</w:t>
      </w:r>
    </w:p>
    <w:p w:rsidR="7C29D818" w:rsidP="2FD6D6E1" w:rsidRDefault="7C29D818" w14:paraId="023A6FF2" w14:textId="76A2C911">
      <w:pPr>
        <w:spacing w:line="360" w:lineRule="auto"/>
        <w:rPr>
          <w:rFonts w:ascii="Calibri" w:hAnsi="Calibri" w:eastAsia="Calibri" w:cs="Calibri" w:asciiTheme="minorAscii" w:hAnsiTheme="minorAscii" w:eastAsiaTheme="minorAscii" w:cstheme="minorAscii"/>
          <w:b w:val="0"/>
          <w:bCs w:val="0"/>
          <w:noProof w:val="0"/>
          <w:sz w:val="24"/>
          <w:szCs w:val="24"/>
          <w:lang w:val="en-GB"/>
        </w:rPr>
      </w:pPr>
      <w:r w:rsidRPr="2FD6D6E1" w:rsidR="7C29D818">
        <w:rPr>
          <w:rFonts w:ascii="Calibri" w:hAnsi="Calibri" w:eastAsia="Calibri" w:cs="Calibri" w:asciiTheme="minorAscii" w:hAnsiTheme="minorAscii" w:eastAsiaTheme="minorAscii" w:cstheme="minorAscii"/>
          <w:b w:val="0"/>
          <w:bCs w:val="0"/>
          <w:noProof w:val="0"/>
          <w:sz w:val="24"/>
          <w:szCs w:val="24"/>
          <w:lang w:val="en-GB"/>
        </w:rPr>
        <w:t>To conclude, childhood obesity in South Wales is a complex, systemic issue deeply tied to socio-economic deprivation, but it is entirely preventable. By intervening in the early years, we can fundamentally change the trajectory of a child's life.</w:t>
      </w:r>
    </w:p>
    <w:p w:rsidR="7C29D818" w:rsidP="2FD6D6E1" w:rsidRDefault="7C29D818" w14:paraId="13ECCFF2" w14:textId="1EAF7384">
      <w:pPr>
        <w:spacing w:line="360" w:lineRule="auto"/>
        <w:rPr>
          <w:rFonts w:ascii="Calibri" w:hAnsi="Calibri" w:eastAsia="Calibri" w:cs="Calibri" w:asciiTheme="minorAscii" w:hAnsiTheme="minorAscii" w:eastAsiaTheme="minorAscii" w:cstheme="minorAscii"/>
          <w:b w:val="0"/>
          <w:bCs w:val="0"/>
          <w:noProof w:val="0"/>
          <w:sz w:val="24"/>
          <w:szCs w:val="24"/>
          <w:lang w:val="en-GB"/>
        </w:rPr>
      </w:pPr>
      <w:r w:rsidRPr="2FD6D6E1" w:rsidR="7C29D818">
        <w:rPr>
          <w:rFonts w:ascii="Calibri" w:hAnsi="Calibri" w:eastAsia="Calibri" w:cs="Calibri" w:asciiTheme="minorAscii" w:hAnsiTheme="minorAscii" w:eastAsiaTheme="minorAscii" w:cstheme="minorAscii"/>
          <w:b w:val="0"/>
          <w:bCs w:val="0"/>
          <w:noProof w:val="0"/>
          <w:sz w:val="24"/>
          <w:szCs w:val="24"/>
          <w:lang w:val="en-GB"/>
        </w:rPr>
        <w:t>Through a combination of nurturing physical environments, supportive parental partnerships that bridge the home-to-setting mesosystem, and strong multi-agency collaboration, we can ensure that every child in Wales gets the healthy, active start they deserve.</w:t>
      </w:r>
    </w:p>
    <w:p w:rsidR="7C29D818" w:rsidP="2FD6D6E1" w:rsidRDefault="7C29D818" w14:paraId="1E08E753" w14:textId="116DABEB">
      <w:pPr>
        <w:spacing w:line="360" w:lineRule="auto"/>
        <w:rPr>
          <w:rFonts w:ascii="Calibri" w:hAnsi="Calibri" w:eastAsia="Calibri" w:cs="Calibri" w:asciiTheme="minorAscii" w:hAnsiTheme="minorAscii" w:eastAsiaTheme="minorAscii" w:cstheme="minorAscii"/>
          <w:b w:val="0"/>
          <w:bCs w:val="0"/>
          <w:noProof w:val="0"/>
          <w:sz w:val="24"/>
          <w:szCs w:val="24"/>
          <w:lang w:val="en-GB"/>
        </w:rPr>
      </w:pPr>
      <w:r w:rsidRPr="2FD6D6E1" w:rsidR="7C29D818">
        <w:rPr>
          <w:rFonts w:ascii="Calibri" w:hAnsi="Calibri" w:eastAsia="Calibri" w:cs="Calibri" w:asciiTheme="minorAscii" w:hAnsiTheme="minorAscii" w:eastAsiaTheme="minorAscii" w:cstheme="minorAscii"/>
          <w:b w:val="0"/>
          <w:bCs w:val="0"/>
          <w:noProof w:val="0"/>
          <w:sz w:val="24"/>
          <w:szCs w:val="24"/>
          <w:lang w:val="en-GB"/>
        </w:rPr>
        <w:t>Thank you for listening. I will now open the floor to any questions.</w:t>
      </w:r>
    </w:p>
    <w:p w:rsidR="2FD6D6E1" w:rsidP="2FD6D6E1" w:rsidRDefault="2FD6D6E1" w14:paraId="7DD8949E" w14:textId="6502A0DD">
      <w:pPr>
        <w:spacing w:line="360" w:lineRule="auto"/>
        <w:rPr>
          <w:rFonts w:ascii="Calibri" w:hAnsi="Calibri" w:eastAsia="Calibri" w:cs="Calibri" w:asciiTheme="minorAscii" w:hAnsiTheme="minorAscii" w:eastAsiaTheme="minorAscii" w:cstheme="minorAscii"/>
          <w:b w:val="1"/>
          <w:bCs w:val="1"/>
          <w:noProof w:val="0"/>
          <w:color w:val="auto"/>
          <w:sz w:val="24"/>
          <w:szCs w:val="24"/>
          <w:lang w:val="en-GB"/>
        </w:rPr>
      </w:pPr>
    </w:p>
    <w:p w:rsidR="2FD6D6E1" w:rsidP="2FD6D6E1" w:rsidRDefault="2FD6D6E1" w14:paraId="65DB26FF" w14:textId="308A8228">
      <w:pPr>
        <w:spacing w:line="360" w:lineRule="auto"/>
        <w:rPr>
          <w:rFonts w:ascii="Calibri" w:hAnsi="Calibri" w:eastAsia="Calibri" w:cs="Calibri" w:asciiTheme="minorAscii" w:hAnsiTheme="minorAscii" w:eastAsiaTheme="minorAscii" w:cstheme="minorAscii"/>
          <w:b w:val="1"/>
          <w:bCs w:val="1"/>
          <w:noProof w:val="0"/>
          <w:color w:val="auto"/>
          <w:sz w:val="24"/>
          <w:szCs w:val="24"/>
          <w:lang w:val="en-GB"/>
        </w:rPr>
      </w:pPr>
    </w:p>
    <w:p w:rsidR="2FD6D6E1" w:rsidP="2FD6D6E1" w:rsidRDefault="2FD6D6E1" w14:paraId="0BD9656A" w14:textId="0DF7AF89">
      <w:pPr>
        <w:spacing w:line="360" w:lineRule="auto"/>
        <w:rPr>
          <w:rFonts w:ascii="Calibri" w:hAnsi="Calibri" w:eastAsia="Calibri" w:cs="Calibri" w:asciiTheme="minorAscii" w:hAnsiTheme="minorAscii" w:eastAsiaTheme="minorAscii" w:cstheme="minorAscii"/>
          <w:b w:val="1"/>
          <w:bCs w:val="1"/>
          <w:noProof w:val="0"/>
          <w:color w:val="auto"/>
          <w:sz w:val="24"/>
          <w:szCs w:val="24"/>
          <w:lang w:val="en-GB"/>
        </w:rPr>
      </w:pPr>
    </w:p>
    <w:p w:rsidR="2FD6D6E1" w:rsidP="2FD6D6E1" w:rsidRDefault="2FD6D6E1" w14:paraId="57369DE3" w14:textId="5E0FBB8E">
      <w:pPr>
        <w:spacing w:line="360" w:lineRule="auto"/>
        <w:rPr>
          <w:rFonts w:ascii="Calibri" w:hAnsi="Calibri" w:eastAsia="Calibri" w:cs="Calibri" w:asciiTheme="minorAscii" w:hAnsiTheme="minorAscii" w:eastAsiaTheme="minorAscii" w:cstheme="minorAscii"/>
          <w:b w:val="1"/>
          <w:bCs w:val="1"/>
          <w:noProof w:val="0"/>
          <w:color w:val="auto"/>
          <w:sz w:val="24"/>
          <w:szCs w:val="24"/>
          <w:lang w:val="en-GB"/>
        </w:rPr>
      </w:pPr>
    </w:p>
    <w:p w:rsidR="2FD6D6E1" w:rsidP="2FD6D6E1" w:rsidRDefault="2FD6D6E1" w14:paraId="5FA280C0" w14:textId="5BA25324">
      <w:pPr>
        <w:spacing w:line="360" w:lineRule="auto"/>
        <w:rPr>
          <w:rFonts w:ascii="Calibri" w:hAnsi="Calibri" w:eastAsia="Calibri" w:cs="Calibri" w:asciiTheme="minorAscii" w:hAnsiTheme="minorAscii" w:eastAsiaTheme="minorAscii" w:cstheme="minorAscii"/>
          <w:b w:val="1"/>
          <w:bCs w:val="1"/>
          <w:noProof w:val="0"/>
          <w:color w:val="auto"/>
          <w:sz w:val="24"/>
          <w:szCs w:val="24"/>
          <w:lang w:val="en-GB"/>
        </w:rPr>
      </w:pPr>
    </w:p>
    <w:p w:rsidR="2FD6D6E1" w:rsidP="2FD6D6E1" w:rsidRDefault="2FD6D6E1" w14:paraId="2EA3ACBB" w14:textId="1815EF5F">
      <w:pPr>
        <w:spacing w:line="360" w:lineRule="auto"/>
        <w:rPr>
          <w:rFonts w:ascii="Calibri" w:hAnsi="Calibri" w:eastAsia="Calibri" w:cs="Calibri" w:asciiTheme="minorAscii" w:hAnsiTheme="minorAscii" w:eastAsiaTheme="minorAscii" w:cstheme="minorAscii"/>
          <w:b w:val="1"/>
          <w:bCs w:val="1"/>
          <w:noProof w:val="0"/>
          <w:color w:val="auto"/>
          <w:sz w:val="24"/>
          <w:szCs w:val="24"/>
          <w:lang w:val="en-GB"/>
        </w:rPr>
      </w:pPr>
    </w:p>
    <w:p w:rsidR="2FD6D6E1" w:rsidP="2FD6D6E1" w:rsidRDefault="2FD6D6E1" w14:paraId="672D47C3" w14:textId="0A97948B">
      <w:pPr>
        <w:spacing w:line="360" w:lineRule="auto"/>
        <w:rPr>
          <w:rFonts w:ascii="Calibri" w:hAnsi="Calibri" w:eastAsia="Calibri" w:cs="Calibri" w:asciiTheme="minorAscii" w:hAnsiTheme="minorAscii" w:eastAsiaTheme="minorAscii" w:cstheme="minorAscii"/>
          <w:b w:val="1"/>
          <w:bCs w:val="1"/>
          <w:noProof w:val="0"/>
          <w:color w:val="auto"/>
          <w:sz w:val="24"/>
          <w:szCs w:val="24"/>
          <w:lang w:val="en-GB"/>
        </w:rPr>
      </w:pPr>
    </w:p>
    <w:p w:rsidR="2FD6D6E1" w:rsidP="2FD6D6E1" w:rsidRDefault="2FD6D6E1" w14:paraId="2270437A" w14:textId="2D7B5617">
      <w:pPr>
        <w:spacing w:line="360" w:lineRule="auto"/>
        <w:rPr>
          <w:rFonts w:ascii="Calibri" w:hAnsi="Calibri" w:eastAsia="Calibri" w:cs="Calibri" w:asciiTheme="minorAscii" w:hAnsiTheme="minorAscii" w:eastAsiaTheme="minorAscii" w:cstheme="minorAscii"/>
          <w:b w:val="1"/>
          <w:bCs w:val="1"/>
          <w:noProof w:val="0"/>
          <w:color w:val="auto"/>
          <w:sz w:val="24"/>
          <w:szCs w:val="24"/>
          <w:lang w:val="en-GB"/>
        </w:rPr>
      </w:pPr>
    </w:p>
    <w:p w:rsidR="2FD6D6E1" w:rsidP="2FD6D6E1" w:rsidRDefault="2FD6D6E1" w14:paraId="3FC7578A" w14:textId="13AA0021">
      <w:pPr>
        <w:spacing w:line="360" w:lineRule="auto"/>
        <w:rPr>
          <w:rFonts w:ascii="Calibri" w:hAnsi="Calibri" w:eastAsia="Calibri" w:cs="Calibri" w:asciiTheme="minorAscii" w:hAnsiTheme="minorAscii" w:eastAsiaTheme="minorAscii" w:cstheme="minorAscii"/>
          <w:b w:val="1"/>
          <w:bCs w:val="1"/>
          <w:noProof w:val="0"/>
          <w:color w:val="auto"/>
          <w:sz w:val="24"/>
          <w:szCs w:val="24"/>
          <w:lang w:val="en-GB"/>
        </w:rPr>
      </w:pPr>
    </w:p>
    <w:p w:rsidR="2FD6D6E1" w:rsidP="2FD6D6E1" w:rsidRDefault="2FD6D6E1" w14:paraId="67EC67B4" w14:textId="67536896">
      <w:pPr>
        <w:spacing w:line="360" w:lineRule="auto"/>
        <w:rPr>
          <w:rFonts w:ascii="Calibri" w:hAnsi="Calibri" w:eastAsia="Calibri" w:cs="Calibri" w:asciiTheme="minorAscii" w:hAnsiTheme="minorAscii" w:eastAsiaTheme="minorAscii" w:cstheme="minorAscii"/>
          <w:b w:val="1"/>
          <w:bCs w:val="1"/>
          <w:noProof w:val="0"/>
          <w:color w:val="auto"/>
          <w:sz w:val="24"/>
          <w:szCs w:val="24"/>
          <w:lang w:val="en-GB"/>
        </w:rPr>
      </w:pPr>
    </w:p>
    <w:p w:rsidR="2FD6D6E1" w:rsidP="2FD6D6E1" w:rsidRDefault="2FD6D6E1" w14:paraId="5A5DE0F7" w14:textId="5B10AD28">
      <w:pPr>
        <w:spacing w:line="360" w:lineRule="auto"/>
        <w:rPr>
          <w:rFonts w:ascii="Calibri" w:hAnsi="Calibri" w:eastAsia="Calibri" w:cs="Calibri" w:asciiTheme="minorAscii" w:hAnsiTheme="minorAscii" w:eastAsiaTheme="minorAscii" w:cstheme="minorAscii"/>
          <w:b w:val="1"/>
          <w:bCs w:val="1"/>
          <w:noProof w:val="0"/>
          <w:color w:val="auto"/>
          <w:sz w:val="24"/>
          <w:szCs w:val="24"/>
          <w:lang w:val="en-GB"/>
        </w:rPr>
      </w:pPr>
    </w:p>
    <w:p w:rsidR="2FD6D6E1" w:rsidP="2FD6D6E1" w:rsidRDefault="2FD6D6E1" w14:paraId="7A371697" w14:textId="76054517">
      <w:pPr>
        <w:spacing w:line="360" w:lineRule="auto"/>
        <w:rPr>
          <w:rFonts w:ascii="Calibri" w:hAnsi="Calibri" w:eastAsia="Calibri" w:cs="Calibri" w:asciiTheme="minorAscii" w:hAnsiTheme="minorAscii" w:eastAsiaTheme="minorAscii" w:cstheme="minorAscii"/>
          <w:b w:val="1"/>
          <w:bCs w:val="1"/>
          <w:noProof w:val="0"/>
          <w:color w:val="auto"/>
          <w:sz w:val="24"/>
          <w:szCs w:val="24"/>
          <w:lang w:val="en-GB"/>
        </w:rPr>
      </w:pPr>
    </w:p>
    <w:p w:rsidR="2FD6D6E1" w:rsidP="2FD6D6E1" w:rsidRDefault="2FD6D6E1" w14:paraId="6AF3B30F" w14:textId="386CA23D">
      <w:pPr>
        <w:spacing w:line="360" w:lineRule="auto"/>
        <w:rPr>
          <w:rFonts w:ascii="Calibri" w:hAnsi="Calibri" w:eastAsia="Calibri" w:cs="Calibri" w:asciiTheme="minorAscii" w:hAnsiTheme="minorAscii" w:eastAsiaTheme="minorAscii" w:cstheme="minorAscii"/>
          <w:b w:val="1"/>
          <w:bCs w:val="1"/>
          <w:noProof w:val="0"/>
          <w:color w:val="auto"/>
          <w:sz w:val="24"/>
          <w:szCs w:val="24"/>
          <w:lang w:val="en-GB"/>
        </w:rPr>
      </w:pPr>
    </w:p>
    <w:p w:rsidR="2FD6D6E1" w:rsidP="2FD6D6E1" w:rsidRDefault="2FD6D6E1" w14:paraId="37626D68" w14:textId="4AA8C697">
      <w:pPr>
        <w:pStyle w:val="Normal"/>
        <w:spacing w:line="360" w:lineRule="auto"/>
        <w:rPr>
          <w:rFonts w:ascii="Calibri" w:hAnsi="Calibri" w:eastAsia="Calibri" w:cs="Calibri" w:asciiTheme="minorAscii" w:hAnsiTheme="minorAscii" w:eastAsiaTheme="minorAscii" w:cstheme="minorAscii"/>
          <w:b w:val="1"/>
          <w:bCs w:val="1"/>
          <w:noProof w:val="0"/>
          <w:color w:val="auto"/>
          <w:sz w:val="24"/>
          <w:szCs w:val="24"/>
          <w:lang w:val="en-GB"/>
        </w:rPr>
      </w:pPr>
    </w:p>
    <w:p w:rsidR="7C29D818" w:rsidP="2FD6D6E1" w:rsidRDefault="7C29D818" w14:paraId="4E75D6BD" w14:textId="2DC76D0F">
      <w:pPr>
        <w:pStyle w:val="Normal"/>
        <w:spacing w:line="360" w:lineRule="auto"/>
        <w:rPr>
          <w:rFonts w:ascii="Calibri" w:hAnsi="Calibri" w:eastAsia="Calibri" w:cs="Calibri" w:asciiTheme="minorAscii" w:hAnsiTheme="minorAscii" w:eastAsiaTheme="minorAscii" w:cstheme="minorAscii"/>
          <w:noProof w:val="0"/>
          <w:color w:val="auto"/>
          <w:sz w:val="24"/>
          <w:szCs w:val="24"/>
          <w:lang w:val="en-GB"/>
        </w:rPr>
      </w:pPr>
      <w:r w:rsidRPr="2FD6D6E1" w:rsidR="7C29D818">
        <w:rPr>
          <w:rFonts w:ascii="Calibri" w:hAnsi="Calibri" w:eastAsia="Calibri" w:cs="Calibri" w:asciiTheme="minorAscii" w:hAnsiTheme="minorAscii" w:eastAsiaTheme="minorAscii" w:cstheme="minorAscii"/>
          <w:b w:val="1"/>
          <w:bCs w:val="1"/>
          <w:noProof w:val="0"/>
          <w:color w:val="auto"/>
          <w:sz w:val="24"/>
          <w:szCs w:val="24"/>
          <w:lang w:val="en-GB"/>
        </w:rPr>
        <w:t xml:space="preserve">References </w:t>
      </w:r>
    </w:p>
    <w:p w:rsidR="7233C806" w:rsidP="2FD6D6E1" w:rsidRDefault="7233C806" w14:paraId="3010453B" w14:textId="72299CFA">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lang w:val="en-GB"/>
        </w:rPr>
      </w:pPr>
      <w:r w:rsidRPr="2FD6D6E1" w:rsidR="7233C806">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lang w:val="en-GB"/>
        </w:rPr>
        <w:t xml:space="preserve">Bourdieu, P. (1984) Distinction: A social critique of the judgement of taste. London: Routledge. Available at: </w:t>
      </w:r>
      <w:hyperlink r:id="R9791cc240e0548a5">
        <w:r w:rsidRPr="2FD6D6E1" w:rsidR="7233C806">
          <w:rPr>
            <w:rStyle w:val="Hyperlink"/>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lang w:val="en-GB"/>
          </w:rPr>
          <w:t>https://monoskop.org/images/e/e0/Pierre_Bourdieu_Distinction_A_Social_Critique_of_the_Judgement_of_Taste_1984.pdf</w:t>
        </w:r>
      </w:hyperlink>
      <w:r w:rsidRPr="2FD6D6E1" w:rsidR="7233C806">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lang w:val="en-GB"/>
        </w:rPr>
        <w:t xml:space="preserve"> (Accessed: 13 June 2026).</w:t>
      </w:r>
    </w:p>
    <w:p w:rsidR="7DD054AC" w:rsidP="2FD6D6E1" w:rsidRDefault="7DD054AC" w14:paraId="2E1BF3FA" w14:textId="02774076">
      <w:pPr>
        <w:spacing w:line="360" w:lineRule="auto"/>
        <w:rPr>
          <w:rFonts w:ascii="Calibri" w:hAnsi="Calibri" w:eastAsia="Calibri" w:cs="Calibri" w:asciiTheme="minorAscii" w:hAnsiTheme="minorAscii" w:eastAsiaTheme="minorAscii" w:cstheme="minorAscii"/>
          <w:noProof w:val="0"/>
          <w:sz w:val="24"/>
          <w:szCs w:val="24"/>
          <w:lang w:val="en-GB"/>
        </w:rPr>
      </w:pPr>
      <w:r w:rsidRPr="2FD6D6E1" w:rsidR="7DD054AC">
        <w:rPr>
          <w:rFonts w:ascii="Calibri" w:hAnsi="Calibri" w:eastAsia="Calibri" w:cs="Calibri" w:asciiTheme="minorAscii" w:hAnsiTheme="minorAscii" w:eastAsiaTheme="minorAscii" w:cstheme="minorAscii"/>
          <w:noProof w:val="0"/>
          <w:sz w:val="24"/>
          <w:szCs w:val="24"/>
          <w:lang w:val="en-GB"/>
        </w:rPr>
        <w:t xml:space="preserve">Bronfenbrenner, U. (1979) </w:t>
      </w:r>
      <w:r w:rsidRPr="2FD6D6E1" w:rsidR="7DD054AC">
        <w:rPr>
          <w:rFonts w:ascii="Calibri" w:hAnsi="Calibri" w:eastAsia="Calibri" w:cs="Calibri" w:asciiTheme="minorAscii" w:hAnsiTheme="minorAscii" w:eastAsiaTheme="minorAscii" w:cstheme="minorAscii"/>
          <w:i w:val="1"/>
          <w:iCs w:val="1"/>
          <w:noProof w:val="0"/>
          <w:sz w:val="24"/>
          <w:szCs w:val="24"/>
          <w:lang w:val="en-GB"/>
        </w:rPr>
        <w:t>The ecology of human development: Experiments by nature and design</w:t>
      </w:r>
      <w:r w:rsidRPr="2FD6D6E1" w:rsidR="7DD054AC">
        <w:rPr>
          <w:rFonts w:ascii="Calibri" w:hAnsi="Calibri" w:eastAsia="Calibri" w:cs="Calibri" w:asciiTheme="minorAscii" w:hAnsiTheme="minorAscii" w:eastAsiaTheme="minorAscii" w:cstheme="minorAscii"/>
          <w:noProof w:val="0"/>
          <w:sz w:val="24"/>
          <w:szCs w:val="24"/>
          <w:lang w:val="en-GB"/>
        </w:rPr>
        <w:t>. Cambridge, MA: Harvard University Press.</w:t>
      </w:r>
      <w:r>
        <w:br/>
      </w:r>
      <w:hyperlink r:id="Rea9f8de17b1145a7">
        <w:r w:rsidRPr="2FD6D6E1" w:rsidR="107DD25B">
          <w:rPr>
            <w:rStyle w:val="Hyperlink"/>
            <w:rFonts w:ascii="Calibri" w:hAnsi="Calibri" w:eastAsia="Calibri" w:cs="Calibri" w:asciiTheme="minorAscii" w:hAnsiTheme="minorAscii" w:eastAsiaTheme="minorAscii" w:cstheme="minorAscii"/>
            <w:noProof w:val="0"/>
            <w:sz w:val="24"/>
            <w:szCs w:val="24"/>
            <w:lang w:val="en-GB"/>
          </w:rPr>
          <w:t>https://books.google.co.uk/books?hl=en&amp;lr=&amp;id=kfsvEQAAQBAJ&amp;oi=fnd&amp;pg=PA325&amp;dq=Bronfenbrenner,+U.+(1979)+The+ecology+of+human+development:+Experiments+by+nature+and+design.+Cambridge,+MA:+Harvard+University+Press.&amp;ots=IVy2rR9bNq&amp;sig=pKl9CU46jJ9IfHuW3I_DHfCredw#v=onepage&amp;q&amp;f=false</w:t>
        </w:r>
      </w:hyperlink>
      <w:r w:rsidRPr="2FD6D6E1" w:rsidR="107DD25B">
        <w:rPr>
          <w:rFonts w:ascii="Calibri" w:hAnsi="Calibri" w:eastAsia="Calibri" w:cs="Calibri" w:asciiTheme="minorAscii" w:hAnsiTheme="minorAscii" w:eastAsiaTheme="minorAscii" w:cstheme="minorAscii"/>
          <w:noProof w:val="0"/>
          <w:sz w:val="24"/>
          <w:szCs w:val="24"/>
          <w:lang w:val="en-GB"/>
        </w:rPr>
        <w:t xml:space="preserve"> </w:t>
      </w:r>
    </w:p>
    <w:p w:rsidR="7DD054AC" w:rsidP="2FD6D6E1" w:rsidRDefault="7DD054AC" w14:paraId="6BDB4AD8" w14:textId="41339119">
      <w:pPr>
        <w:spacing w:line="360" w:lineRule="auto"/>
        <w:rPr>
          <w:rFonts w:ascii="Calibri" w:hAnsi="Calibri" w:eastAsia="Calibri" w:cs="Calibri" w:asciiTheme="minorAscii" w:hAnsiTheme="minorAscii" w:eastAsiaTheme="minorAscii" w:cstheme="minorAscii"/>
          <w:noProof w:val="0"/>
          <w:sz w:val="24"/>
          <w:szCs w:val="24"/>
          <w:lang w:val="en-GB"/>
        </w:rPr>
      </w:pPr>
      <w:r w:rsidRPr="2FD6D6E1" w:rsidR="7DD054AC">
        <w:rPr>
          <w:rFonts w:ascii="Calibri" w:hAnsi="Calibri" w:eastAsia="Calibri" w:cs="Calibri" w:asciiTheme="minorAscii" w:hAnsiTheme="minorAscii" w:eastAsiaTheme="minorAscii" w:cstheme="minorAscii"/>
          <w:noProof w:val="0"/>
          <w:sz w:val="24"/>
          <w:szCs w:val="24"/>
          <w:lang w:val="en-GB"/>
        </w:rPr>
        <w:t xml:space="preserve">Health and Care Research Wales Evidence Centre (2025) </w:t>
      </w:r>
      <w:r w:rsidRPr="2FD6D6E1" w:rsidR="7DD054AC">
        <w:rPr>
          <w:rFonts w:ascii="Calibri" w:hAnsi="Calibri" w:eastAsia="Calibri" w:cs="Calibri" w:asciiTheme="minorAscii" w:hAnsiTheme="minorAscii" w:eastAsiaTheme="minorAscii" w:cstheme="minorAscii"/>
          <w:i w:val="1"/>
          <w:iCs w:val="1"/>
          <w:noProof w:val="0"/>
          <w:sz w:val="24"/>
          <w:szCs w:val="24"/>
          <w:lang w:val="en-GB"/>
        </w:rPr>
        <w:t>Factors associated with overweight and obesity in children under five years old: A rapid review</w:t>
      </w:r>
      <w:r w:rsidRPr="2FD6D6E1" w:rsidR="7DD054AC">
        <w:rPr>
          <w:rFonts w:ascii="Calibri" w:hAnsi="Calibri" w:eastAsia="Calibri" w:cs="Calibri" w:asciiTheme="minorAscii" w:hAnsiTheme="minorAscii" w:eastAsiaTheme="minorAscii" w:cstheme="minorAscii"/>
          <w:noProof w:val="0"/>
          <w:sz w:val="24"/>
          <w:szCs w:val="24"/>
          <w:lang w:val="en-GB"/>
        </w:rPr>
        <w:t xml:space="preserve">. Cardiff: Health Technology Wales. Available at: </w:t>
      </w:r>
      <w:hyperlink r:id="R71c508e51d694c4c">
        <w:r w:rsidRPr="2FD6D6E1" w:rsidR="7DD054AC">
          <w:rPr>
            <w:rStyle w:val="Hyperlink"/>
            <w:rFonts w:ascii="Calibri" w:hAnsi="Calibri" w:eastAsia="Calibri" w:cs="Calibri" w:asciiTheme="minorAscii" w:hAnsiTheme="minorAscii" w:eastAsiaTheme="minorAscii" w:cstheme="minorAscii"/>
            <w:noProof w:val="0"/>
            <w:sz w:val="24"/>
            <w:szCs w:val="24"/>
            <w:lang w:val="en-GB"/>
          </w:rPr>
          <w:t>https://researchwalesevidencecentre.co.uk/sites/default/files/2024-12/Early_Childhood_Obesity_Infographic_Dec24.pdf</w:t>
        </w:r>
      </w:hyperlink>
      <w:r w:rsidRPr="2FD6D6E1" w:rsidR="7DD054AC">
        <w:rPr>
          <w:rFonts w:ascii="Calibri" w:hAnsi="Calibri" w:eastAsia="Calibri" w:cs="Calibri" w:asciiTheme="minorAscii" w:hAnsiTheme="minorAscii" w:eastAsiaTheme="minorAscii" w:cstheme="minorAscii"/>
          <w:noProof w:val="0"/>
          <w:sz w:val="24"/>
          <w:szCs w:val="24"/>
          <w:lang w:val="en-GB"/>
        </w:rPr>
        <w:t xml:space="preserve"> (Accessed: 13 June 2026).</w:t>
      </w:r>
    </w:p>
    <w:p w:rsidR="7DD054AC" w:rsidP="2FD6D6E1" w:rsidRDefault="7DD054AC" w14:paraId="0CFD744C" w14:textId="5864E4AA">
      <w:pPr>
        <w:spacing w:line="360" w:lineRule="auto"/>
        <w:rPr>
          <w:rFonts w:ascii="Calibri" w:hAnsi="Calibri" w:eastAsia="Calibri" w:cs="Calibri" w:asciiTheme="minorAscii" w:hAnsiTheme="minorAscii" w:eastAsiaTheme="minorAscii" w:cstheme="minorAscii"/>
          <w:noProof w:val="0"/>
          <w:sz w:val="24"/>
          <w:szCs w:val="24"/>
          <w:lang w:val="en-GB"/>
        </w:rPr>
      </w:pPr>
      <w:r w:rsidRPr="2FD6D6E1" w:rsidR="7DD054AC">
        <w:rPr>
          <w:rFonts w:ascii="Calibri" w:hAnsi="Calibri" w:eastAsia="Calibri" w:cs="Calibri" w:asciiTheme="minorAscii" w:hAnsiTheme="minorAscii" w:eastAsiaTheme="minorAscii" w:cstheme="minorAscii"/>
          <w:noProof w:val="0"/>
          <w:sz w:val="24"/>
          <w:szCs w:val="24"/>
          <w:lang w:val="en-GB"/>
        </w:rPr>
        <w:t xml:space="preserve">Marmot, M. (2020) </w:t>
      </w:r>
      <w:r w:rsidRPr="2FD6D6E1" w:rsidR="7DD054AC">
        <w:rPr>
          <w:rFonts w:ascii="Calibri" w:hAnsi="Calibri" w:eastAsia="Calibri" w:cs="Calibri" w:asciiTheme="minorAscii" w:hAnsiTheme="minorAscii" w:eastAsiaTheme="minorAscii" w:cstheme="minorAscii"/>
          <w:i w:val="1"/>
          <w:iCs w:val="1"/>
          <w:noProof w:val="0"/>
          <w:sz w:val="24"/>
          <w:szCs w:val="24"/>
          <w:lang w:val="en-GB"/>
        </w:rPr>
        <w:t>Health equity in England: The Marmot Review 10 years on</w:t>
      </w:r>
      <w:r w:rsidRPr="2FD6D6E1" w:rsidR="7DD054AC">
        <w:rPr>
          <w:rFonts w:ascii="Calibri" w:hAnsi="Calibri" w:eastAsia="Calibri" w:cs="Calibri" w:asciiTheme="minorAscii" w:hAnsiTheme="minorAscii" w:eastAsiaTheme="minorAscii" w:cstheme="minorAscii"/>
          <w:noProof w:val="0"/>
          <w:sz w:val="24"/>
          <w:szCs w:val="24"/>
          <w:lang w:val="en-GB"/>
        </w:rPr>
        <w:t xml:space="preserve">. London: Institute of Health Equity. Available at: </w:t>
      </w:r>
      <w:hyperlink r:id="Rf4898b11d4e340ff">
        <w:r w:rsidRPr="2FD6D6E1" w:rsidR="7DD054AC">
          <w:rPr>
            <w:rStyle w:val="Hyperlink"/>
            <w:rFonts w:ascii="Calibri" w:hAnsi="Calibri" w:eastAsia="Calibri" w:cs="Calibri" w:asciiTheme="minorAscii" w:hAnsiTheme="minorAscii" w:eastAsiaTheme="minorAscii" w:cstheme="minorAscii"/>
            <w:noProof w:val="0"/>
            <w:sz w:val="24"/>
            <w:szCs w:val="24"/>
            <w:lang w:val="en-GB"/>
          </w:rPr>
          <w:t>https://www.instituteofhealthequity.org/the-marmot-review-10-years-on</w:t>
        </w:r>
      </w:hyperlink>
      <w:r w:rsidRPr="2FD6D6E1" w:rsidR="7DD054AC">
        <w:rPr>
          <w:rFonts w:ascii="Calibri" w:hAnsi="Calibri" w:eastAsia="Calibri" w:cs="Calibri" w:asciiTheme="minorAscii" w:hAnsiTheme="minorAscii" w:eastAsiaTheme="minorAscii" w:cstheme="minorAscii"/>
          <w:noProof w:val="0"/>
          <w:sz w:val="24"/>
          <w:szCs w:val="24"/>
          <w:lang w:val="en-GB"/>
        </w:rPr>
        <w:t xml:space="preserve"> (Accessed: 13 June 2026).</w:t>
      </w:r>
    </w:p>
    <w:p w:rsidR="7DD054AC" w:rsidP="2FD6D6E1" w:rsidRDefault="7DD054AC" w14:paraId="181EA5FF" w14:textId="1090713B">
      <w:pPr>
        <w:spacing w:line="360" w:lineRule="auto"/>
        <w:rPr>
          <w:rFonts w:ascii="Calibri" w:hAnsi="Calibri" w:eastAsia="Calibri" w:cs="Calibri" w:asciiTheme="minorAscii" w:hAnsiTheme="minorAscii" w:eastAsiaTheme="minorAscii" w:cstheme="minorAscii"/>
          <w:noProof w:val="0"/>
          <w:sz w:val="24"/>
          <w:szCs w:val="24"/>
          <w:lang w:val="en-GB"/>
        </w:rPr>
      </w:pPr>
      <w:r w:rsidRPr="2FD6D6E1" w:rsidR="7DD054AC">
        <w:rPr>
          <w:rFonts w:ascii="Calibri" w:hAnsi="Calibri" w:eastAsia="Calibri" w:cs="Calibri" w:asciiTheme="minorAscii" w:hAnsiTheme="minorAscii" w:eastAsiaTheme="minorAscii" w:cstheme="minorAscii"/>
          <w:noProof w:val="0"/>
          <w:sz w:val="24"/>
          <w:szCs w:val="24"/>
          <w:lang w:val="en-GB"/>
        </w:rPr>
        <w:t xml:space="preserve">Public Health Wales (2026a) </w:t>
      </w:r>
      <w:r w:rsidRPr="2FD6D6E1" w:rsidR="7DD054AC">
        <w:rPr>
          <w:rFonts w:ascii="Calibri" w:hAnsi="Calibri" w:eastAsia="Calibri" w:cs="Calibri" w:asciiTheme="minorAscii" w:hAnsiTheme="minorAscii" w:eastAsiaTheme="minorAscii" w:cstheme="minorAscii"/>
          <w:i w:val="1"/>
          <w:iCs w:val="1"/>
          <w:noProof w:val="0"/>
          <w:sz w:val="24"/>
          <w:szCs w:val="24"/>
          <w:lang w:val="en-GB"/>
        </w:rPr>
        <w:t>Child Measurement Programme for Wales: Epidemiological analysis of Reception-Age Cohorts</w:t>
      </w:r>
      <w:r w:rsidRPr="2FD6D6E1" w:rsidR="7DD054AC">
        <w:rPr>
          <w:rFonts w:ascii="Calibri" w:hAnsi="Calibri" w:eastAsia="Calibri" w:cs="Calibri" w:asciiTheme="minorAscii" w:hAnsiTheme="minorAscii" w:eastAsiaTheme="minorAscii" w:cstheme="minorAscii"/>
          <w:noProof w:val="0"/>
          <w:sz w:val="24"/>
          <w:szCs w:val="24"/>
          <w:lang w:val="en-GB"/>
        </w:rPr>
        <w:t xml:space="preserve">. Cardiff: Public Health Wales NHS Trust. Available at: </w:t>
      </w:r>
      <w:hyperlink r:id="R1e11ada1e9c04e38">
        <w:r w:rsidRPr="2FD6D6E1" w:rsidR="7DD054AC">
          <w:rPr>
            <w:rStyle w:val="Hyperlink"/>
            <w:rFonts w:ascii="Calibri" w:hAnsi="Calibri" w:eastAsia="Calibri" w:cs="Calibri" w:asciiTheme="minorAscii" w:hAnsiTheme="minorAscii" w:eastAsiaTheme="minorAscii" w:cstheme="minorAscii"/>
            <w:noProof w:val="0"/>
            <w:sz w:val="24"/>
            <w:szCs w:val="24"/>
            <w:lang w:val="en-GB"/>
          </w:rPr>
          <w:t>https://www.gov.wales/child-measurement-programme-september-2024-august-2025</w:t>
        </w:r>
      </w:hyperlink>
      <w:r w:rsidRPr="2FD6D6E1" w:rsidR="7DD054AC">
        <w:rPr>
          <w:rFonts w:ascii="Calibri" w:hAnsi="Calibri" w:eastAsia="Calibri" w:cs="Calibri" w:asciiTheme="minorAscii" w:hAnsiTheme="minorAscii" w:eastAsiaTheme="minorAscii" w:cstheme="minorAscii"/>
          <w:noProof w:val="0"/>
          <w:sz w:val="24"/>
          <w:szCs w:val="24"/>
          <w:lang w:val="en-GB"/>
        </w:rPr>
        <w:t xml:space="preserve"> (Accessed: 13 June 2026).</w:t>
      </w:r>
    </w:p>
    <w:p w:rsidR="7DD054AC" w:rsidP="2FD6D6E1" w:rsidRDefault="7DD054AC" w14:paraId="5F794121" w14:textId="6D067AB5">
      <w:pPr>
        <w:spacing w:line="360" w:lineRule="auto"/>
        <w:rPr>
          <w:rFonts w:ascii="Calibri" w:hAnsi="Calibri" w:eastAsia="Calibri" w:cs="Calibri" w:asciiTheme="minorAscii" w:hAnsiTheme="minorAscii" w:eastAsiaTheme="minorAscii" w:cstheme="minorAscii"/>
          <w:noProof w:val="0"/>
          <w:sz w:val="24"/>
          <w:szCs w:val="24"/>
          <w:lang w:val="en-GB"/>
        </w:rPr>
      </w:pPr>
      <w:r w:rsidRPr="2FD6D6E1" w:rsidR="7DD054AC">
        <w:rPr>
          <w:rFonts w:ascii="Calibri" w:hAnsi="Calibri" w:eastAsia="Calibri" w:cs="Calibri" w:asciiTheme="minorAscii" w:hAnsiTheme="minorAscii" w:eastAsiaTheme="minorAscii" w:cstheme="minorAscii"/>
          <w:noProof w:val="0"/>
          <w:sz w:val="24"/>
          <w:szCs w:val="24"/>
          <w:lang w:val="en-GB"/>
        </w:rPr>
        <w:t xml:space="preserve">Public Health Wales (2026b) </w:t>
      </w:r>
      <w:r w:rsidRPr="2FD6D6E1" w:rsidR="7DD054AC">
        <w:rPr>
          <w:rFonts w:ascii="Calibri" w:hAnsi="Calibri" w:eastAsia="Calibri" w:cs="Calibri" w:asciiTheme="minorAscii" w:hAnsiTheme="minorAscii" w:eastAsiaTheme="minorAscii" w:cstheme="minorAscii"/>
          <w:i w:val="1"/>
          <w:iCs w:val="1"/>
          <w:noProof w:val="0"/>
          <w:sz w:val="24"/>
          <w:szCs w:val="24"/>
          <w:lang w:val="en-GB"/>
        </w:rPr>
        <w:t>Influences on rapid weight gain during the first 1,000 days of life: A routine data analysis of Welsh cohorts</w:t>
      </w:r>
      <w:r w:rsidRPr="2FD6D6E1" w:rsidR="7DD054AC">
        <w:rPr>
          <w:rFonts w:ascii="Calibri" w:hAnsi="Calibri" w:eastAsia="Calibri" w:cs="Calibri" w:asciiTheme="minorAscii" w:hAnsiTheme="minorAscii" w:eastAsiaTheme="minorAscii" w:cstheme="minorAscii"/>
          <w:noProof w:val="0"/>
          <w:sz w:val="24"/>
          <w:szCs w:val="24"/>
          <w:lang w:val="en-GB"/>
        </w:rPr>
        <w:t xml:space="preserve">. Cardiff: Public Health Network Cymru. Available at: </w:t>
      </w:r>
      <w:hyperlink r:id="Rb146064316a24ccc">
        <w:r w:rsidRPr="2FD6D6E1" w:rsidR="7DD054AC">
          <w:rPr>
            <w:rStyle w:val="Hyperlink"/>
            <w:rFonts w:ascii="Calibri" w:hAnsi="Calibri" w:eastAsia="Calibri" w:cs="Calibri" w:asciiTheme="minorAscii" w:hAnsiTheme="minorAscii" w:eastAsiaTheme="minorAscii" w:cstheme="minorAscii"/>
            <w:noProof w:val="0"/>
            <w:sz w:val="24"/>
            <w:szCs w:val="24"/>
            <w:lang w:val="en-GB"/>
          </w:rPr>
          <w:t>https://phw.nhs.wales/data/child-measurement-programme-dashboard/</w:t>
        </w:r>
      </w:hyperlink>
      <w:r w:rsidRPr="2FD6D6E1" w:rsidR="7DD054AC">
        <w:rPr>
          <w:rFonts w:ascii="Calibri" w:hAnsi="Calibri" w:eastAsia="Calibri" w:cs="Calibri" w:asciiTheme="minorAscii" w:hAnsiTheme="minorAscii" w:eastAsiaTheme="minorAscii" w:cstheme="minorAscii"/>
          <w:noProof w:val="0"/>
          <w:sz w:val="24"/>
          <w:szCs w:val="24"/>
          <w:lang w:val="en-GB"/>
        </w:rPr>
        <w:t xml:space="preserve"> (Accessed: 13 June 2026).</w:t>
      </w:r>
    </w:p>
    <w:p w:rsidR="7DD054AC" w:rsidP="2FD6D6E1" w:rsidRDefault="7DD054AC" w14:paraId="3FE32673" w14:textId="788BBC47">
      <w:pPr>
        <w:spacing w:line="360" w:lineRule="auto"/>
        <w:rPr>
          <w:rFonts w:ascii="Calibri" w:hAnsi="Calibri" w:eastAsia="Calibri" w:cs="Calibri" w:asciiTheme="minorAscii" w:hAnsiTheme="minorAscii" w:eastAsiaTheme="minorAscii" w:cstheme="minorAscii"/>
          <w:noProof w:val="0"/>
          <w:sz w:val="24"/>
          <w:szCs w:val="24"/>
          <w:lang w:val="en-GB"/>
        </w:rPr>
      </w:pPr>
      <w:r w:rsidRPr="2FD6D6E1" w:rsidR="7DD054AC">
        <w:rPr>
          <w:rFonts w:ascii="Calibri" w:hAnsi="Calibri" w:eastAsia="Calibri" w:cs="Calibri" w:asciiTheme="minorAscii" w:hAnsiTheme="minorAscii" w:eastAsiaTheme="minorAscii" w:cstheme="minorAscii"/>
          <w:noProof w:val="0"/>
          <w:sz w:val="24"/>
          <w:szCs w:val="24"/>
          <w:lang w:val="en-GB"/>
        </w:rPr>
        <w:t xml:space="preserve">Royal College of Paediatrics and Child Health (RCPCH) Wales (2025) </w:t>
      </w:r>
      <w:r w:rsidRPr="2FD6D6E1" w:rsidR="7DD054AC">
        <w:rPr>
          <w:rFonts w:ascii="Calibri" w:hAnsi="Calibri" w:eastAsia="Calibri" w:cs="Calibri" w:asciiTheme="minorAscii" w:hAnsiTheme="minorAscii" w:eastAsiaTheme="minorAscii" w:cstheme="minorAscii"/>
          <w:i w:val="1"/>
          <w:iCs w:val="1"/>
          <w:noProof w:val="0"/>
          <w:sz w:val="24"/>
          <w:szCs w:val="24"/>
          <w:lang w:val="en-GB"/>
        </w:rPr>
        <w:t>Inquiry into the prevention of ill health (obesity): Consultation response to the Senedd Health and Social Care Committee</w:t>
      </w:r>
      <w:r w:rsidRPr="2FD6D6E1" w:rsidR="7DD054AC">
        <w:rPr>
          <w:rFonts w:ascii="Calibri" w:hAnsi="Calibri" w:eastAsia="Calibri" w:cs="Calibri" w:asciiTheme="minorAscii" w:hAnsiTheme="minorAscii" w:eastAsiaTheme="minorAscii" w:cstheme="minorAscii"/>
          <w:noProof w:val="0"/>
          <w:sz w:val="24"/>
          <w:szCs w:val="24"/>
          <w:lang w:val="en-GB"/>
        </w:rPr>
        <w:t xml:space="preserve">. Cardiff: RCPCH. Available at: </w:t>
      </w:r>
      <w:hyperlink r:id="R9aff49f3216c4fe1">
        <w:r w:rsidRPr="2FD6D6E1" w:rsidR="7DD054AC">
          <w:rPr>
            <w:rStyle w:val="Hyperlink"/>
            <w:rFonts w:ascii="Calibri" w:hAnsi="Calibri" w:eastAsia="Calibri" w:cs="Calibri" w:asciiTheme="minorAscii" w:hAnsiTheme="minorAscii" w:eastAsiaTheme="minorAscii" w:cstheme="minorAscii"/>
            <w:noProof w:val="0"/>
            <w:sz w:val="24"/>
            <w:szCs w:val="24"/>
            <w:lang w:val="en-GB"/>
          </w:rPr>
          <w:t>https://senedd.wales/</w:t>
        </w:r>
      </w:hyperlink>
      <w:r w:rsidRPr="2FD6D6E1" w:rsidR="7DD054AC">
        <w:rPr>
          <w:rFonts w:ascii="Calibri" w:hAnsi="Calibri" w:eastAsia="Calibri" w:cs="Calibri" w:asciiTheme="minorAscii" w:hAnsiTheme="minorAscii" w:eastAsiaTheme="minorAscii" w:cstheme="minorAscii"/>
          <w:noProof w:val="0"/>
          <w:sz w:val="24"/>
          <w:szCs w:val="24"/>
          <w:lang w:val="en-GB"/>
        </w:rPr>
        <w:t xml:space="preserve"> (Accessed: 13 June 2026).</w:t>
      </w:r>
    </w:p>
    <w:p w:rsidR="7DD054AC" w:rsidP="2FD6D6E1" w:rsidRDefault="7DD054AC" w14:paraId="49DAEEFF" w14:textId="2F8CE0C1">
      <w:pPr>
        <w:spacing w:line="360" w:lineRule="auto"/>
        <w:rPr>
          <w:rFonts w:ascii="Calibri" w:hAnsi="Calibri" w:eastAsia="Calibri" w:cs="Calibri" w:asciiTheme="minorAscii" w:hAnsiTheme="minorAscii" w:eastAsiaTheme="minorAscii" w:cstheme="minorAscii"/>
          <w:noProof w:val="0"/>
          <w:sz w:val="24"/>
          <w:szCs w:val="24"/>
          <w:lang w:val="en-GB"/>
        </w:rPr>
      </w:pPr>
      <w:r w:rsidRPr="2FD6D6E1" w:rsidR="7DD054AC">
        <w:rPr>
          <w:rFonts w:ascii="Calibri" w:hAnsi="Calibri" w:eastAsia="Calibri" w:cs="Calibri" w:asciiTheme="minorAscii" w:hAnsiTheme="minorAscii" w:eastAsiaTheme="minorAscii" w:cstheme="minorAscii"/>
          <w:noProof w:val="0"/>
          <w:sz w:val="24"/>
          <w:szCs w:val="24"/>
          <w:lang w:val="en-GB"/>
        </w:rPr>
        <w:t xml:space="preserve">Welsh Government (2025) </w:t>
      </w:r>
      <w:r w:rsidRPr="2FD6D6E1" w:rsidR="7DD054AC">
        <w:rPr>
          <w:rFonts w:ascii="Calibri" w:hAnsi="Calibri" w:eastAsia="Calibri" w:cs="Calibri" w:asciiTheme="minorAscii" w:hAnsiTheme="minorAscii" w:eastAsiaTheme="minorAscii" w:cstheme="minorAscii"/>
          <w:i w:val="1"/>
          <w:iCs w:val="1"/>
          <w:noProof w:val="0"/>
          <w:sz w:val="24"/>
          <w:szCs w:val="24"/>
          <w:lang w:val="en-GB"/>
        </w:rPr>
        <w:t>Healthy Weight: Healthy Wales Delivery Plan 2025 to 2027</w:t>
      </w:r>
      <w:r w:rsidRPr="2FD6D6E1" w:rsidR="7DD054AC">
        <w:rPr>
          <w:rFonts w:ascii="Calibri" w:hAnsi="Calibri" w:eastAsia="Calibri" w:cs="Calibri" w:asciiTheme="minorAscii" w:hAnsiTheme="minorAscii" w:eastAsiaTheme="minorAscii" w:cstheme="minorAscii"/>
          <w:noProof w:val="0"/>
          <w:sz w:val="24"/>
          <w:szCs w:val="24"/>
          <w:lang w:val="en-GB"/>
        </w:rPr>
        <w:t xml:space="preserve">. Cardiff: Welsh Government. Available at: </w:t>
      </w:r>
      <w:hyperlink r:id="R1feb2d53f64b48d8">
        <w:r w:rsidRPr="2FD6D6E1" w:rsidR="7DD054AC">
          <w:rPr>
            <w:rStyle w:val="Hyperlink"/>
            <w:rFonts w:ascii="Calibri" w:hAnsi="Calibri" w:eastAsia="Calibri" w:cs="Calibri" w:asciiTheme="minorAscii" w:hAnsiTheme="minorAscii" w:eastAsiaTheme="minorAscii" w:cstheme="minorAscii"/>
            <w:noProof w:val="0"/>
            <w:sz w:val="24"/>
            <w:szCs w:val="24"/>
            <w:lang w:val="en-GB"/>
          </w:rPr>
          <w:t>https://www.gov.wales/healthy-weight-healthy-wales-delivery-plan-2025-2027-html</w:t>
        </w:r>
      </w:hyperlink>
      <w:r w:rsidRPr="2FD6D6E1" w:rsidR="7DD054AC">
        <w:rPr>
          <w:rFonts w:ascii="Calibri" w:hAnsi="Calibri" w:eastAsia="Calibri" w:cs="Calibri" w:asciiTheme="minorAscii" w:hAnsiTheme="minorAscii" w:eastAsiaTheme="minorAscii" w:cstheme="minorAscii"/>
          <w:noProof w:val="0"/>
          <w:sz w:val="24"/>
          <w:szCs w:val="24"/>
          <w:lang w:val="en-GB"/>
        </w:rPr>
        <w:t xml:space="preserve"> (Accessed: 13 June 2026).</w:t>
      </w:r>
    </w:p>
    <w:p w:rsidR="2FD6D6E1" w:rsidP="2FD6D6E1" w:rsidRDefault="2FD6D6E1" w14:paraId="250523C2" w14:textId="505EECF1">
      <w:pPr>
        <w:pStyle w:val="Normal"/>
        <w:spacing w:line="360" w:lineRule="auto"/>
        <w:rPr>
          <w:rFonts w:ascii="Calibri" w:hAnsi="Calibri" w:eastAsia="Calibri" w:cs="Calibri" w:asciiTheme="minorAscii" w:hAnsiTheme="minorAscii" w:eastAsiaTheme="minorAscii" w:cstheme="minorAscii"/>
          <w:noProof w:val="0"/>
          <w:sz w:val="24"/>
          <w:szCs w:val="24"/>
          <w:lang w:val="en-GB"/>
        </w:rPr>
      </w:pPr>
    </w:p>
    <w:sectPr>
      <w:pgSz w:w="11906" w:h="16838" w:orient="portrait"/>
      <w:pgMar w:top="1440" w:right="1440" w:bottom="1440" w:left="1440" w:header="720" w:footer="720" w:gutter="0"/>
      <w:cols w:space="720"/>
      <w:docGrid w:linePitch="360"/>
      <w:headerReference w:type="default" r:id="R40f7191bec7142b9"/>
      <w:footerReference w:type="default" r:id="R48f727f87425415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FD6D6E1" w:rsidTr="2FD6D6E1" w14:paraId="4BC20555">
      <w:trPr>
        <w:trHeight w:val="300"/>
      </w:trPr>
      <w:tc>
        <w:tcPr>
          <w:tcW w:w="3005" w:type="dxa"/>
          <w:tcMar/>
        </w:tcPr>
        <w:p w:rsidR="2FD6D6E1" w:rsidP="2FD6D6E1" w:rsidRDefault="2FD6D6E1" w14:paraId="72C59567" w14:textId="3F904B31">
          <w:pPr>
            <w:pStyle w:val="Header"/>
            <w:bidi w:val="0"/>
            <w:ind w:left="-115"/>
            <w:jc w:val="left"/>
          </w:pPr>
        </w:p>
      </w:tc>
      <w:tc>
        <w:tcPr>
          <w:tcW w:w="3005" w:type="dxa"/>
          <w:tcMar/>
        </w:tcPr>
        <w:p w:rsidR="2FD6D6E1" w:rsidP="2FD6D6E1" w:rsidRDefault="2FD6D6E1" w14:paraId="039BEE90" w14:textId="5B02235D">
          <w:pPr>
            <w:pStyle w:val="Header"/>
            <w:bidi w:val="0"/>
            <w:jc w:val="center"/>
          </w:pPr>
        </w:p>
      </w:tc>
      <w:tc>
        <w:tcPr>
          <w:tcW w:w="3005" w:type="dxa"/>
          <w:tcMar/>
        </w:tcPr>
        <w:p w:rsidR="2FD6D6E1" w:rsidP="2FD6D6E1" w:rsidRDefault="2FD6D6E1" w14:paraId="15545D5B" w14:textId="5C6AE5FD">
          <w:pPr>
            <w:pStyle w:val="Header"/>
            <w:bidi w:val="0"/>
            <w:ind w:right="-115"/>
            <w:jc w:val="right"/>
          </w:pPr>
        </w:p>
      </w:tc>
    </w:tr>
  </w:tbl>
  <w:p w:rsidR="2FD6D6E1" w:rsidP="2FD6D6E1" w:rsidRDefault="2FD6D6E1" w14:paraId="1C9F5BCE" w14:textId="34069E8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FD6D6E1" w:rsidTr="2FD6D6E1" w14:paraId="425A72B7">
      <w:trPr>
        <w:trHeight w:val="300"/>
      </w:trPr>
      <w:tc>
        <w:tcPr>
          <w:tcW w:w="3005" w:type="dxa"/>
          <w:tcMar/>
        </w:tcPr>
        <w:p w:rsidR="2FD6D6E1" w:rsidP="2FD6D6E1" w:rsidRDefault="2FD6D6E1" w14:paraId="4116664D" w14:textId="5CE0AC51">
          <w:pPr>
            <w:pStyle w:val="Header"/>
            <w:bidi w:val="0"/>
            <w:ind w:left="-115"/>
            <w:jc w:val="left"/>
          </w:pPr>
          <w:r w:rsidR="2FD6D6E1">
            <w:rPr/>
            <w:t>Student Number; 2514259</w:t>
          </w:r>
        </w:p>
      </w:tc>
      <w:tc>
        <w:tcPr>
          <w:tcW w:w="3005" w:type="dxa"/>
          <w:tcMar/>
        </w:tcPr>
        <w:p w:rsidR="2FD6D6E1" w:rsidP="2FD6D6E1" w:rsidRDefault="2FD6D6E1" w14:paraId="4B5328AE" w14:textId="0C60D9E5">
          <w:pPr>
            <w:pStyle w:val="Header"/>
            <w:bidi w:val="0"/>
            <w:jc w:val="center"/>
          </w:pPr>
          <w:r w:rsidR="2FD6D6E1">
            <w:rPr/>
            <w:t>ECEY5009</w:t>
          </w:r>
        </w:p>
      </w:tc>
      <w:tc>
        <w:tcPr>
          <w:tcW w:w="3005" w:type="dxa"/>
          <w:tcMar/>
        </w:tcPr>
        <w:p w:rsidR="2FD6D6E1" w:rsidP="2FD6D6E1" w:rsidRDefault="2FD6D6E1" w14:paraId="199604FC" w14:textId="3A785C37">
          <w:pPr>
            <w:pStyle w:val="Header"/>
            <w:bidi w:val="0"/>
            <w:ind w:right="-115"/>
            <w:jc w:val="right"/>
          </w:pPr>
          <w:r w:rsidR="2FD6D6E1">
            <w:rPr/>
            <w:t>Word Count; 1766</w:t>
          </w:r>
        </w:p>
      </w:tc>
    </w:tr>
  </w:tbl>
  <w:p w:rsidR="2FD6D6E1" w:rsidP="2FD6D6E1" w:rsidRDefault="2FD6D6E1" w14:paraId="0E43C65D" w14:textId="28C025BA">
    <w:pPr>
      <w:pStyle w:val="Header"/>
      <w:bidi w:val="0"/>
    </w:pPr>
  </w:p>
</w:hdr>
</file>

<file path=word/numbering.xml><?xml version="1.0" encoding="utf-8"?>
<w:numbering xmlns:w="http://schemas.openxmlformats.org/wordprocessingml/2006/main">
  <w:abstractNum xmlns:w="http://schemas.openxmlformats.org/wordprocessingml/2006/main" w:abstractNumId="2">
    <w:nsid w:val="63f54e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334e4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479C064"/>
    <w:rsid w:val="0056C901"/>
    <w:rsid w:val="007EE8E3"/>
    <w:rsid w:val="05FDCFF6"/>
    <w:rsid w:val="060F3EE5"/>
    <w:rsid w:val="071F2B33"/>
    <w:rsid w:val="085F1EFC"/>
    <w:rsid w:val="0A347708"/>
    <w:rsid w:val="0AB77A37"/>
    <w:rsid w:val="0D9B0793"/>
    <w:rsid w:val="107DD25B"/>
    <w:rsid w:val="10A930DF"/>
    <w:rsid w:val="124B7052"/>
    <w:rsid w:val="13AD1AAA"/>
    <w:rsid w:val="1599C9D0"/>
    <w:rsid w:val="15DE1C93"/>
    <w:rsid w:val="15F21323"/>
    <w:rsid w:val="1787A75B"/>
    <w:rsid w:val="17BFC96B"/>
    <w:rsid w:val="186CC424"/>
    <w:rsid w:val="1CC2B93F"/>
    <w:rsid w:val="1D729F8A"/>
    <w:rsid w:val="1D8C7E6E"/>
    <w:rsid w:val="1E0DA390"/>
    <w:rsid w:val="214C5846"/>
    <w:rsid w:val="231ADE17"/>
    <w:rsid w:val="2A28FF37"/>
    <w:rsid w:val="2C6CD32E"/>
    <w:rsid w:val="2E0BC23F"/>
    <w:rsid w:val="2FD6D6E1"/>
    <w:rsid w:val="2FE42CBE"/>
    <w:rsid w:val="31D04032"/>
    <w:rsid w:val="34F316EF"/>
    <w:rsid w:val="359ADB51"/>
    <w:rsid w:val="3756CFB9"/>
    <w:rsid w:val="38B9BFFA"/>
    <w:rsid w:val="3AD569EE"/>
    <w:rsid w:val="3DFE18C1"/>
    <w:rsid w:val="3FC89B00"/>
    <w:rsid w:val="40B8B10A"/>
    <w:rsid w:val="4B3D195D"/>
    <w:rsid w:val="4C540B34"/>
    <w:rsid w:val="4DC0194F"/>
    <w:rsid w:val="4E7FE6F9"/>
    <w:rsid w:val="4FC10E65"/>
    <w:rsid w:val="501DFBFD"/>
    <w:rsid w:val="50B11879"/>
    <w:rsid w:val="5162F134"/>
    <w:rsid w:val="5182EF4B"/>
    <w:rsid w:val="53EC81DA"/>
    <w:rsid w:val="541E40A8"/>
    <w:rsid w:val="5479C064"/>
    <w:rsid w:val="58F751CD"/>
    <w:rsid w:val="5BF7A36B"/>
    <w:rsid w:val="5C2A97E6"/>
    <w:rsid w:val="5D575887"/>
    <w:rsid w:val="5DD8E62E"/>
    <w:rsid w:val="5EC7BF87"/>
    <w:rsid w:val="636F8BD9"/>
    <w:rsid w:val="64218C3C"/>
    <w:rsid w:val="64F7D77D"/>
    <w:rsid w:val="663CDB98"/>
    <w:rsid w:val="67851965"/>
    <w:rsid w:val="680E819A"/>
    <w:rsid w:val="68AEA4EA"/>
    <w:rsid w:val="68D9BC51"/>
    <w:rsid w:val="6944867D"/>
    <w:rsid w:val="6A9769DC"/>
    <w:rsid w:val="6B8F55BB"/>
    <w:rsid w:val="6BF8C5C7"/>
    <w:rsid w:val="6C350AB9"/>
    <w:rsid w:val="6E0275A3"/>
    <w:rsid w:val="701142A7"/>
    <w:rsid w:val="7233C806"/>
    <w:rsid w:val="7249E7B9"/>
    <w:rsid w:val="7271DA51"/>
    <w:rsid w:val="780A5233"/>
    <w:rsid w:val="7AA2F8B3"/>
    <w:rsid w:val="7C29D818"/>
    <w:rsid w:val="7CBCE751"/>
    <w:rsid w:val="7DD054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014728"/>
  <w15:chartTrackingRefBased/>
  <w15:docId w15:val="{65304A9E-7FEF-4C75-8A4C-08B08C73D6F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15F21323"/>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15F21323"/>
    <w:pPr>
      <w:spacing/>
      <w:ind w:left="720"/>
      <w:contextualSpacing/>
    </w:pPr>
  </w:style>
  <w:style w:type="character" w:styleId="Hyperlink">
    <w:uiPriority w:val="99"/>
    <w:name w:val="Hyperlink"/>
    <w:basedOn w:val="DefaultParagraphFont"/>
    <w:unhideWhenUsed/>
    <w:rsid w:val="2FD6D6E1"/>
    <w:rPr>
      <w:color w:val="467886"/>
      <w:u w:val="single"/>
    </w:rPr>
  </w:style>
  <w:style w:type="paragraph" w:styleId="Header">
    <w:uiPriority w:val="99"/>
    <w:name w:val="header"/>
    <w:basedOn w:val="Normal"/>
    <w:unhideWhenUsed/>
    <w:rsid w:val="2FD6D6E1"/>
    <w:pPr>
      <w:tabs>
        <w:tab w:val="center" w:leader="none" w:pos="4680"/>
        <w:tab w:val="right" w:leader="none" w:pos="9360"/>
      </w:tabs>
      <w:spacing w:after="0" w:line="240" w:lineRule="auto"/>
    </w:pPr>
  </w:style>
  <w:style w:type="paragraph" w:styleId="Footer">
    <w:uiPriority w:val="99"/>
    <w:name w:val="footer"/>
    <w:basedOn w:val="Normal"/>
    <w:unhideWhenUsed/>
    <w:rsid w:val="2FD6D6E1"/>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dca6e4299624492a" /><Relationship Type="http://schemas.openxmlformats.org/officeDocument/2006/relationships/hyperlink" Target="https://monoskop.org/images/e/e0/Pierre_Bourdieu_Distinction_A_Social_Critique_of_the_Judgement_of_Taste_1984.pdf" TargetMode="External" Id="R9791cc240e0548a5" /><Relationship Type="http://schemas.openxmlformats.org/officeDocument/2006/relationships/hyperlink" Target="https://books.google.co.uk/books?hl=en&amp;lr=&amp;id=kfsvEQAAQBAJ&amp;oi=fnd&amp;pg=PA325&amp;dq=Bronfenbrenner,+U.+(1979)+The+ecology+of+human+development:+Experiments+by+nature+and+design.+Cambridge,+MA:+Harvard+University+Press.&amp;ots=IVy2rR9bNq&amp;sig=pKl9CU46jJ9IfHuW3I_DHfCredw#v=onepage&amp;q&amp;f=false" TargetMode="External" Id="Rea9f8de17b1145a7" /><Relationship Type="http://schemas.openxmlformats.org/officeDocument/2006/relationships/hyperlink" Target="https://researchwalesevidencecentre.co.uk/sites/default/files/2024-12/Early_Childhood_Obesity_Infographic_Dec24.pdf" TargetMode="External" Id="R71c508e51d694c4c" /><Relationship Type="http://schemas.openxmlformats.org/officeDocument/2006/relationships/hyperlink" Target="https://www.instituteofhealthequity.org/the-marmot-review-10-years-on" TargetMode="External" Id="Rf4898b11d4e340ff" /><Relationship Type="http://schemas.openxmlformats.org/officeDocument/2006/relationships/hyperlink" Target="https://www.gov.wales/child-measurement-programme-september-2024-august-2025" TargetMode="External" Id="R1e11ada1e9c04e38" /><Relationship Type="http://schemas.openxmlformats.org/officeDocument/2006/relationships/hyperlink" Target="https://www.google.com/search?q=https%3A%2F%2Fphw.nhs.wales%2Fdata%2Fchild-measurement-programme-dashboard%2F" TargetMode="External" Id="Rb146064316a24ccc" /><Relationship Type="http://schemas.openxmlformats.org/officeDocument/2006/relationships/hyperlink" Target="https://www.google.com/search?q=https%3A%2F%2Fsenedd.wales%2F" TargetMode="External" Id="R9aff49f3216c4fe1" /><Relationship Type="http://schemas.openxmlformats.org/officeDocument/2006/relationships/hyperlink" Target="https://www.google.com/search?q=https%3A%2F%2Fwww.gov.wales%2Fhealthy-weight-healthy-wales-delivery-plan-2025-2027-html" TargetMode="External" Id="R1feb2d53f64b48d8" /><Relationship Type="http://schemas.openxmlformats.org/officeDocument/2006/relationships/header" Target="/word/header.xml" Id="R40f7191bec7142b9" /><Relationship Type="http://schemas.openxmlformats.org/officeDocument/2006/relationships/footer" Target="/word/footer.xml" Id="R48f727f87425415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Llinos Gillett (2514259)</dc:creator>
  <keywords/>
  <dc:description/>
  <lastModifiedBy>Llinos Gillett (2514259)</lastModifiedBy>
  <revision>5</revision>
  <dcterms:created xsi:type="dcterms:W3CDTF">2026-06-09T16:50:16.4315560Z</dcterms:created>
  <dcterms:modified xsi:type="dcterms:W3CDTF">2026-06-13T20:03:03.5063148Z</dcterms:modified>
</coreProperties>
</file>