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B01244" w14:textId="12BB7D1B" w:rsidR="00F56369" w:rsidRPr="004D282A" w:rsidRDefault="00F56369" w:rsidP="00F10F6F">
      <w:pPr>
        <w:spacing w:after="0" w:line="360" w:lineRule="auto"/>
        <w:jc w:val="both"/>
        <w:outlineLvl w:val="2"/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</w:pPr>
      <w:r w:rsidRPr="004D282A"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  <w:t xml:space="preserve">Name: </w:t>
      </w:r>
      <w:r w:rsidR="00AD4253"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  <w:t xml:space="preserve">Yahaddy bangura </w:t>
      </w:r>
    </w:p>
    <w:p w14:paraId="79B9772B" w14:textId="4007C045" w:rsidR="00F56369" w:rsidRPr="004D282A" w:rsidRDefault="00F56369" w:rsidP="00F10F6F">
      <w:pPr>
        <w:spacing w:after="0" w:line="360" w:lineRule="auto"/>
        <w:jc w:val="both"/>
        <w:outlineLvl w:val="2"/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</w:pPr>
      <w:r w:rsidRPr="004D282A"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  <w:t xml:space="preserve">Student id: </w:t>
      </w:r>
      <w:r w:rsidR="00AD4253"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  <w:t>2315639</w:t>
      </w:r>
    </w:p>
    <w:p w14:paraId="5B1D9CDD" w14:textId="77777777" w:rsidR="00F56369" w:rsidRPr="004D282A" w:rsidRDefault="00F56369" w:rsidP="00F10F6F">
      <w:pPr>
        <w:spacing w:after="0" w:line="360" w:lineRule="auto"/>
        <w:jc w:val="both"/>
        <w:outlineLvl w:val="2"/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</w:pPr>
      <w:proofErr w:type="spellStart"/>
      <w:r w:rsidRPr="004D282A"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  <w:t>Programme</w:t>
      </w:r>
      <w:proofErr w:type="spellEnd"/>
      <w:r w:rsidRPr="004D282A"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  <w:t>: BSc (Hons) Health and Social Care</w:t>
      </w:r>
    </w:p>
    <w:p w14:paraId="1A17A7E0" w14:textId="77777777" w:rsidR="00F56369" w:rsidRPr="004D282A" w:rsidRDefault="00F56369" w:rsidP="00F10F6F">
      <w:pPr>
        <w:spacing w:after="0" w:line="360" w:lineRule="auto"/>
        <w:jc w:val="both"/>
        <w:outlineLvl w:val="2"/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</w:pPr>
      <w:r w:rsidRPr="004D282A"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  <w:t xml:space="preserve">Module: </w:t>
      </w:r>
      <w:r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  <w:t xml:space="preserve">empowering the older person </w:t>
      </w:r>
    </w:p>
    <w:p w14:paraId="188FEAD5" w14:textId="77777777" w:rsidR="00F56369" w:rsidRPr="004D282A" w:rsidRDefault="00F56369" w:rsidP="00F10F6F">
      <w:pPr>
        <w:spacing w:after="0" w:line="360" w:lineRule="auto"/>
        <w:jc w:val="both"/>
        <w:outlineLvl w:val="2"/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</w:pPr>
      <w:r w:rsidRPr="004D282A"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  <w:t>Module code: BMHP602</w:t>
      </w:r>
      <w:r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  <w:t>7</w:t>
      </w:r>
    </w:p>
    <w:p w14:paraId="6430B888" w14:textId="77777777" w:rsidR="00F56369" w:rsidRPr="004D282A" w:rsidRDefault="00F56369" w:rsidP="00F10F6F">
      <w:pPr>
        <w:spacing w:after="0" w:line="360" w:lineRule="auto"/>
        <w:jc w:val="both"/>
        <w:outlineLvl w:val="2"/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</w:pPr>
      <w:r w:rsidRPr="004D282A"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  <w:t xml:space="preserve">Lecture: </w:t>
      </w:r>
      <w:proofErr w:type="spellStart"/>
      <w:r w:rsidRPr="004D282A"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  <w:t>rizwan</w:t>
      </w:r>
      <w:proofErr w:type="spellEnd"/>
      <w:r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  <w:t xml:space="preserve"> Nadim</w:t>
      </w:r>
    </w:p>
    <w:p w14:paraId="2DC4547C" w14:textId="77777777" w:rsidR="005A09CE" w:rsidRDefault="00F56369" w:rsidP="00F10F6F">
      <w:pPr>
        <w:spacing w:after="0" w:line="360" w:lineRule="auto"/>
        <w:jc w:val="center"/>
        <w:outlineLvl w:val="0"/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</w:pPr>
      <w:r w:rsidRPr="004D282A"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  <w:t>Assignment title</w:t>
      </w:r>
    </w:p>
    <w:p w14:paraId="455FAE89" w14:textId="73E18550" w:rsidR="005A09CE" w:rsidRPr="005A09CE" w:rsidRDefault="00F56369" w:rsidP="00F10F6F">
      <w:pPr>
        <w:spacing w:after="0" w:line="360" w:lineRule="auto"/>
        <w:jc w:val="center"/>
        <w:outlineLvl w:val="0"/>
        <w:rPr>
          <w:rFonts w:ascii="Arial" w:eastAsiaTheme="minorHAnsi" w:hAnsi="Arial" w:cs="Arial"/>
          <w:b/>
          <w:kern w:val="0"/>
          <w:szCs w:val="22"/>
          <w:lang w:val="en-US" w:eastAsia="en-US"/>
          <w14:ligatures w14:val="none"/>
        </w:rPr>
      </w:pPr>
      <w:r w:rsidRPr="004D282A"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  <w:t xml:space="preserve"> </w:t>
      </w:r>
      <w:r w:rsidR="005A09CE" w:rsidRPr="005A09CE">
        <w:rPr>
          <w:rFonts w:ascii="Arial" w:eastAsiaTheme="minorHAnsi" w:hAnsi="Arial" w:cs="Arial"/>
          <w:b/>
          <w:kern w:val="0"/>
          <w:szCs w:val="22"/>
          <w:lang w:val="en-US" w:eastAsia="en-US"/>
          <w14:ligatures w14:val="none"/>
        </w:rPr>
        <w:t>Do safeguarding policies in the UK adequately protect older adults from abuse?</w:t>
      </w:r>
    </w:p>
    <w:p w14:paraId="78C448C0" w14:textId="77777777" w:rsidR="00806504" w:rsidRDefault="00806504" w:rsidP="008662B4">
      <w:pPr>
        <w:keepNext/>
        <w:keepLines/>
        <w:spacing w:after="0" w:line="276" w:lineRule="auto"/>
        <w:outlineLvl w:val="2"/>
        <w:rPr>
          <w:rFonts w:ascii="Arial" w:eastAsiaTheme="majorEastAsia" w:hAnsi="Arial" w:cs="Arial"/>
          <w:b/>
          <w:bCs/>
          <w:kern w:val="0"/>
          <w:sz w:val="22"/>
          <w:szCs w:val="22"/>
          <w:lang w:val="en-US" w:eastAsia="en-US"/>
          <w14:ligatures w14:val="none"/>
        </w:rPr>
      </w:pPr>
    </w:p>
    <w:p w14:paraId="1C936169" w14:textId="77777777" w:rsidR="00806504" w:rsidRDefault="00806504" w:rsidP="008662B4">
      <w:pPr>
        <w:keepNext/>
        <w:keepLines/>
        <w:spacing w:after="0" w:line="276" w:lineRule="auto"/>
        <w:outlineLvl w:val="2"/>
        <w:rPr>
          <w:rFonts w:ascii="Arial" w:eastAsiaTheme="majorEastAsia" w:hAnsi="Arial" w:cs="Arial"/>
          <w:b/>
          <w:bCs/>
          <w:kern w:val="0"/>
          <w:sz w:val="22"/>
          <w:szCs w:val="22"/>
          <w:lang w:val="en-US" w:eastAsia="en-US"/>
          <w14:ligatures w14:val="none"/>
        </w:rPr>
      </w:pPr>
    </w:p>
    <w:p w14:paraId="5A31E6E3" w14:textId="1D27D7ED" w:rsidR="008662B4" w:rsidRPr="008D69F0" w:rsidRDefault="008662B4" w:rsidP="008662B4">
      <w:pPr>
        <w:keepNext/>
        <w:keepLines/>
        <w:spacing w:after="0" w:line="276" w:lineRule="auto"/>
        <w:outlineLvl w:val="2"/>
        <w:rPr>
          <w:rFonts w:ascii="Arial" w:eastAsiaTheme="majorEastAsia" w:hAnsi="Arial" w:cs="Arial"/>
          <w:kern w:val="0"/>
          <w:sz w:val="22"/>
          <w:szCs w:val="22"/>
          <w:lang w:val="en-US" w:eastAsia="en-US"/>
          <w14:ligatures w14:val="none"/>
        </w:rPr>
      </w:pPr>
      <w:r w:rsidRPr="008D69F0">
        <w:rPr>
          <w:rFonts w:ascii="Arial" w:eastAsiaTheme="majorEastAsia" w:hAnsi="Arial" w:cs="Arial"/>
          <w:b/>
          <w:bCs/>
          <w:kern w:val="0"/>
          <w:sz w:val="22"/>
          <w:szCs w:val="22"/>
          <w:lang w:val="en-US" w:eastAsia="en-US"/>
          <w14:ligatures w14:val="none"/>
        </w:rPr>
        <w:t xml:space="preserve">Reference List </w:t>
      </w:r>
    </w:p>
    <w:p w14:paraId="47736F4D" w14:textId="77777777" w:rsidR="008662B4" w:rsidRPr="008D69F0" w:rsidRDefault="008662B4" w:rsidP="008662B4">
      <w:pPr>
        <w:spacing w:after="200" w:line="276" w:lineRule="auto"/>
        <w:rPr>
          <w:rFonts w:ascii="Arial" w:eastAsiaTheme="minorHAnsi" w:hAnsi="Arial" w:cs="Arial"/>
          <w:kern w:val="0"/>
          <w:sz w:val="22"/>
          <w:szCs w:val="22"/>
          <w:lang w:val="en-US" w:eastAsia="en-US"/>
          <w14:ligatures w14:val="none"/>
        </w:rPr>
      </w:pPr>
    </w:p>
    <w:p w14:paraId="3281B8D6" w14:textId="77777777" w:rsidR="008662B4" w:rsidRPr="008D69F0" w:rsidRDefault="008662B4" w:rsidP="008662B4">
      <w:pPr>
        <w:spacing w:after="0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</w:pP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 xml:space="preserve">Age UK (2023) </w:t>
      </w:r>
      <w:r w:rsidRPr="008D69F0">
        <w:rPr>
          <w:rFonts w:ascii="Arial" w:eastAsia="Times New Roman" w:hAnsi="Arial" w:cs="Arial"/>
          <w:i/>
          <w:iCs/>
          <w:kern w:val="0"/>
          <w:sz w:val="22"/>
          <w:szCs w:val="22"/>
          <w:lang w:val="en-US" w:eastAsia="en-US"/>
          <w14:ligatures w14:val="none"/>
        </w:rPr>
        <w:t>The state of health and care of older people in England 2023</w:t>
      </w: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>. London: Age UK.</w:t>
      </w:r>
    </w:p>
    <w:p w14:paraId="359CB7BE" w14:textId="77777777" w:rsidR="008662B4" w:rsidRPr="008D69F0" w:rsidRDefault="008662B4" w:rsidP="008662B4">
      <w:pPr>
        <w:spacing w:after="0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</w:pP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 xml:space="preserve">Alzheimer’s Society (2023) </w:t>
      </w:r>
      <w:r w:rsidRPr="008D69F0">
        <w:rPr>
          <w:rFonts w:ascii="Arial" w:eastAsia="Times New Roman" w:hAnsi="Arial" w:cs="Arial"/>
          <w:i/>
          <w:iCs/>
          <w:kern w:val="0"/>
          <w:sz w:val="22"/>
          <w:szCs w:val="22"/>
          <w:lang w:val="en-US" w:eastAsia="en-US"/>
          <w14:ligatures w14:val="none"/>
        </w:rPr>
        <w:t>Dementia UK: Update report</w:t>
      </w: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>. London: Alzheimer’s Society.</w:t>
      </w:r>
    </w:p>
    <w:p w14:paraId="5841D13C" w14:textId="77777777" w:rsidR="008662B4" w:rsidRPr="008D69F0" w:rsidRDefault="008662B4" w:rsidP="008662B4">
      <w:pPr>
        <w:spacing w:after="0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</w:pP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 xml:space="preserve">Braye, S., Orr, D. and Preston-Shoot, M. (2017) ‘Serious case review findings on the challenges of safeguarding older people’, </w:t>
      </w:r>
      <w:r w:rsidRPr="008D69F0">
        <w:rPr>
          <w:rFonts w:ascii="Arial" w:eastAsia="Times New Roman" w:hAnsi="Arial" w:cs="Arial"/>
          <w:i/>
          <w:iCs/>
          <w:kern w:val="0"/>
          <w:sz w:val="22"/>
          <w:szCs w:val="22"/>
          <w:lang w:val="en-US" w:eastAsia="en-US"/>
          <w14:ligatures w14:val="none"/>
        </w:rPr>
        <w:t>The Journal of Adult Protection</w:t>
      </w: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>, 19(2), pp. 75–87.</w:t>
      </w:r>
    </w:p>
    <w:p w14:paraId="7004C322" w14:textId="77777777" w:rsidR="008662B4" w:rsidRPr="008D69F0" w:rsidRDefault="008662B4" w:rsidP="008662B4">
      <w:pPr>
        <w:spacing w:after="0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</w:pP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 xml:space="preserve">Care Quality Commission (2023) </w:t>
      </w:r>
      <w:r w:rsidRPr="008D69F0">
        <w:rPr>
          <w:rFonts w:ascii="Arial" w:eastAsia="Times New Roman" w:hAnsi="Arial" w:cs="Arial"/>
          <w:i/>
          <w:iCs/>
          <w:kern w:val="0"/>
          <w:sz w:val="22"/>
          <w:szCs w:val="22"/>
          <w:lang w:val="en-US" w:eastAsia="en-US"/>
          <w14:ligatures w14:val="none"/>
        </w:rPr>
        <w:t>The state of health care and adult social care in England 2022/23</w:t>
      </w: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>. London: CQC.</w:t>
      </w:r>
    </w:p>
    <w:p w14:paraId="01BEF57A" w14:textId="77777777" w:rsidR="008662B4" w:rsidRPr="008D69F0" w:rsidRDefault="008662B4" w:rsidP="008662B4">
      <w:pPr>
        <w:spacing w:after="0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</w:pP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 xml:space="preserve">Department of Health and Social Care (2014) </w:t>
      </w:r>
      <w:r w:rsidRPr="008D69F0">
        <w:rPr>
          <w:rFonts w:ascii="Arial" w:eastAsia="Times New Roman" w:hAnsi="Arial" w:cs="Arial"/>
          <w:i/>
          <w:iCs/>
          <w:kern w:val="0"/>
          <w:sz w:val="22"/>
          <w:szCs w:val="22"/>
          <w:lang w:val="en-US" w:eastAsia="en-US"/>
          <w14:ligatures w14:val="none"/>
        </w:rPr>
        <w:t>Care Act 2014</w:t>
      </w: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>. London: HMSO.</w:t>
      </w:r>
    </w:p>
    <w:p w14:paraId="15DC020B" w14:textId="77777777" w:rsidR="008662B4" w:rsidRPr="008D69F0" w:rsidRDefault="008662B4" w:rsidP="008662B4">
      <w:pPr>
        <w:spacing w:after="0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</w:pP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 xml:space="preserve">Department of Health and Social Care (2018) </w:t>
      </w:r>
      <w:r w:rsidRPr="008D69F0">
        <w:rPr>
          <w:rFonts w:ascii="Arial" w:eastAsia="Times New Roman" w:hAnsi="Arial" w:cs="Arial"/>
          <w:i/>
          <w:iCs/>
          <w:kern w:val="0"/>
          <w:sz w:val="22"/>
          <w:szCs w:val="22"/>
          <w:lang w:val="en-US" w:eastAsia="en-US"/>
          <w14:ligatures w14:val="none"/>
        </w:rPr>
        <w:t>Care and support statutory guidance</w:t>
      </w: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>. London: DHSC.</w:t>
      </w:r>
    </w:p>
    <w:p w14:paraId="344726BB" w14:textId="77777777" w:rsidR="008662B4" w:rsidRPr="008D69F0" w:rsidRDefault="008662B4" w:rsidP="008662B4">
      <w:pPr>
        <w:spacing w:after="0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</w:pP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 xml:space="preserve">Dong, X. (2015) ‘Elder abuse: Systematic review and implications for practice’, </w:t>
      </w:r>
      <w:r w:rsidRPr="008D69F0">
        <w:rPr>
          <w:rFonts w:ascii="Arial" w:eastAsia="Times New Roman" w:hAnsi="Arial" w:cs="Arial"/>
          <w:i/>
          <w:iCs/>
          <w:kern w:val="0"/>
          <w:sz w:val="22"/>
          <w:szCs w:val="22"/>
          <w:lang w:val="en-US" w:eastAsia="en-US"/>
          <w14:ligatures w14:val="none"/>
        </w:rPr>
        <w:t>Journal of the American Geriatrics Society</w:t>
      </w: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>, 63(6), pp. 1214–1238.</w:t>
      </w:r>
    </w:p>
    <w:p w14:paraId="28A5B066" w14:textId="77777777" w:rsidR="008662B4" w:rsidRPr="008D69F0" w:rsidRDefault="008662B4" w:rsidP="008662B4">
      <w:pPr>
        <w:spacing w:after="0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</w:pP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 xml:space="preserve">Local Government Association (2022) </w:t>
      </w:r>
      <w:r w:rsidRPr="008D69F0">
        <w:rPr>
          <w:rFonts w:ascii="Arial" w:eastAsia="Times New Roman" w:hAnsi="Arial" w:cs="Arial"/>
          <w:i/>
          <w:iCs/>
          <w:kern w:val="0"/>
          <w:sz w:val="22"/>
          <w:szCs w:val="22"/>
          <w:lang w:val="en-US" w:eastAsia="en-US"/>
          <w14:ligatures w14:val="none"/>
        </w:rPr>
        <w:t>Adult social care funding pressures</w:t>
      </w: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>. London: LGA.</w:t>
      </w:r>
    </w:p>
    <w:p w14:paraId="776CF212" w14:textId="77777777" w:rsidR="008662B4" w:rsidRPr="008D69F0" w:rsidRDefault="008662B4" w:rsidP="008662B4">
      <w:pPr>
        <w:spacing w:after="0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</w:pP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 xml:space="preserve">Lachs, M. and Pillemer, K. (2015) ‘Elder abuse’, </w:t>
      </w:r>
      <w:r w:rsidRPr="008D69F0">
        <w:rPr>
          <w:rFonts w:ascii="Arial" w:eastAsia="Times New Roman" w:hAnsi="Arial" w:cs="Arial"/>
          <w:i/>
          <w:iCs/>
          <w:kern w:val="0"/>
          <w:sz w:val="22"/>
          <w:szCs w:val="22"/>
          <w:lang w:val="en-US" w:eastAsia="en-US"/>
          <w14:ligatures w14:val="none"/>
        </w:rPr>
        <w:t>The New England Journal of Medicine</w:t>
      </w: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>, 373(20), pp. 1947–1956.</w:t>
      </w:r>
    </w:p>
    <w:p w14:paraId="298FA582" w14:textId="77777777" w:rsidR="008662B4" w:rsidRPr="008D69F0" w:rsidRDefault="008662B4" w:rsidP="008662B4">
      <w:pPr>
        <w:spacing w:after="0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</w:pP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 xml:space="preserve">Manthorpe, J. and Penhale, B. (2019) </w:t>
      </w:r>
      <w:r w:rsidRPr="008D69F0">
        <w:rPr>
          <w:rFonts w:ascii="Arial" w:eastAsia="Times New Roman" w:hAnsi="Arial" w:cs="Arial"/>
          <w:i/>
          <w:iCs/>
          <w:kern w:val="0"/>
          <w:sz w:val="22"/>
          <w:szCs w:val="22"/>
          <w:lang w:val="en-US" w:eastAsia="en-US"/>
          <w14:ligatures w14:val="none"/>
        </w:rPr>
        <w:t>Adult safeguarding policy and practice: Learning from research</w:t>
      </w: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>. Bristol: Policy Press.</w:t>
      </w:r>
    </w:p>
    <w:p w14:paraId="06CD4791" w14:textId="77777777" w:rsidR="008662B4" w:rsidRPr="008D69F0" w:rsidRDefault="008662B4" w:rsidP="008662B4">
      <w:pPr>
        <w:spacing w:after="0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</w:pP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 xml:space="preserve">NHS England (2023) </w:t>
      </w:r>
      <w:r w:rsidRPr="008D69F0">
        <w:rPr>
          <w:rFonts w:ascii="Arial" w:eastAsia="Times New Roman" w:hAnsi="Arial" w:cs="Arial"/>
          <w:i/>
          <w:iCs/>
          <w:kern w:val="0"/>
          <w:sz w:val="22"/>
          <w:szCs w:val="22"/>
          <w:lang w:val="en-US" w:eastAsia="en-US"/>
          <w14:ligatures w14:val="none"/>
        </w:rPr>
        <w:t>Safeguarding accountability and assurance framework</w:t>
      </w: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>. London: NHS England.</w:t>
      </w:r>
    </w:p>
    <w:p w14:paraId="0C3F4944" w14:textId="77777777" w:rsidR="008662B4" w:rsidRPr="008D69F0" w:rsidRDefault="008662B4" w:rsidP="008662B4">
      <w:pPr>
        <w:spacing w:after="0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</w:pP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 xml:space="preserve">Office for National Statistics (2022) </w:t>
      </w:r>
      <w:r w:rsidRPr="008D69F0">
        <w:rPr>
          <w:rFonts w:ascii="Arial" w:eastAsia="Times New Roman" w:hAnsi="Arial" w:cs="Arial"/>
          <w:i/>
          <w:iCs/>
          <w:kern w:val="0"/>
          <w:sz w:val="22"/>
          <w:szCs w:val="22"/>
          <w:lang w:val="en-US" w:eastAsia="en-US"/>
          <w14:ligatures w14:val="none"/>
        </w:rPr>
        <w:t>Abuse of older people in England and Wales</w:t>
      </w: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>. London: ONS.</w:t>
      </w:r>
    </w:p>
    <w:p w14:paraId="72EA6308" w14:textId="77777777" w:rsidR="008662B4" w:rsidRPr="008D69F0" w:rsidRDefault="008662B4" w:rsidP="008662B4">
      <w:pPr>
        <w:spacing w:after="0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</w:pP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 xml:space="preserve">Penhale, B. (2010) ‘Responding and intervening in elder abuse and neglect’, </w:t>
      </w:r>
      <w:r w:rsidRPr="008D69F0">
        <w:rPr>
          <w:rFonts w:ascii="Arial" w:eastAsia="Times New Roman" w:hAnsi="Arial" w:cs="Arial"/>
          <w:i/>
          <w:iCs/>
          <w:kern w:val="0"/>
          <w:sz w:val="22"/>
          <w:szCs w:val="22"/>
          <w:lang w:val="en-US" w:eastAsia="en-US"/>
          <w14:ligatures w14:val="none"/>
        </w:rPr>
        <w:t>Ageing International</w:t>
      </w: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>, 35(3), pp. 235–252.</w:t>
      </w:r>
    </w:p>
    <w:p w14:paraId="24E625FD" w14:textId="77777777" w:rsidR="008662B4" w:rsidRPr="008D69F0" w:rsidRDefault="008662B4" w:rsidP="008662B4">
      <w:pPr>
        <w:spacing w:after="0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</w:pP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lastRenderedPageBreak/>
        <w:t xml:space="preserve">Pillemer, K., Burnes, D., </w:t>
      </w:r>
      <w:proofErr w:type="spellStart"/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>Riffin</w:t>
      </w:r>
      <w:proofErr w:type="spellEnd"/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 xml:space="preserve">, C. and Lachs, M. (2016) ‘Elder abuse: Global situation, risk factors, and prevention strategies’, </w:t>
      </w:r>
      <w:r w:rsidRPr="008D69F0">
        <w:rPr>
          <w:rFonts w:ascii="Arial" w:eastAsia="Times New Roman" w:hAnsi="Arial" w:cs="Arial"/>
          <w:i/>
          <w:iCs/>
          <w:kern w:val="0"/>
          <w:sz w:val="22"/>
          <w:szCs w:val="22"/>
          <w:lang w:val="en-US" w:eastAsia="en-US"/>
          <w14:ligatures w14:val="none"/>
        </w:rPr>
        <w:t>The Gerontologist</w:t>
      </w: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>, 56(2), pp. 194–205.</w:t>
      </w:r>
    </w:p>
    <w:p w14:paraId="2C4C2CF5" w14:textId="77777777" w:rsidR="008662B4" w:rsidRPr="008D69F0" w:rsidRDefault="008662B4" w:rsidP="008662B4">
      <w:pPr>
        <w:spacing w:after="0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</w:pP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 xml:space="preserve">Preston-Shoot, M. and Cornish, S. (2014) </w:t>
      </w:r>
      <w:r w:rsidRPr="008D69F0">
        <w:rPr>
          <w:rFonts w:ascii="Arial" w:eastAsia="Times New Roman" w:hAnsi="Arial" w:cs="Arial"/>
          <w:i/>
          <w:iCs/>
          <w:kern w:val="0"/>
          <w:sz w:val="22"/>
          <w:szCs w:val="22"/>
          <w:lang w:val="en-US" w:eastAsia="en-US"/>
          <w14:ligatures w14:val="none"/>
        </w:rPr>
        <w:t>Adult safeguarding in England: Overview and policy developments</w:t>
      </w: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>. London: Social Care Institute for Excellence.</w:t>
      </w:r>
    </w:p>
    <w:p w14:paraId="016588E0" w14:textId="77777777" w:rsidR="008662B4" w:rsidRPr="008D69F0" w:rsidRDefault="008662B4" w:rsidP="008662B4">
      <w:pPr>
        <w:spacing w:after="0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</w:pP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 xml:space="preserve">Social Care Institute for Excellence (2018) </w:t>
      </w:r>
      <w:r w:rsidRPr="008D69F0">
        <w:rPr>
          <w:rFonts w:ascii="Arial" w:eastAsia="Times New Roman" w:hAnsi="Arial" w:cs="Arial"/>
          <w:i/>
          <w:iCs/>
          <w:kern w:val="0"/>
          <w:sz w:val="22"/>
          <w:szCs w:val="22"/>
          <w:lang w:val="en-US" w:eastAsia="en-US"/>
          <w14:ligatures w14:val="none"/>
        </w:rPr>
        <w:t>Safeguarding adults: Policy and practice</w:t>
      </w: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>. London: SCIE.</w:t>
      </w:r>
    </w:p>
    <w:p w14:paraId="2F40B2FF" w14:textId="77777777" w:rsidR="008662B4" w:rsidRPr="008D69F0" w:rsidRDefault="008662B4" w:rsidP="008662B4">
      <w:pPr>
        <w:spacing w:after="0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</w:pP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 xml:space="preserve">United Nations (2021) </w:t>
      </w:r>
      <w:r w:rsidRPr="008D69F0">
        <w:rPr>
          <w:rFonts w:ascii="Arial" w:eastAsia="Times New Roman" w:hAnsi="Arial" w:cs="Arial"/>
          <w:i/>
          <w:iCs/>
          <w:kern w:val="0"/>
          <w:sz w:val="22"/>
          <w:szCs w:val="22"/>
          <w:lang w:val="en-US" w:eastAsia="en-US"/>
          <w14:ligatures w14:val="none"/>
        </w:rPr>
        <w:t>World report on ageing and health</w:t>
      </w: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>. New York: United Nations.</w:t>
      </w:r>
    </w:p>
    <w:p w14:paraId="601FAE43" w14:textId="77777777" w:rsidR="008662B4" w:rsidRPr="008D69F0" w:rsidRDefault="008662B4" w:rsidP="008662B4">
      <w:pPr>
        <w:spacing w:after="0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</w:pP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 xml:space="preserve">World Health Organization (2022) </w:t>
      </w:r>
      <w:r w:rsidRPr="008D69F0">
        <w:rPr>
          <w:rFonts w:ascii="Arial" w:eastAsia="Times New Roman" w:hAnsi="Arial" w:cs="Arial"/>
          <w:i/>
          <w:iCs/>
          <w:kern w:val="0"/>
          <w:sz w:val="22"/>
          <w:szCs w:val="22"/>
          <w:lang w:val="en-US" w:eastAsia="en-US"/>
          <w14:ligatures w14:val="none"/>
        </w:rPr>
        <w:t>Elder abuse</w:t>
      </w: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>. Geneva: WHO.</w:t>
      </w:r>
    </w:p>
    <w:p w14:paraId="189C4EBA" w14:textId="77777777" w:rsidR="00345C43" w:rsidRPr="008D69F0" w:rsidRDefault="008662B4" w:rsidP="00345C43">
      <w:pPr>
        <w:rPr>
          <w:rFonts w:ascii="Arial" w:eastAsia="Times New Roman" w:hAnsi="Arial" w:cs="Arial"/>
          <w:sz w:val="22"/>
          <w:szCs w:val="22"/>
          <w:lang w:val="en-US" w:eastAsia="en-US"/>
        </w:rPr>
      </w:pPr>
      <w:r w:rsidRPr="008D69F0">
        <w:rPr>
          <w:rFonts w:ascii="Arial" w:eastAsia="Times New Roman" w:hAnsi="Arial" w:cs="Arial"/>
          <w:sz w:val="22"/>
          <w:szCs w:val="22"/>
          <w:lang w:val="en-US" w:eastAsia="en-US"/>
        </w:rPr>
        <w:t xml:space="preserve">Yon, Y., </w:t>
      </w:r>
      <w:proofErr w:type="spellStart"/>
      <w:r w:rsidRPr="008D69F0">
        <w:rPr>
          <w:rFonts w:ascii="Arial" w:eastAsia="Times New Roman" w:hAnsi="Arial" w:cs="Arial"/>
          <w:sz w:val="22"/>
          <w:szCs w:val="22"/>
          <w:lang w:val="en-US" w:eastAsia="en-US"/>
        </w:rPr>
        <w:t>Mikton</w:t>
      </w:r>
      <w:proofErr w:type="spellEnd"/>
      <w:r w:rsidRPr="008D69F0">
        <w:rPr>
          <w:rFonts w:ascii="Arial" w:eastAsia="Times New Roman" w:hAnsi="Arial" w:cs="Arial"/>
          <w:sz w:val="22"/>
          <w:szCs w:val="22"/>
          <w:lang w:val="en-US" w:eastAsia="en-US"/>
        </w:rPr>
        <w:t xml:space="preserve">, C., </w:t>
      </w:r>
      <w:proofErr w:type="spellStart"/>
      <w:r w:rsidRPr="008D69F0">
        <w:rPr>
          <w:rFonts w:ascii="Arial" w:eastAsia="Times New Roman" w:hAnsi="Arial" w:cs="Arial"/>
          <w:sz w:val="22"/>
          <w:szCs w:val="22"/>
          <w:lang w:val="en-US" w:eastAsia="en-US"/>
        </w:rPr>
        <w:t>Gassoumis</w:t>
      </w:r>
      <w:proofErr w:type="spellEnd"/>
      <w:r w:rsidRPr="008D69F0">
        <w:rPr>
          <w:rFonts w:ascii="Arial" w:eastAsia="Times New Roman" w:hAnsi="Arial" w:cs="Arial"/>
          <w:sz w:val="22"/>
          <w:szCs w:val="22"/>
          <w:lang w:val="en-US" w:eastAsia="en-US"/>
        </w:rPr>
        <w:t>, Z. and Wilber, K. (</w:t>
      </w:r>
      <w:proofErr w:type="gramStart"/>
      <w:r w:rsidRPr="008D69F0">
        <w:rPr>
          <w:rFonts w:ascii="Arial" w:eastAsia="Times New Roman" w:hAnsi="Arial" w:cs="Arial"/>
          <w:sz w:val="22"/>
          <w:szCs w:val="22"/>
          <w:lang w:val="en-US" w:eastAsia="en-US"/>
        </w:rPr>
        <w:t>2017) ‘</w:t>
      </w:r>
      <w:proofErr w:type="gramEnd"/>
      <w:r w:rsidRPr="008D69F0">
        <w:rPr>
          <w:rFonts w:ascii="Arial" w:eastAsia="Times New Roman" w:hAnsi="Arial" w:cs="Arial"/>
          <w:sz w:val="22"/>
          <w:szCs w:val="22"/>
          <w:lang w:val="en-US" w:eastAsia="en-US"/>
        </w:rPr>
        <w:t>The prevalence of elder abuse in community settings: A systematic review and meta-</w:t>
      </w:r>
    </w:p>
    <w:p w14:paraId="0953D8AD" w14:textId="2E63B845" w:rsidR="008662B4" w:rsidRPr="008D69F0" w:rsidRDefault="008662B4" w:rsidP="00345C43">
      <w:pPr>
        <w:rPr>
          <w:rFonts w:ascii="Arial" w:eastAsia="Times New Roman" w:hAnsi="Arial" w:cs="Arial"/>
          <w:sz w:val="22"/>
          <w:szCs w:val="22"/>
          <w:lang w:val="en-US" w:eastAsia="en-US"/>
        </w:rPr>
      </w:pPr>
      <w:r w:rsidRPr="008D69F0">
        <w:rPr>
          <w:rFonts w:ascii="Arial" w:eastAsia="Times New Roman" w:hAnsi="Arial" w:cs="Arial"/>
          <w:sz w:val="22"/>
          <w:szCs w:val="22"/>
          <w:lang w:val="en-US" w:eastAsia="en-US"/>
        </w:rPr>
        <w:t xml:space="preserve">analysis’, </w:t>
      </w:r>
      <w:r w:rsidRPr="008D69F0">
        <w:rPr>
          <w:rFonts w:ascii="Arial" w:eastAsia="Times New Roman" w:hAnsi="Arial" w:cs="Arial"/>
          <w:i/>
          <w:iCs/>
          <w:sz w:val="22"/>
          <w:szCs w:val="22"/>
          <w:lang w:val="en-US" w:eastAsia="en-US"/>
        </w:rPr>
        <w:t>The Lancet Global Health</w:t>
      </w:r>
      <w:r w:rsidRPr="008D69F0">
        <w:rPr>
          <w:rFonts w:ascii="Arial" w:eastAsia="Times New Roman" w:hAnsi="Arial" w:cs="Arial"/>
          <w:sz w:val="22"/>
          <w:szCs w:val="22"/>
          <w:lang w:val="en-US" w:eastAsia="en-US"/>
        </w:rPr>
        <w:t xml:space="preserve">, 5(2), pp. e147–e1Safeguarding Adults Board Managers Network (2020) </w:t>
      </w:r>
      <w:r w:rsidRPr="008D69F0">
        <w:rPr>
          <w:rFonts w:ascii="Arial" w:eastAsia="Times New Roman" w:hAnsi="Arial" w:cs="Arial"/>
          <w:i/>
          <w:iCs/>
          <w:sz w:val="22"/>
          <w:szCs w:val="22"/>
          <w:lang w:val="en-US" w:eastAsia="en-US"/>
        </w:rPr>
        <w:t>Safeguarding adults reviews: Key findings and recommendations</w:t>
      </w:r>
      <w:r w:rsidRPr="008D69F0">
        <w:rPr>
          <w:rFonts w:ascii="Arial" w:eastAsia="Times New Roman" w:hAnsi="Arial" w:cs="Arial"/>
          <w:sz w:val="22"/>
          <w:szCs w:val="22"/>
          <w:lang w:val="en-US" w:eastAsia="en-US"/>
        </w:rPr>
        <w:t>. London: SABM.</w:t>
      </w:r>
    </w:p>
    <w:p w14:paraId="70AC0D15" w14:textId="77777777" w:rsidR="008662B4" w:rsidRPr="008D69F0" w:rsidRDefault="008662B4" w:rsidP="008662B4">
      <w:pPr>
        <w:spacing w:after="0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</w:pPr>
    </w:p>
    <w:p w14:paraId="137ECD3A" w14:textId="77777777" w:rsidR="008662B4" w:rsidRPr="008D69F0" w:rsidRDefault="008662B4" w:rsidP="008662B4">
      <w:pPr>
        <w:spacing w:after="0" w:line="360" w:lineRule="auto"/>
        <w:jc w:val="both"/>
        <w:rPr>
          <w:rFonts w:ascii="Arial" w:eastAsiaTheme="minorHAnsi" w:hAnsi="Arial" w:cs="Arial"/>
          <w:kern w:val="0"/>
          <w:sz w:val="22"/>
          <w:szCs w:val="22"/>
          <w:lang w:val="en-US" w:eastAsia="en-US"/>
          <w14:ligatures w14:val="none"/>
        </w:rPr>
      </w:pPr>
    </w:p>
    <w:p w14:paraId="5F79E6DD" w14:textId="77777777" w:rsidR="008662B4" w:rsidRPr="008D69F0" w:rsidRDefault="008662B4">
      <w:pPr>
        <w:rPr>
          <w:rFonts w:ascii="Arial" w:hAnsi="Arial" w:cs="Arial"/>
          <w:sz w:val="22"/>
          <w:szCs w:val="22"/>
        </w:rPr>
      </w:pPr>
    </w:p>
    <w:sectPr w:rsidR="008662B4" w:rsidRPr="008D69F0" w:rsidSect="00142D8C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42D9B86" w14:textId="77777777" w:rsidR="00D85792" w:rsidRDefault="00D85792" w:rsidP="00D77B91">
      <w:pPr>
        <w:spacing w:after="0" w:line="240" w:lineRule="auto"/>
      </w:pPr>
      <w:r>
        <w:separator/>
      </w:r>
    </w:p>
  </w:endnote>
  <w:endnote w:type="continuationSeparator" w:id="0">
    <w:p w14:paraId="346089B1" w14:textId="77777777" w:rsidR="00D85792" w:rsidRDefault="00D85792" w:rsidP="00D77B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1B7BB99" w14:textId="77777777" w:rsidR="00D85792" w:rsidRDefault="00D85792" w:rsidP="00D77B91">
      <w:pPr>
        <w:spacing w:after="0" w:line="240" w:lineRule="auto"/>
      </w:pPr>
      <w:r>
        <w:separator/>
      </w:r>
    </w:p>
  </w:footnote>
  <w:footnote w:type="continuationSeparator" w:id="0">
    <w:p w14:paraId="1AD754D2" w14:textId="77777777" w:rsidR="00D85792" w:rsidRDefault="00D85792" w:rsidP="00D77B9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2B4"/>
    <w:rsid w:val="00077DF5"/>
    <w:rsid w:val="00142D8C"/>
    <w:rsid w:val="001765B5"/>
    <w:rsid w:val="00345C43"/>
    <w:rsid w:val="00420C7A"/>
    <w:rsid w:val="005444A7"/>
    <w:rsid w:val="005A09CE"/>
    <w:rsid w:val="00695F48"/>
    <w:rsid w:val="00806504"/>
    <w:rsid w:val="008662B4"/>
    <w:rsid w:val="008D69F0"/>
    <w:rsid w:val="009551D9"/>
    <w:rsid w:val="00A16ECF"/>
    <w:rsid w:val="00AD4253"/>
    <w:rsid w:val="00D66A43"/>
    <w:rsid w:val="00D77B91"/>
    <w:rsid w:val="00D85792"/>
    <w:rsid w:val="00DC5701"/>
    <w:rsid w:val="00E0470C"/>
    <w:rsid w:val="00F23EFE"/>
    <w:rsid w:val="00F56369"/>
    <w:rsid w:val="00F760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466811"/>
  <w15:chartTrackingRefBased/>
  <w15:docId w15:val="{AE817841-0B8A-9243-8466-E60A096AC7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662B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662B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662B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662B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662B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662B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662B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662B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662B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662B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662B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8662B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662B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662B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662B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662B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662B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662B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662B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662B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662B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662B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662B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662B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662B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662B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662B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662B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662B4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8662B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val="en-US" w:eastAsia="en-US"/>
      <w14:ligatures w14:val="none"/>
    </w:rPr>
  </w:style>
  <w:style w:type="character" w:styleId="Emphasis">
    <w:name w:val="Emphasis"/>
    <w:basedOn w:val="DefaultParagraphFont"/>
    <w:uiPriority w:val="20"/>
    <w:qFormat/>
    <w:rsid w:val="008662B4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D77B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77B91"/>
  </w:style>
  <w:style w:type="paragraph" w:styleId="Footer">
    <w:name w:val="footer"/>
    <w:basedOn w:val="Normal"/>
    <w:link w:val="FooterChar"/>
    <w:uiPriority w:val="99"/>
    <w:unhideWhenUsed/>
    <w:rsid w:val="00D77B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77B91"/>
  </w:style>
  <w:style w:type="paragraph" w:styleId="NoSpacing">
    <w:name w:val="No Spacing"/>
    <w:uiPriority w:val="1"/>
    <w:qFormat/>
    <w:rsid w:val="00D66A43"/>
    <w:pPr>
      <w:spacing w:after="0" w:line="240" w:lineRule="auto"/>
    </w:pPr>
  </w:style>
  <w:style w:type="paragraph" w:customStyle="1" w:styleId="s19">
    <w:name w:val="s19"/>
    <w:basedOn w:val="Normal"/>
    <w:rsid w:val="00806504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10">
    <w:name w:val="s10"/>
    <w:basedOn w:val="DefaultParagraphFont"/>
    <w:rsid w:val="0080650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C48B67E562FF45ADD1FE43E2BC7706" ma:contentTypeVersion="9" ma:contentTypeDescription="Create a new document." ma:contentTypeScope="" ma:versionID="62d38765b0affc1eae5babdf82fc00d2">
  <xsd:schema xmlns:xsd="http://www.w3.org/2001/XMLSchema" xmlns:xs="http://www.w3.org/2001/XMLSchema" xmlns:p="http://schemas.microsoft.com/office/2006/metadata/properties" xmlns:ns3="ad7316b1-23f1-480c-8fa6-cbf037f4db9c" xmlns:ns4="bd2b2a82-bc2e-4fcc-b8ad-fd63686c78d2" targetNamespace="http://schemas.microsoft.com/office/2006/metadata/properties" ma:root="true" ma:fieldsID="ff31571bf3a6a9a054423961d035f624" ns3:_="" ns4:_="">
    <xsd:import namespace="ad7316b1-23f1-480c-8fa6-cbf037f4db9c"/>
    <xsd:import namespace="bd2b2a82-bc2e-4fcc-b8ad-fd63686c7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7316b1-23f1-480c-8fa6-cbf037f4db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2b2a82-bc2e-4fcc-b8ad-fd63686c78d2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d7316b1-23f1-480c-8fa6-cbf037f4db9c" xsi:nil="true"/>
  </documentManagement>
</p:properties>
</file>

<file path=customXml/itemProps1.xml><?xml version="1.0" encoding="utf-8"?>
<ds:datastoreItem xmlns:ds="http://schemas.openxmlformats.org/officeDocument/2006/customXml" ds:itemID="{ABD27B63-F7A5-4972-853F-5B7AFD3A4C5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7316b1-23f1-480c-8fa6-cbf037f4db9c"/>
    <ds:schemaRef ds:uri="bd2b2a82-bc2e-4fcc-b8ad-fd63686c7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155F84E-4B8B-4FCE-8512-C1DD25063A4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916F0D2-B8CD-4BBD-8596-1C4E9A931C88}">
  <ds:schemaRefs>
    <ds:schemaRef ds:uri="http://schemas.microsoft.com/office/2006/metadata/properties"/>
    <ds:schemaRef ds:uri="http://schemas.microsoft.com/office/infopath/2007/PartnerControls"/>
    <ds:schemaRef ds:uri="ad7316b1-23f1-480c-8fa6-cbf037f4db9c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385</Words>
  <Characters>2195</Characters>
  <Application>Microsoft Office Word</Application>
  <DocSecurity>0</DocSecurity>
  <Lines>18</Lines>
  <Paragraphs>5</Paragraphs>
  <ScaleCrop>false</ScaleCrop>
  <Company/>
  <LinksUpToDate>false</LinksUpToDate>
  <CharactersWithSpaces>2575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Imade Omorogbe (2310505)</dc:creator>
  <cp:keywords/>
  <dc:description/>
  <cp:lastModifiedBy>Yahaddy Bangura (2315639)</cp:lastModifiedBy>
  <cp:revision>2</cp:revision>
  <dcterms:created xsi:type="dcterms:W3CDTF">2026-03-14T20:38:00Z</dcterms:created>
  <dcterms:modified xsi:type="dcterms:W3CDTF">2026-03-14T20:38:00Z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0x01010096C48B67E562FF45ADD1FE43E2BC7706</vt:lpwstr>
  </property>
</Properties>
</file>