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77D4CA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A04B7">
              <w:rPr>
                <w:rFonts w:ascii="Times New Roman" w:hAnsi="Times New Roman" w:cs="Times New Roman"/>
                <w:b/>
                <w:color w:val="auto"/>
                <w:sz w:val="48"/>
              </w:rPr>
              <w:t>Lorna Davies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13D8A2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FA04B7">
              <w:rPr>
                <w:rFonts w:ascii="Times New Roman" w:hAnsi="Times New Roman" w:cs="Times New Roman"/>
                <w:b/>
                <w:color w:val="auto"/>
                <w:sz w:val="48"/>
              </w:rPr>
              <w:t>lorna.davies@powys.gov.uk</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715551FD" w14:textId="1B75DE90" w:rsidR="00FA04B7" w:rsidRPr="005D3F07" w:rsidRDefault="00FA04B7"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2219233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t>
      </w:r>
      <w:proofErr w:type="gramStart"/>
      <w:r w:rsidR="005F64AA">
        <w:rPr>
          <w:b/>
          <w:sz w:val="28"/>
          <w:szCs w:val="28"/>
        </w:rPr>
        <w:t>work</w:t>
      </w:r>
      <w:proofErr w:type="gramEnd"/>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2B270CBF" w14:textId="77777777" w:rsidR="008A4590"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49E32C47" w14:textId="77777777" w:rsidR="008A4590" w:rsidRDefault="008A4590" w:rsidP="00FF7EBB">
            <w:pPr>
              <w:jc w:val="both"/>
              <w:rPr>
                <w:sz w:val="24"/>
                <w:szCs w:val="24"/>
              </w:rPr>
            </w:pPr>
          </w:p>
          <w:p w14:paraId="75182CFB" w14:textId="77777777" w:rsidR="00863087" w:rsidRPr="00863087" w:rsidRDefault="00BB7FD2" w:rsidP="00863087">
            <w:pPr>
              <w:jc w:val="both"/>
              <w:rPr>
                <w:sz w:val="24"/>
                <w:szCs w:val="24"/>
              </w:rPr>
            </w:pPr>
            <w:r>
              <w:rPr>
                <w:sz w:val="24"/>
                <w:szCs w:val="24"/>
              </w:rPr>
              <w:t xml:space="preserve"> </w:t>
            </w:r>
            <w:r w:rsidR="00863087" w:rsidRPr="00863087">
              <w:rPr>
                <w:sz w:val="24"/>
                <w:szCs w:val="24"/>
              </w:rPr>
              <w:t xml:space="preserve">I work in an adult setting of 18 years old and above, therefore I will be focussing this area around Childrens safeguarding. I will be looking at national, local and organisational policies and procedures in a children’s area where safeguarding is a concern.  </w:t>
            </w:r>
          </w:p>
          <w:p w14:paraId="3B829D36" w14:textId="77777777" w:rsidR="00863087" w:rsidRPr="00863087" w:rsidRDefault="00863087" w:rsidP="00863087">
            <w:pPr>
              <w:jc w:val="both"/>
              <w:rPr>
                <w:sz w:val="24"/>
                <w:szCs w:val="24"/>
              </w:rPr>
            </w:pPr>
            <w:r w:rsidRPr="00863087">
              <w:rPr>
                <w:sz w:val="24"/>
                <w:szCs w:val="24"/>
              </w:rPr>
              <w:t xml:space="preserve">Social Services and well-being (Wales) Act S130 (SSWB(W)A) (2014) </w:t>
            </w:r>
            <w:proofErr w:type="gramStart"/>
            <w:r w:rsidRPr="00863087">
              <w:rPr>
                <w:sz w:val="24"/>
                <w:szCs w:val="24"/>
              </w:rPr>
              <w:t>is</w:t>
            </w:r>
            <w:proofErr w:type="gramEnd"/>
            <w:r w:rsidRPr="00863087">
              <w:rPr>
                <w:sz w:val="24"/>
                <w:szCs w:val="24"/>
              </w:rPr>
              <w:t xml:space="preserve"> an essential part of child at risk legislation in Wales, S130 of SSWB(W)A, states ‘relevant partners of a local authority (LA), to inform the LA if they suspect a child is at risk of abuse, neglect or harm’.</w:t>
            </w:r>
          </w:p>
          <w:p w14:paraId="1CD5E46E" w14:textId="77777777" w:rsidR="00863087" w:rsidRPr="00863087" w:rsidRDefault="00863087" w:rsidP="00863087">
            <w:pPr>
              <w:jc w:val="both"/>
              <w:rPr>
                <w:sz w:val="24"/>
                <w:szCs w:val="24"/>
              </w:rPr>
            </w:pPr>
            <w:r w:rsidRPr="00863087">
              <w:rPr>
                <w:sz w:val="24"/>
                <w:szCs w:val="24"/>
              </w:rPr>
              <w:t xml:space="preserve">SSWB(W)A (2014) S7 discusses The National independent Safeguarding Board, the duties are ensuring they provide support and advice, and safeguard children in Wales. </w:t>
            </w:r>
          </w:p>
          <w:p w14:paraId="54A91232" w14:textId="77777777" w:rsidR="00863087" w:rsidRPr="00863087" w:rsidRDefault="00863087" w:rsidP="00863087">
            <w:pPr>
              <w:jc w:val="both"/>
              <w:rPr>
                <w:sz w:val="24"/>
                <w:szCs w:val="24"/>
              </w:rPr>
            </w:pPr>
            <w:r w:rsidRPr="00863087">
              <w:rPr>
                <w:sz w:val="24"/>
                <w:szCs w:val="24"/>
              </w:rPr>
              <w:t xml:space="preserve">       </w:t>
            </w:r>
          </w:p>
          <w:p w14:paraId="752BF7E1" w14:textId="77777777" w:rsidR="00863087" w:rsidRPr="00863087" w:rsidRDefault="00863087" w:rsidP="00863087">
            <w:pPr>
              <w:jc w:val="both"/>
              <w:rPr>
                <w:sz w:val="24"/>
                <w:szCs w:val="24"/>
              </w:rPr>
            </w:pPr>
            <w:r w:rsidRPr="00863087">
              <w:rPr>
                <w:sz w:val="24"/>
                <w:szCs w:val="24"/>
              </w:rPr>
              <w:t xml:space="preserve">Signs of Safety (SOS) was implemented (2018), it was developed to work in an integrated way; SOS ensures children and young people are safe healthy and have a voice that is listened to.  SOS is an integrated framework which underpins principles for practice within children’s services.   </w:t>
            </w:r>
          </w:p>
          <w:p w14:paraId="32D16C46" w14:textId="77777777" w:rsidR="00863087" w:rsidRPr="00863087" w:rsidRDefault="00863087" w:rsidP="00863087">
            <w:pPr>
              <w:jc w:val="both"/>
              <w:rPr>
                <w:sz w:val="24"/>
                <w:szCs w:val="24"/>
              </w:rPr>
            </w:pPr>
            <w:r w:rsidRPr="00863087">
              <w:rPr>
                <w:sz w:val="24"/>
                <w:szCs w:val="24"/>
              </w:rPr>
              <w:t>There are similarities to processes within the referral for safeguarding adults and children; however vulnerable children do not have a voice, therefore reliant on the signs being noted by professionals and referral processes adhered to, ensuring parental responsibility is always present.  Parental responsibility means the ‘legal rights that parents or guardians have for their child’ (MDU.com 2022).</w:t>
            </w:r>
          </w:p>
          <w:p w14:paraId="273384E2" w14:textId="77777777" w:rsidR="00863087" w:rsidRPr="00863087" w:rsidRDefault="00863087" w:rsidP="00863087">
            <w:pPr>
              <w:jc w:val="both"/>
              <w:rPr>
                <w:sz w:val="24"/>
                <w:szCs w:val="24"/>
              </w:rPr>
            </w:pPr>
            <w:r w:rsidRPr="00863087">
              <w:rPr>
                <w:sz w:val="24"/>
                <w:szCs w:val="24"/>
              </w:rPr>
              <w:t xml:space="preserve">However even if the child understands the risks, if under 18years old the law states an adult must be present.    </w:t>
            </w:r>
          </w:p>
          <w:p w14:paraId="7E7DA891" w14:textId="77777777" w:rsidR="00863087" w:rsidRPr="00863087" w:rsidRDefault="00863087" w:rsidP="00863087">
            <w:pPr>
              <w:jc w:val="both"/>
              <w:rPr>
                <w:sz w:val="24"/>
                <w:szCs w:val="24"/>
              </w:rPr>
            </w:pPr>
            <w:r w:rsidRPr="00863087">
              <w:rPr>
                <w:sz w:val="24"/>
                <w:szCs w:val="24"/>
              </w:rPr>
              <w:t xml:space="preserve">Children under 18 years old are classed as minors, therefore require an appropriate adult or someone that has parental responsibility over them by law (Section 20 Children Act 1989) however there are certain laws in place to allow a child to have choices even if they’re parents do not agree with decisions the child is making.  </w:t>
            </w:r>
          </w:p>
          <w:p w14:paraId="35B8B40B" w14:textId="77777777" w:rsidR="00863087" w:rsidRPr="00863087" w:rsidRDefault="00863087" w:rsidP="00863087">
            <w:pPr>
              <w:jc w:val="both"/>
              <w:rPr>
                <w:sz w:val="24"/>
                <w:szCs w:val="24"/>
              </w:rPr>
            </w:pPr>
            <w:r w:rsidRPr="00863087">
              <w:rPr>
                <w:sz w:val="24"/>
                <w:szCs w:val="24"/>
              </w:rPr>
              <w:t xml:space="preserve">16- &amp; 17-year-olds (Section 20(11) Children Act 1989) states they can support themselves against the wishes of their parents, but it is essential they understand the risks and are able to consent to the relevant decision they are making.  </w:t>
            </w:r>
          </w:p>
          <w:p w14:paraId="09DFDD18" w14:textId="77777777" w:rsidR="00863087" w:rsidRPr="00863087" w:rsidRDefault="00863087" w:rsidP="00863087">
            <w:pPr>
              <w:jc w:val="both"/>
              <w:rPr>
                <w:sz w:val="24"/>
                <w:szCs w:val="24"/>
              </w:rPr>
            </w:pPr>
            <w:r w:rsidRPr="00863087">
              <w:rPr>
                <w:sz w:val="24"/>
                <w:szCs w:val="24"/>
              </w:rPr>
              <w:t xml:space="preserve">There are further cases where children have made decisions independently, that must be looked at even if parental consent is not agreed.  Gillick competence (MDU.com 2022) </w:t>
            </w:r>
            <w:r w:rsidRPr="00863087">
              <w:rPr>
                <w:sz w:val="24"/>
                <w:szCs w:val="24"/>
              </w:rPr>
              <w:lastRenderedPageBreak/>
              <w:t xml:space="preserve">discusses how if they’re mature enough, and whether they are capable to make decisions around they’re health and welfare; ‘this relates to children under 16 and is decided on an individual basis’, it discusses how ‘parents cannot override the decision the child makes if it is in the young person’s best interest’. </w:t>
            </w:r>
          </w:p>
          <w:p w14:paraId="6C31A60D" w14:textId="77777777" w:rsidR="00863087" w:rsidRPr="00863087" w:rsidRDefault="00863087" w:rsidP="00863087">
            <w:pPr>
              <w:jc w:val="both"/>
              <w:rPr>
                <w:sz w:val="24"/>
                <w:szCs w:val="24"/>
              </w:rPr>
            </w:pPr>
            <w:r w:rsidRPr="00863087">
              <w:rPr>
                <w:sz w:val="24"/>
                <w:szCs w:val="24"/>
              </w:rPr>
              <w:t xml:space="preserve">United nations Convention on the Rights of the child (UNCRC) focusses and protects the Human Rights of the child.  Human Rights Act (HRA) (1998) discusses the how, the courts say ‘Local authority must take positive steps to protect children from abuse and neglect’ not protecting children from abuse or neglect, could be a breach of articles of HRA (1998).   </w:t>
            </w:r>
          </w:p>
          <w:p w14:paraId="47BC33BD" w14:textId="77777777" w:rsidR="00863087" w:rsidRPr="00863087" w:rsidRDefault="00863087" w:rsidP="00863087">
            <w:pPr>
              <w:jc w:val="both"/>
              <w:rPr>
                <w:sz w:val="24"/>
                <w:szCs w:val="24"/>
              </w:rPr>
            </w:pPr>
            <w:r w:rsidRPr="00863087">
              <w:rPr>
                <w:sz w:val="24"/>
                <w:szCs w:val="24"/>
              </w:rPr>
              <w:t xml:space="preserve">Safeguarding in children’s practice discusses the ‘4 R’s, of practice, being Recognise, Record, Report and Refer’ where there is a situation of abuse, these are the key principles of practice, these raise a referral for safeguarding.  </w:t>
            </w:r>
          </w:p>
          <w:p w14:paraId="1A19AC9C" w14:textId="77777777" w:rsidR="00863087" w:rsidRDefault="00863087" w:rsidP="00863087">
            <w:pPr>
              <w:jc w:val="both"/>
              <w:rPr>
                <w:sz w:val="24"/>
                <w:szCs w:val="24"/>
              </w:rPr>
            </w:pPr>
            <w:r w:rsidRPr="00863087">
              <w:rPr>
                <w:sz w:val="24"/>
                <w:szCs w:val="24"/>
              </w:rPr>
              <w:t xml:space="preserve">If high risk safeguarding case a Multi-Agency Risk Assessment Conference known as a MARAC is held, this includes all professionals involved are aware and up to date with information to ensure effective practice. </w:t>
            </w:r>
          </w:p>
          <w:p w14:paraId="49641ACD" w14:textId="19D3735B" w:rsidR="00FC0334" w:rsidRDefault="0015438D" w:rsidP="00FF7EBB">
            <w:pPr>
              <w:jc w:val="both"/>
              <w:rPr>
                <w:sz w:val="24"/>
                <w:szCs w:val="24"/>
              </w:rPr>
            </w:pPr>
            <w:r>
              <w:rPr>
                <w:sz w:val="24"/>
                <w:szCs w:val="24"/>
              </w:rPr>
              <w:t>Words 538</w:t>
            </w: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32223282" w14:textId="77777777" w:rsidR="008A4590" w:rsidRDefault="008A4590" w:rsidP="00FF7EBB">
            <w:pPr>
              <w:jc w:val="both"/>
              <w:rPr>
                <w:sz w:val="24"/>
                <w:szCs w:val="24"/>
              </w:rPr>
            </w:pP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7D11621C"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r w:rsidR="00760A0E">
              <w:rPr>
                <w:sz w:val="24"/>
                <w:szCs w:val="24"/>
              </w:rPr>
              <w:t>.</w:t>
            </w:r>
          </w:p>
          <w:p w14:paraId="72C14F70" w14:textId="77777777" w:rsidR="00760A0E" w:rsidRDefault="00760A0E" w:rsidP="00FC0334">
            <w:pPr>
              <w:jc w:val="both"/>
              <w:rPr>
                <w:sz w:val="24"/>
                <w:szCs w:val="24"/>
              </w:rPr>
            </w:pPr>
          </w:p>
          <w:p w14:paraId="05BC87FC" w14:textId="40D7C44C" w:rsidR="005273BB" w:rsidRPr="005273BB" w:rsidRDefault="005273BB" w:rsidP="005273BB">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273BB">
              <w:rPr>
                <w:rFonts w:asciiTheme="minorHAnsi" w:eastAsiaTheme="minorHAnsi" w:hAnsiTheme="minorHAnsi" w:cstheme="minorBidi"/>
                <w:color w:val="auto"/>
                <w:sz w:val="28"/>
                <w:szCs w:val="28"/>
                <w:lang w:eastAsia="en-US"/>
              </w:rPr>
              <w:t>Reflecting on the difference between safeguarding in adults’ and children’s work.  The biggest difference is around capacity and decision making, being deemed to have capacity in adults; adults are allowed to make unwise decisions (MCA 2005) principle 3.  Providing they can retain the information and weigh up the decision</w:t>
            </w:r>
            <w:r w:rsidR="00FC0F12">
              <w:rPr>
                <w:rFonts w:asciiTheme="minorHAnsi" w:eastAsiaTheme="minorHAnsi" w:hAnsiTheme="minorHAnsi" w:cstheme="minorBidi"/>
                <w:color w:val="auto"/>
                <w:sz w:val="28"/>
                <w:szCs w:val="28"/>
                <w:lang w:eastAsia="en-US"/>
              </w:rPr>
              <w:t xml:space="preserve">, </w:t>
            </w:r>
            <w:r w:rsidR="00482BCB">
              <w:rPr>
                <w:rFonts w:asciiTheme="minorHAnsi" w:eastAsiaTheme="minorHAnsi" w:hAnsiTheme="minorHAnsi" w:cstheme="minorBidi"/>
                <w:color w:val="auto"/>
                <w:sz w:val="28"/>
                <w:szCs w:val="28"/>
                <w:lang w:eastAsia="en-US"/>
              </w:rPr>
              <w:t>consent</w:t>
            </w:r>
            <w:r w:rsidR="008E19E2">
              <w:rPr>
                <w:rFonts w:asciiTheme="minorHAnsi" w:eastAsiaTheme="minorHAnsi" w:hAnsiTheme="minorHAnsi" w:cstheme="minorBidi"/>
                <w:color w:val="auto"/>
                <w:sz w:val="28"/>
                <w:szCs w:val="28"/>
                <w:lang w:eastAsia="en-US"/>
              </w:rPr>
              <w:t xml:space="preserve"> </w:t>
            </w:r>
            <w:r w:rsidR="00A87C4F">
              <w:rPr>
                <w:rFonts w:asciiTheme="minorHAnsi" w:eastAsiaTheme="minorHAnsi" w:hAnsiTheme="minorHAnsi" w:cstheme="minorBidi"/>
                <w:color w:val="auto"/>
                <w:sz w:val="28"/>
                <w:szCs w:val="28"/>
                <w:lang w:eastAsia="en-US"/>
              </w:rPr>
              <w:t>is also required as an adult if deemed to have capacity</w:t>
            </w:r>
            <w:r w:rsidRPr="005273BB">
              <w:rPr>
                <w:rFonts w:asciiTheme="minorHAnsi" w:eastAsiaTheme="minorHAnsi" w:hAnsiTheme="minorHAnsi" w:cstheme="minorBidi"/>
                <w:color w:val="auto"/>
                <w:sz w:val="28"/>
                <w:szCs w:val="28"/>
                <w:lang w:eastAsia="en-US"/>
              </w:rPr>
              <w:t xml:space="preserve">. </w:t>
            </w:r>
          </w:p>
          <w:p w14:paraId="2CB97B95" w14:textId="117D2D8C" w:rsidR="005273BB" w:rsidRPr="005273BB" w:rsidRDefault="005273BB" w:rsidP="005273BB">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273BB">
              <w:rPr>
                <w:rFonts w:asciiTheme="minorHAnsi" w:eastAsiaTheme="minorHAnsi" w:hAnsiTheme="minorHAnsi" w:cstheme="minorBidi"/>
                <w:color w:val="auto"/>
                <w:sz w:val="28"/>
                <w:szCs w:val="28"/>
                <w:lang w:eastAsia="en-US"/>
              </w:rPr>
              <w:t>However, a child always requires a responsible person therefore is supported and guided within the law and as legislation advises.  Although there are certain decisions especially around, the young person’s health.  Where a child is under 16 years old</w:t>
            </w:r>
            <w:r w:rsidR="000A104C">
              <w:rPr>
                <w:rFonts w:asciiTheme="minorHAnsi" w:eastAsiaTheme="minorHAnsi" w:hAnsiTheme="minorHAnsi" w:cstheme="minorBidi"/>
                <w:color w:val="auto"/>
                <w:sz w:val="28"/>
                <w:szCs w:val="28"/>
                <w:lang w:eastAsia="en-US"/>
              </w:rPr>
              <w:t xml:space="preserve"> consent can be given</w:t>
            </w:r>
            <w:r w:rsidR="00382077">
              <w:rPr>
                <w:rFonts w:asciiTheme="minorHAnsi" w:eastAsiaTheme="minorHAnsi" w:hAnsiTheme="minorHAnsi" w:cstheme="minorBidi"/>
                <w:color w:val="auto"/>
                <w:sz w:val="28"/>
                <w:szCs w:val="28"/>
                <w:lang w:eastAsia="en-US"/>
              </w:rPr>
              <w:t xml:space="preserve"> if they are judged responsible</w:t>
            </w:r>
            <w:r w:rsidR="00B915F7">
              <w:rPr>
                <w:rFonts w:asciiTheme="minorHAnsi" w:eastAsiaTheme="minorHAnsi" w:hAnsiTheme="minorHAnsi" w:cstheme="minorBidi"/>
                <w:color w:val="auto"/>
                <w:sz w:val="28"/>
                <w:szCs w:val="28"/>
                <w:lang w:eastAsia="en-US"/>
              </w:rPr>
              <w:t xml:space="preserve"> and</w:t>
            </w:r>
            <w:r w:rsidRPr="005273BB">
              <w:rPr>
                <w:rFonts w:asciiTheme="minorHAnsi" w:eastAsiaTheme="minorHAnsi" w:hAnsiTheme="minorHAnsi" w:cstheme="minorBidi"/>
                <w:color w:val="auto"/>
                <w:sz w:val="28"/>
                <w:szCs w:val="28"/>
                <w:lang w:eastAsia="en-US"/>
              </w:rPr>
              <w:t xml:space="preserve"> deemed mature enough to decide, this is called Gillick Competence.  Although this decision is decided by the law and with professionals, giving the child a voice, it is still not a sole decision, even if the child is deemed as being mature, they do not have a voice.</w:t>
            </w:r>
          </w:p>
          <w:p w14:paraId="62C6BCF9" w14:textId="77777777" w:rsidR="005273BB" w:rsidRPr="005273BB" w:rsidRDefault="005273BB" w:rsidP="005273BB">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273BB">
              <w:rPr>
                <w:rFonts w:asciiTheme="minorHAnsi" w:eastAsiaTheme="minorHAnsi" w:hAnsiTheme="minorHAnsi" w:cstheme="minorBidi"/>
                <w:color w:val="auto"/>
                <w:sz w:val="28"/>
                <w:szCs w:val="28"/>
                <w:lang w:eastAsia="en-US"/>
              </w:rPr>
              <w:lastRenderedPageBreak/>
              <w:t xml:space="preserve">Although an adult may be deemed to have capacity and is under principle 3 of the MCA (2005) and able to make an unwise decision.  Safeguarding and police can still decide on further actions to ensure the person and others are kept safe. </w:t>
            </w:r>
          </w:p>
          <w:p w14:paraId="7D4C7EFC" w14:textId="77777777" w:rsidR="005273BB" w:rsidRPr="005273BB" w:rsidRDefault="005273BB" w:rsidP="005273BB">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273BB">
              <w:rPr>
                <w:rFonts w:asciiTheme="minorHAnsi" w:eastAsiaTheme="minorHAnsi" w:hAnsiTheme="minorHAnsi" w:cstheme="minorBidi"/>
                <w:color w:val="auto"/>
                <w:sz w:val="28"/>
                <w:szCs w:val="28"/>
                <w:lang w:eastAsia="en-US"/>
              </w:rPr>
              <w:t xml:space="preserve">A young person under 18 years old requires a responsible adult to be present, even when police have reasonable grounds for suspicion of an offence and may be breaking the law.  Section 11 of the Childrens act (2004) ‘requires police to have regard and safeguard and promote the welfare of all persons under 18 years old’.  It is essential that the principle of having parental responsibility is adhered to, this ensures the safeguard of the children.  </w:t>
            </w:r>
          </w:p>
          <w:p w14:paraId="7AB08447" w14:textId="77777777" w:rsidR="005273BB" w:rsidRPr="005273BB" w:rsidRDefault="005273BB" w:rsidP="005273BB">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273BB">
              <w:rPr>
                <w:rFonts w:asciiTheme="minorHAnsi" w:eastAsiaTheme="minorHAnsi" w:hAnsiTheme="minorHAnsi" w:cstheme="minorBidi"/>
                <w:color w:val="auto"/>
                <w:sz w:val="28"/>
                <w:szCs w:val="28"/>
                <w:lang w:eastAsia="en-US"/>
              </w:rPr>
              <w:t xml:space="preserve">Therefore, the difference between safeguarding children’s and adults is that the child does not have a voice even if mature enough to have an opinion that is not the same as the person with parental responsibility.  Therefore, resulting in anything other than a health decision, which will be adhered to the law and guidance in place.  The law and guidance in Wales, England and Scotland can vary and should be checked although they are all part of the UK.   </w:t>
            </w:r>
          </w:p>
          <w:p w14:paraId="60CF8603" w14:textId="77777777" w:rsidR="005273BB" w:rsidRPr="005273BB" w:rsidRDefault="005273BB" w:rsidP="005273BB">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273BB">
              <w:rPr>
                <w:rFonts w:asciiTheme="minorHAnsi" w:eastAsiaTheme="minorHAnsi" w:hAnsiTheme="minorHAnsi" w:cstheme="minorBidi"/>
                <w:color w:val="auto"/>
                <w:sz w:val="28"/>
                <w:szCs w:val="28"/>
                <w:lang w:eastAsia="en-US"/>
              </w:rPr>
              <w:t xml:space="preserve">However, an adult can make repeated decisions that are unwise when deemed to have capacity under principle 3, MCA (2005) providing they are safe and not harming others.  </w:t>
            </w:r>
          </w:p>
          <w:p w14:paraId="1455026D" w14:textId="77777777" w:rsidR="005273BB" w:rsidRPr="005273BB" w:rsidRDefault="005273BB" w:rsidP="005273BB">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273BB">
              <w:rPr>
                <w:rFonts w:asciiTheme="minorHAnsi" w:eastAsiaTheme="minorHAnsi" w:hAnsiTheme="minorHAnsi" w:cstheme="minorBidi"/>
                <w:color w:val="auto"/>
                <w:sz w:val="28"/>
                <w:szCs w:val="28"/>
                <w:lang w:eastAsia="en-US"/>
              </w:rPr>
              <w:t>MCA (2005) gives us clearer guidance in adults; however, this does not apply for children.</w:t>
            </w:r>
          </w:p>
          <w:p w14:paraId="1C4AC134" w14:textId="56B14EF8" w:rsidR="005273BB" w:rsidRPr="005273BB" w:rsidRDefault="005273BB" w:rsidP="005273BB">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273BB">
              <w:rPr>
                <w:rFonts w:asciiTheme="minorHAnsi" w:eastAsiaTheme="minorHAnsi" w:hAnsiTheme="minorHAnsi" w:cstheme="minorBidi"/>
                <w:color w:val="auto"/>
                <w:sz w:val="28"/>
                <w:szCs w:val="28"/>
                <w:lang w:eastAsia="en-US"/>
              </w:rPr>
              <w:t>Words 3</w:t>
            </w:r>
            <w:r w:rsidR="00F04451">
              <w:rPr>
                <w:rFonts w:asciiTheme="minorHAnsi" w:eastAsiaTheme="minorHAnsi" w:hAnsiTheme="minorHAnsi" w:cstheme="minorBidi"/>
                <w:color w:val="auto"/>
                <w:sz w:val="28"/>
                <w:szCs w:val="28"/>
                <w:lang w:eastAsia="en-US"/>
              </w:rPr>
              <w:t>9</w:t>
            </w:r>
            <w:r w:rsidRPr="005273BB">
              <w:rPr>
                <w:rFonts w:asciiTheme="minorHAnsi" w:eastAsiaTheme="minorHAnsi" w:hAnsiTheme="minorHAnsi" w:cstheme="minorBidi"/>
                <w:color w:val="auto"/>
                <w:sz w:val="28"/>
                <w:szCs w:val="28"/>
                <w:lang w:eastAsia="en-US"/>
              </w:rPr>
              <w:t>9.</w:t>
            </w: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D383E1" w14:textId="77777777" w:rsidR="00B71A53" w:rsidRDefault="00B71A53">
      <w:r>
        <w:separator/>
      </w:r>
    </w:p>
  </w:endnote>
  <w:endnote w:type="continuationSeparator" w:id="0">
    <w:p w14:paraId="30543ED9" w14:textId="77777777" w:rsidR="00B71A53" w:rsidRDefault="00B71A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EB44AE" w14:textId="77777777" w:rsidR="00B71A53" w:rsidRDefault="00B71A53">
      <w:r>
        <w:separator/>
      </w:r>
    </w:p>
  </w:footnote>
  <w:footnote w:type="continuationSeparator" w:id="0">
    <w:p w14:paraId="00B5C1CE" w14:textId="77777777" w:rsidR="00B71A53" w:rsidRDefault="00B71A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104C"/>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438D"/>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077"/>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BCB"/>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73B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5F797E"/>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0A0E"/>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3087"/>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4590"/>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19E2"/>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87C4F"/>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1A53"/>
    <w:rsid w:val="00B7502A"/>
    <w:rsid w:val="00B77305"/>
    <w:rsid w:val="00B774BD"/>
    <w:rsid w:val="00B82CC2"/>
    <w:rsid w:val="00B84A89"/>
    <w:rsid w:val="00B915F7"/>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7755"/>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4451"/>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04B7"/>
    <w:rsid w:val="00FA23BD"/>
    <w:rsid w:val="00FA3764"/>
    <w:rsid w:val="00FA41C7"/>
    <w:rsid w:val="00FA4A79"/>
    <w:rsid w:val="00FA56ED"/>
    <w:rsid w:val="00FB05DD"/>
    <w:rsid w:val="00FB0F7C"/>
    <w:rsid w:val="00FB24EA"/>
    <w:rsid w:val="00FB5FA6"/>
    <w:rsid w:val="00FC0334"/>
    <w:rsid w:val="00FC0F12"/>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4</Pages>
  <Words>1061</Words>
  <Characters>6049</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Lorna Davies</cp:lastModifiedBy>
  <cp:revision>17</cp:revision>
  <cp:lastPrinted>2020-02-11T19:20:00Z</cp:lastPrinted>
  <dcterms:created xsi:type="dcterms:W3CDTF">2023-09-26T12:59:00Z</dcterms:created>
  <dcterms:modified xsi:type="dcterms:W3CDTF">2023-10-10T08:24:00Z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