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74BDF"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76267C81"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3D83608B"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741B7BC0"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5D676AFC"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638037A9"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48E440BC"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77944D2D"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0F61B23C"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31FF5714"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2BBC6558" w14:textId="77777777" w:rsidR="000D50E8" w:rsidRDefault="000D50E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p>
    <w:p w14:paraId="7588BAF4"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ASSIGNMENT 2 REPORT</w:t>
      </w:r>
    </w:p>
    <w:p w14:paraId="1979289D" w14:textId="77777777" w:rsidR="000D50E8" w:rsidRDefault="00B22EAB">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5817E02E" w14:textId="77777777" w:rsidR="000D50E8" w:rsidRDefault="000D50E8">
      <w:pPr>
        <w:spacing w:line="360" w:lineRule="auto"/>
        <w:rPr>
          <w:rFonts w:ascii="Times New Roman" w:eastAsia="Times New Roman" w:hAnsi="Times New Roman" w:cs="Times New Roman"/>
          <w:b/>
          <w:sz w:val="32"/>
          <w:szCs w:val="32"/>
          <w:highlight w:val="white"/>
        </w:rPr>
      </w:pPr>
    </w:p>
    <w:p w14:paraId="27003A0D" w14:textId="77777777" w:rsidR="000D50E8" w:rsidRDefault="00B22EAB">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Name: Nicoleta Claudia Jeculescu</w:t>
      </w:r>
    </w:p>
    <w:p w14:paraId="4EBFC96E" w14:textId="77777777" w:rsidR="000D50E8" w:rsidRDefault="00B22EAB">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2011088</w:t>
      </w:r>
    </w:p>
    <w:p w14:paraId="2E9F7075" w14:textId="77777777" w:rsidR="000D50E8" w:rsidRDefault="00B22EAB">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LCBB5002</w:t>
      </w:r>
    </w:p>
    <w:p w14:paraId="35A9F6C5" w14:textId="77777777" w:rsidR="000D50E8" w:rsidRDefault="00B22EAB">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Management Accounting</w:t>
      </w:r>
    </w:p>
    <w:p w14:paraId="546CBB3B" w14:textId="77777777" w:rsidR="000D50E8" w:rsidRDefault="000D50E8">
      <w:pPr>
        <w:spacing w:line="360" w:lineRule="auto"/>
        <w:rPr>
          <w:rFonts w:ascii="Times New Roman" w:eastAsia="Times New Roman" w:hAnsi="Times New Roman" w:cs="Times New Roman"/>
          <w:b/>
          <w:sz w:val="32"/>
          <w:szCs w:val="32"/>
          <w:highlight w:val="white"/>
        </w:rPr>
      </w:pPr>
    </w:p>
    <w:p w14:paraId="6A57B434" w14:textId="77777777" w:rsidR="000D50E8" w:rsidRDefault="000D50E8">
      <w:pPr>
        <w:spacing w:line="360" w:lineRule="auto"/>
        <w:rPr>
          <w:rFonts w:ascii="Times New Roman" w:eastAsia="Times New Roman" w:hAnsi="Times New Roman" w:cs="Times New Roman"/>
          <w:b/>
          <w:sz w:val="32"/>
          <w:szCs w:val="32"/>
          <w:highlight w:val="white"/>
        </w:rPr>
      </w:pPr>
    </w:p>
    <w:p w14:paraId="41A90CB3" w14:textId="77777777" w:rsidR="000D50E8" w:rsidRDefault="000D50E8">
      <w:pPr>
        <w:spacing w:line="360" w:lineRule="auto"/>
        <w:rPr>
          <w:rFonts w:ascii="Times New Roman" w:eastAsia="Times New Roman" w:hAnsi="Times New Roman" w:cs="Times New Roman"/>
          <w:b/>
          <w:sz w:val="32"/>
          <w:szCs w:val="32"/>
          <w:highlight w:val="white"/>
        </w:rPr>
      </w:pPr>
    </w:p>
    <w:p w14:paraId="0D5918C1" w14:textId="77777777" w:rsidR="000D50E8" w:rsidRDefault="000D50E8">
      <w:pPr>
        <w:spacing w:line="360" w:lineRule="auto"/>
        <w:rPr>
          <w:rFonts w:ascii="Times New Roman" w:eastAsia="Times New Roman" w:hAnsi="Times New Roman" w:cs="Times New Roman"/>
          <w:b/>
          <w:sz w:val="32"/>
          <w:szCs w:val="32"/>
          <w:highlight w:val="white"/>
        </w:rPr>
      </w:pPr>
    </w:p>
    <w:p w14:paraId="2E1762E8" w14:textId="77777777" w:rsidR="000D50E8" w:rsidRDefault="000D50E8">
      <w:pPr>
        <w:spacing w:line="360" w:lineRule="auto"/>
        <w:rPr>
          <w:rFonts w:ascii="Times New Roman" w:eastAsia="Times New Roman" w:hAnsi="Times New Roman" w:cs="Times New Roman"/>
          <w:b/>
          <w:sz w:val="32"/>
          <w:szCs w:val="32"/>
          <w:highlight w:val="white"/>
        </w:rPr>
      </w:pPr>
    </w:p>
    <w:p w14:paraId="523A1A00" w14:textId="77777777" w:rsidR="000D50E8" w:rsidRDefault="000D50E8">
      <w:pPr>
        <w:spacing w:line="360" w:lineRule="auto"/>
        <w:rPr>
          <w:rFonts w:ascii="Times New Roman" w:eastAsia="Times New Roman" w:hAnsi="Times New Roman" w:cs="Times New Roman"/>
          <w:b/>
          <w:sz w:val="32"/>
          <w:szCs w:val="32"/>
          <w:highlight w:val="white"/>
        </w:rPr>
      </w:pPr>
    </w:p>
    <w:p w14:paraId="1A0442ED" w14:textId="77777777" w:rsidR="000D50E8" w:rsidRDefault="000D50E8">
      <w:pPr>
        <w:spacing w:line="360" w:lineRule="auto"/>
        <w:rPr>
          <w:rFonts w:ascii="Times New Roman" w:eastAsia="Times New Roman" w:hAnsi="Times New Roman" w:cs="Times New Roman"/>
          <w:b/>
          <w:sz w:val="32"/>
          <w:szCs w:val="32"/>
          <w:highlight w:val="white"/>
        </w:rPr>
      </w:pPr>
    </w:p>
    <w:p w14:paraId="3088382B" w14:textId="77777777" w:rsidR="000D50E8" w:rsidRDefault="000D50E8">
      <w:pPr>
        <w:spacing w:line="360" w:lineRule="auto"/>
        <w:rPr>
          <w:rFonts w:ascii="Times New Roman" w:eastAsia="Times New Roman" w:hAnsi="Times New Roman" w:cs="Times New Roman"/>
          <w:b/>
          <w:sz w:val="32"/>
          <w:szCs w:val="32"/>
          <w:highlight w:val="white"/>
        </w:rPr>
      </w:pPr>
    </w:p>
    <w:p w14:paraId="74DF9AB1" w14:textId="77777777" w:rsidR="000D50E8" w:rsidRDefault="000D50E8">
      <w:pPr>
        <w:spacing w:line="360" w:lineRule="auto"/>
        <w:rPr>
          <w:rFonts w:ascii="Times New Roman" w:eastAsia="Times New Roman" w:hAnsi="Times New Roman" w:cs="Times New Roman"/>
          <w:b/>
          <w:sz w:val="32"/>
          <w:szCs w:val="32"/>
          <w:highlight w:val="white"/>
        </w:rPr>
      </w:pPr>
    </w:p>
    <w:p w14:paraId="413E66AC"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Executive Summary</w:t>
      </w:r>
    </w:p>
    <w:p w14:paraId="11F59D65"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In this study, a scenario has been given on the business activities of Amana ltd. In the scenario it has been stated that the concerned organization has badly affected by Covid 19 and it has faced a drawback on the annual revenue. The whole research has be</w:t>
      </w:r>
      <w:r>
        <w:rPr>
          <w:rFonts w:ascii="Times New Roman" w:eastAsia="Times New Roman" w:hAnsi="Times New Roman" w:cs="Times New Roman"/>
          <w:color w:val="000000"/>
          <w:sz w:val="24"/>
          <w:szCs w:val="24"/>
          <w:highlight w:val="white"/>
        </w:rPr>
        <w:t>en discussed in two parts. Part A is consisted with the preparation of the original as well as the flexible budget alongside with the variances. It provides an overall picture of the performance of the organization. It also has the performance analysis and</w:t>
      </w:r>
      <w:r>
        <w:rPr>
          <w:rFonts w:ascii="Times New Roman" w:eastAsia="Times New Roman" w:hAnsi="Times New Roman" w:cs="Times New Roman"/>
          <w:color w:val="000000"/>
          <w:sz w:val="24"/>
          <w:szCs w:val="24"/>
          <w:highlight w:val="white"/>
        </w:rPr>
        <w:t xml:space="preserve"> the recommendation for online services. On the other hand part B, has focused on the additional cost regarding the implementation of the online services. Finally, out of the two options it chooses the most appropriate one for the organization.  </w:t>
      </w:r>
    </w:p>
    <w:p w14:paraId="16A3D50E" w14:textId="77777777" w:rsidR="000D50E8" w:rsidRDefault="00B22EAB">
      <w:pPr>
        <w:spacing w:line="360" w:lineRule="auto"/>
        <w:jc w:val="both"/>
        <w:rPr>
          <w:rFonts w:ascii="Times New Roman" w:eastAsia="Times New Roman" w:hAnsi="Times New Roman" w:cs="Times New Roman"/>
          <w:color w:val="535C69"/>
          <w:sz w:val="24"/>
          <w:szCs w:val="24"/>
          <w:highlight w:val="white"/>
        </w:rPr>
      </w:pPr>
      <w:r>
        <w:br w:type="page"/>
      </w:r>
    </w:p>
    <w:p w14:paraId="263137C1" w14:textId="77777777" w:rsidR="000D50E8" w:rsidRDefault="00B22EAB">
      <w:pPr>
        <w:keepNext/>
        <w:keepLines/>
        <w:pBdr>
          <w:top w:val="nil"/>
          <w:left w:val="nil"/>
          <w:bottom w:val="nil"/>
          <w:right w:val="nil"/>
          <w:between w:val="nil"/>
        </w:pBdr>
        <w:spacing w:before="48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123191494"/>
        <w:docPartObj>
          <w:docPartGallery w:val="Table of Contents"/>
          <w:docPartUnique/>
        </w:docPartObj>
      </w:sdtPr>
      <w:sdtEndPr/>
      <w:sdtContent>
        <w:p w14:paraId="4934AD65" w14:textId="77777777" w:rsidR="000D50E8" w:rsidRDefault="00B22EA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Part A</w:t>
            </w:r>
            <w:r>
              <w:rPr>
                <w:rFonts w:ascii="Times New Roman" w:eastAsia="Times New Roman" w:hAnsi="Times New Roman" w:cs="Times New Roman"/>
                <w:color w:val="000000"/>
                <w:sz w:val="24"/>
                <w:szCs w:val="24"/>
              </w:rPr>
              <w:tab/>
              <w:t>4</w:t>
            </w:r>
          </w:hyperlink>
        </w:p>
        <w:p w14:paraId="04ECE412" w14:textId="77777777" w:rsidR="000D50E8" w:rsidRDefault="00B22EAB">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Part B</w:t>
            </w:r>
            <w:r>
              <w:rPr>
                <w:rFonts w:ascii="Times New Roman" w:eastAsia="Times New Roman" w:hAnsi="Times New Roman" w:cs="Times New Roman"/>
                <w:color w:val="000000"/>
                <w:sz w:val="24"/>
                <w:szCs w:val="24"/>
              </w:rPr>
              <w:tab/>
              <w:t>9</w:t>
            </w:r>
          </w:hyperlink>
        </w:p>
        <w:p w14:paraId="0EF63AFE" w14:textId="77777777" w:rsidR="000D50E8" w:rsidRDefault="00B22EAB">
          <w:pPr>
            <w:pBdr>
              <w:top w:val="nil"/>
              <w:left w:val="nil"/>
              <w:bottom w:val="nil"/>
              <w:right w:val="nil"/>
              <w:between w:val="nil"/>
            </w:pBdr>
            <w:tabs>
              <w:tab w:val="right" w:pos="9350"/>
            </w:tabs>
            <w:spacing w:after="100" w:line="360" w:lineRule="auto"/>
            <w:jc w:val="both"/>
            <w:rPr>
              <w:rFonts w:ascii="Cambria" w:eastAsia="Cambria" w:hAnsi="Cambria" w:cs="Cambria"/>
              <w:color w:val="000000"/>
            </w:rPr>
          </w:pPr>
          <w:hyperlink w:anchor="_heading=h.1fob9te">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12</w:t>
            </w:r>
          </w:hyperlink>
        </w:p>
        <w:p w14:paraId="1741DB72" w14:textId="77777777" w:rsidR="000D50E8" w:rsidRDefault="00B22EAB">
          <w:pPr>
            <w:spacing w:line="360" w:lineRule="auto"/>
          </w:pPr>
          <w:r>
            <w:fldChar w:fldCharType="end"/>
          </w:r>
        </w:p>
      </w:sdtContent>
    </w:sdt>
    <w:p w14:paraId="548C6E98" w14:textId="77777777" w:rsidR="000D50E8" w:rsidRDefault="00B22EAB">
      <w:pPr>
        <w:rPr>
          <w:rFonts w:ascii="Times New Roman" w:eastAsia="Times New Roman" w:hAnsi="Times New Roman" w:cs="Times New Roman"/>
          <w:b/>
          <w:color w:val="000000"/>
          <w:sz w:val="24"/>
          <w:szCs w:val="24"/>
        </w:rPr>
      </w:pPr>
      <w:r>
        <w:br w:type="page"/>
      </w:r>
    </w:p>
    <w:p w14:paraId="2A7B9051" w14:textId="77777777" w:rsidR="000D50E8" w:rsidRDefault="00B22EAB">
      <w:pPr>
        <w:pStyle w:val="Heading1"/>
        <w:rPr>
          <w:sz w:val="24"/>
          <w:szCs w:val="24"/>
        </w:rPr>
      </w:pPr>
      <w:bookmarkStart w:id="0" w:name="_heading=h.gjdgxs" w:colFirst="0" w:colLast="0"/>
      <w:bookmarkEnd w:id="0"/>
      <w:r>
        <w:rPr>
          <w:sz w:val="24"/>
          <w:szCs w:val="24"/>
        </w:rPr>
        <w:lastRenderedPageBreak/>
        <w:t>Part A</w:t>
      </w:r>
    </w:p>
    <w:p w14:paraId="615C37C2"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 </w:t>
      </w:r>
    </w:p>
    <w:p w14:paraId="29D4007E"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Original budget</w:t>
      </w:r>
    </w:p>
    <w:p w14:paraId="4523B4A5"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Original budget refers to the kind of budget that is responsible for providing a detailed look of the borrowers as well as the guarantors in respect to the first two years. As opined by Razi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 in this matter the commencing date is considered a</w:t>
      </w:r>
      <w:r>
        <w:rPr>
          <w:rFonts w:ascii="Times New Roman" w:eastAsia="Times New Roman" w:hAnsi="Times New Roman" w:cs="Times New Roman"/>
          <w:color w:val="000000"/>
          <w:sz w:val="24"/>
          <w:szCs w:val="24"/>
        </w:rPr>
        <w:t xml:space="preserve">s the date which is in the statement of profit and loss, balance sheet and the statement of cash flow for the organization. As suggested by </w:t>
      </w:r>
      <w:r>
        <w:rPr>
          <w:rFonts w:ascii="Times New Roman" w:eastAsia="Times New Roman" w:hAnsi="Times New Roman" w:cs="Times New Roman"/>
          <w:color w:val="222222"/>
          <w:sz w:val="24"/>
          <w:szCs w:val="24"/>
          <w:highlight w:val="white"/>
        </w:rPr>
        <w:t xml:space="preserve">Jin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(2017), </w:t>
      </w:r>
      <w:r>
        <w:rPr>
          <w:rFonts w:ascii="Times New Roman" w:eastAsia="Times New Roman" w:hAnsi="Times New Roman" w:cs="Times New Roman"/>
          <w:color w:val="222222"/>
          <w:sz w:val="24"/>
          <w:szCs w:val="24"/>
        </w:rPr>
        <w:t>o</w:t>
      </w:r>
      <w:r>
        <w:rPr>
          <w:rFonts w:ascii="Times New Roman" w:eastAsia="Times New Roman" w:hAnsi="Times New Roman" w:cs="Times New Roman"/>
          <w:color w:val="000000"/>
          <w:sz w:val="24"/>
          <w:szCs w:val="24"/>
        </w:rPr>
        <w:t>riginal budget is nothing but the projection of cash flow that is rolling over the four quarters</w:t>
      </w:r>
      <w:r>
        <w:rPr>
          <w:rFonts w:ascii="Times New Roman" w:eastAsia="Times New Roman" w:hAnsi="Times New Roman" w:cs="Times New Roman"/>
          <w:color w:val="000000"/>
          <w:sz w:val="24"/>
          <w:szCs w:val="24"/>
        </w:rPr>
        <w:t xml:space="preserve"> of a year. In this matter a forecasting is conducted of the income statement as well as the statement of cash flow on a consolidated basis.</w:t>
      </w:r>
      <w:r>
        <w:rPr>
          <w:rFonts w:ascii="Times New Roman" w:eastAsia="Times New Roman" w:hAnsi="Times New Roman" w:cs="Times New Roman"/>
          <w:color w:val="222222"/>
          <w:sz w:val="24"/>
          <w:szCs w:val="24"/>
          <w:highlight w:val="white"/>
        </w:rPr>
        <w:t xml:space="preserve"> Zhou</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 has been stated that,</w:t>
      </w:r>
      <w:r>
        <w:rPr>
          <w:rFonts w:ascii="Times New Roman" w:eastAsia="Times New Roman" w:hAnsi="Times New Roman" w:cs="Times New Roman"/>
          <w:color w:val="000000"/>
          <w:sz w:val="24"/>
          <w:szCs w:val="24"/>
        </w:rPr>
        <w:t xml:space="preserve"> it means that all the details of the balances which are expected to be dr</w:t>
      </w:r>
      <w:r>
        <w:rPr>
          <w:rFonts w:ascii="Times New Roman" w:eastAsia="Times New Roman" w:hAnsi="Times New Roman" w:cs="Times New Roman"/>
          <w:color w:val="000000"/>
          <w:sz w:val="24"/>
          <w:szCs w:val="24"/>
        </w:rPr>
        <w:t xml:space="preserve">awn under the revolving as well as the intercompany facilities need to be included. </w:t>
      </w:r>
    </w:p>
    <w:p w14:paraId="05D5F3BD"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study the concerned organization is Amana Ltd. which is a tourist business situated in England. In this matter the revenue of the organization has been affected ba</w:t>
      </w:r>
      <w:r>
        <w:rPr>
          <w:rFonts w:ascii="Times New Roman" w:eastAsia="Times New Roman" w:hAnsi="Times New Roman" w:cs="Times New Roman"/>
          <w:color w:val="000000"/>
          <w:sz w:val="24"/>
          <w:szCs w:val="24"/>
        </w:rPr>
        <w:t>dly after the global pandemic of Covid 19. Hence the company has decided to make an annual report in order to have an overall picture of the performance of the organization. The original budget is helpful for providing a detailed instruction of the organiz</w:t>
      </w:r>
      <w:r>
        <w:rPr>
          <w:rFonts w:ascii="Times New Roman" w:eastAsia="Times New Roman" w:hAnsi="Times New Roman" w:cs="Times New Roman"/>
          <w:color w:val="000000"/>
          <w:sz w:val="24"/>
          <w:szCs w:val="24"/>
        </w:rPr>
        <w:t xml:space="preserve">ation’s performance. Here, all the costs including the variable and the fixed have been determined for the company. According to the table below it can be stated that, the budgeted sale of 1000000 units having a selling price of 25 is not satisfactory, as </w:t>
      </w:r>
      <w:r>
        <w:rPr>
          <w:rFonts w:ascii="Times New Roman" w:eastAsia="Times New Roman" w:hAnsi="Times New Roman" w:cs="Times New Roman"/>
          <w:color w:val="000000"/>
          <w:sz w:val="24"/>
          <w:szCs w:val="24"/>
        </w:rPr>
        <w:t>after the Covid 19 pandemic the business has suffered from an abrupt fall in sales due to the restrictions on travel by the government. On the other hand the estimation of total cost is slightly higher. In this matter the labour cost has been determined by</w:t>
      </w:r>
      <w:r>
        <w:rPr>
          <w:rFonts w:ascii="Times New Roman" w:eastAsia="Times New Roman" w:hAnsi="Times New Roman" w:cs="Times New Roman"/>
          <w:color w:val="000000"/>
          <w:sz w:val="24"/>
          <w:szCs w:val="24"/>
        </w:rPr>
        <w:t xml:space="preserve"> assuming several factors such as the labour hours. In this matter the labour hour is assumed to be 8 and based on that assumption the total labour cost has been calculated. </w:t>
      </w:r>
    </w:p>
    <w:tbl>
      <w:tblPr>
        <w:tblStyle w:val="a4"/>
        <w:tblW w:w="515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60"/>
      </w:tblGrid>
      <w:tr w:rsidR="000D50E8" w14:paraId="66206ACF" w14:textId="77777777">
        <w:trPr>
          <w:trHeight w:val="437"/>
          <w:jc w:val="center"/>
        </w:trPr>
        <w:tc>
          <w:tcPr>
            <w:tcW w:w="5155" w:type="dxa"/>
            <w:gridSpan w:val="2"/>
            <w:shd w:val="clear" w:color="auto" w:fill="548DD4"/>
            <w:tcMar>
              <w:top w:w="100" w:type="dxa"/>
              <w:left w:w="100" w:type="dxa"/>
              <w:bottom w:w="100" w:type="dxa"/>
              <w:right w:w="100" w:type="dxa"/>
            </w:tcMar>
          </w:tcPr>
          <w:p w14:paraId="7BF44C4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Original budget</w:t>
            </w:r>
          </w:p>
        </w:tc>
      </w:tr>
      <w:tr w:rsidR="000D50E8" w14:paraId="31CA82ED" w14:textId="77777777">
        <w:trPr>
          <w:trHeight w:val="500"/>
          <w:jc w:val="center"/>
        </w:trPr>
        <w:tc>
          <w:tcPr>
            <w:tcW w:w="5155" w:type="dxa"/>
            <w:gridSpan w:val="2"/>
            <w:shd w:val="clear" w:color="auto" w:fill="C6D9F1"/>
            <w:tcMar>
              <w:top w:w="100" w:type="dxa"/>
              <w:left w:w="100" w:type="dxa"/>
              <w:bottom w:w="100" w:type="dxa"/>
              <w:right w:w="100" w:type="dxa"/>
            </w:tcMar>
          </w:tcPr>
          <w:p w14:paraId="04AE67A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Amana Ltd.</w:t>
            </w:r>
          </w:p>
        </w:tc>
      </w:tr>
      <w:tr w:rsidR="000D50E8" w14:paraId="79469655" w14:textId="77777777">
        <w:trPr>
          <w:trHeight w:val="500"/>
          <w:jc w:val="center"/>
        </w:trPr>
        <w:tc>
          <w:tcPr>
            <w:tcW w:w="3995" w:type="dxa"/>
            <w:shd w:val="clear" w:color="auto" w:fill="C6D9F1"/>
            <w:tcMar>
              <w:top w:w="100" w:type="dxa"/>
              <w:left w:w="100" w:type="dxa"/>
              <w:bottom w:w="100" w:type="dxa"/>
              <w:right w:w="100" w:type="dxa"/>
            </w:tcMar>
          </w:tcPr>
          <w:p w14:paraId="410D861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Revenue</w:t>
            </w:r>
          </w:p>
        </w:tc>
        <w:tc>
          <w:tcPr>
            <w:tcW w:w="1160" w:type="dxa"/>
            <w:shd w:val="clear" w:color="auto" w:fill="C6D9F1"/>
            <w:tcMar>
              <w:top w:w="100" w:type="dxa"/>
              <w:left w:w="100" w:type="dxa"/>
              <w:bottom w:w="100" w:type="dxa"/>
              <w:right w:w="100" w:type="dxa"/>
            </w:tcMar>
          </w:tcPr>
          <w:p w14:paraId="3EDE82A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78996A33" w14:textId="77777777">
        <w:trPr>
          <w:trHeight w:val="500"/>
          <w:jc w:val="center"/>
        </w:trPr>
        <w:tc>
          <w:tcPr>
            <w:tcW w:w="3995" w:type="dxa"/>
            <w:shd w:val="clear" w:color="auto" w:fill="C6D9F1"/>
            <w:tcMar>
              <w:top w:w="100" w:type="dxa"/>
              <w:left w:w="100" w:type="dxa"/>
              <w:bottom w:w="100" w:type="dxa"/>
              <w:right w:w="100" w:type="dxa"/>
            </w:tcMar>
          </w:tcPr>
          <w:p w14:paraId="2402230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units</w:t>
            </w:r>
          </w:p>
        </w:tc>
        <w:tc>
          <w:tcPr>
            <w:tcW w:w="1160" w:type="dxa"/>
            <w:shd w:val="clear" w:color="auto" w:fill="C6D9F1"/>
            <w:tcMar>
              <w:top w:w="100" w:type="dxa"/>
              <w:left w:w="100" w:type="dxa"/>
              <w:bottom w:w="100" w:type="dxa"/>
              <w:right w:w="100" w:type="dxa"/>
            </w:tcMar>
          </w:tcPr>
          <w:p w14:paraId="0106AFF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r>
      <w:tr w:rsidR="000D50E8" w14:paraId="1ADB692C" w14:textId="77777777">
        <w:trPr>
          <w:trHeight w:val="500"/>
          <w:jc w:val="center"/>
        </w:trPr>
        <w:tc>
          <w:tcPr>
            <w:tcW w:w="3995" w:type="dxa"/>
            <w:shd w:val="clear" w:color="auto" w:fill="C6D9F1"/>
            <w:tcMar>
              <w:top w:w="100" w:type="dxa"/>
              <w:left w:w="100" w:type="dxa"/>
              <w:bottom w:w="100" w:type="dxa"/>
              <w:right w:w="100" w:type="dxa"/>
            </w:tcMar>
          </w:tcPr>
          <w:p w14:paraId="308C0DB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Selling price</w:t>
            </w:r>
          </w:p>
        </w:tc>
        <w:tc>
          <w:tcPr>
            <w:tcW w:w="1160" w:type="dxa"/>
            <w:shd w:val="clear" w:color="auto" w:fill="C6D9F1"/>
            <w:tcMar>
              <w:top w:w="100" w:type="dxa"/>
              <w:left w:w="100" w:type="dxa"/>
              <w:bottom w:w="100" w:type="dxa"/>
              <w:right w:w="100" w:type="dxa"/>
            </w:tcMar>
          </w:tcPr>
          <w:p w14:paraId="07F69C6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w:t>
            </w:r>
          </w:p>
        </w:tc>
      </w:tr>
      <w:tr w:rsidR="000D50E8" w14:paraId="179E3F92" w14:textId="77777777">
        <w:trPr>
          <w:trHeight w:val="500"/>
          <w:jc w:val="center"/>
        </w:trPr>
        <w:tc>
          <w:tcPr>
            <w:tcW w:w="3995" w:type="dxa"/>
            <w:shd w:val="clear" w:color="auto" w:fill="C6D9F1"/>
            <w:tcMar>
              <w:top w:w="100" w:type="dxa"/>
              <w:left w:w="100" w:type="dxa"/>
              <w:bottom w:w="100" w:type="dxa"/>
              <w:right w:w="100" w:type="dxa"/>
            </w:tcMar>
          </w:tcPr>
          <w:p w14:paraId="6E5E8E9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sales</w:t>
            </w:r>
          </w:p>
        </w:tc>
        <w:tc>
          <w:tcPr>
            <w:tcW w:w="1160" w:type="dxa"/>
            <w:shd w:val="clear" w:color="auto" w:fill="C6D9F1"/>
            <w:tcMar>
              <w:top w:w="100" w:type="dxa"/>
              <w:left w:w="100" w:type="dxa"/>
              <w:bottom w:w="100" w:type="dxa"/>
              <w:right w:w="100" w:type="dxa"/>
            </w:tcMar>
          </w:tcPr>
          <w:p w14:paraId="3C90BC8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2500000</w:t>
            </w:r>
          </w:p>
        </w:tc>
      </w:tr>
      <w:tr w:rsidR="000D50E8" w14:paraId="7C29CAA2" w14:textId="77777777">
        <w:trPr>
          <w:trHeight w:val="500"/>
          <w:jc w:val="center"/>
        </w:trPr>
        <w:tc>
          <w:tcPr>
            <w:tcW w:w="3995" w:type="dxa"/>
            <w:shd w:val="clear" w:color="auto" w:fill="C6D9F1"/>
            <w:tcMar>
              <w:top w:w="100" w:type="dxa"/>
              <w:left w:w="100" w:type="dxa"/>
              <w:bottom w:w="100" w:type="dxa"/>
              <w:right w:w="100" w:type="dxa"/>
            </w:tcMar>
          </w:tcPr>
          <w:p w14:paraId="2CF98F6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Expenses</w:t>
            </w:r>
          </w:p>
        </w:tc>
        <w:tc>
          <w:tcPr>
            <w:tcW w:w="1160" w:type="dxa"/>
            <w:shd w:val="clear" w:color="auto" w:fill="C6D9F1"/>
            <w:tcMar>
              <w:top w:w="100" w:type="dxa"/>
              <w:left w:w="100" w:type="dxa"/>
              <w:bottom w:w="100" w:type="dxa"/>
              <w:right w:w="100" w:type="dxa"/>
            </w:tcMar>
          </w:tcPr>
          <w:p w14:paraId="7CFFCB5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2B3CC93C" w14:textId="77777777">
        <w:trPr>
          <w:trHeight w:val="500"/>
          <w:jc w:val="center"/>
        </w:trPr>
        <w:tc>
          <w:tcPr>
            <w:tcW w:w="3995" w:type="dxa"/>
            <w:shd w:val="clear" w:color="auto" w:fill="C6D9F1"/>
            <w:tcMar>
              <w:top w:w="100" w:type="dxa"/>
              <w:left w:w="100" w:type="dxa"/>
              <w:bottom w:w="100" w:type="dxa"/>
              <w:right w:w="100" w:type="dxa"/>
            </w:tcMar>
          </w:tcPr>
          <w:p w14:paraId="6A4FA1D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Variable cost</w:t>
            </w:r>
          </w:p>
        </w:tc>
        <w:tc>
          <w:tcPr>
            <w:tcW w:w="1160" w:type="dxa"/>
            <w:shd w:val="clear" w:color="auto" w:fill="C6D9F1"/>
            <w:tcMar>
              <w:top w:w="100" w:type="dxa"/>
              <w:left w:w="100" w:type="dxa"/>
              <w:bottom w:w="100" w:type="dxa"/>
              <w:right w:w="100" w:type="dxa"/>
            </w:tcMar>
          </w:tcPr>
          <w:p w14:paraId="0C015C4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1F0D7F52" w14:textId="77777777">
        <w:trPr>
          <w:trHeight w:val="452"/>
          <w:jc w:val="center"/>
        </w:trPr>
        <w:tc>
          <w:tcPr>
            <w:tcW w:w="3995" w:type="dxa"/>
            <w:shd w:val="clear" w:color="auto" w:fill="C6D9F1"/>
            <w:tcMar>
              <w:top w:w="100" w:type="dxa"/>
              <w:left w:w="100" w:type="dxa"/>
              <w:bottom w:w="100" w:type="dxa"/>
              <w:right w:w="100" w:type="dxa"/>
            </w:tcMar>
          </w:tcPr>
          <w:p w14:paraId="5600CF4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materials</w:t>
            </w:r>
          </w:p>
        </w:tc>
        <w:tc>
          <w:tcPr>
            <w:tcW w:w="1160" w:type="dxa"/>
            <w:shd w:val="clear" w:color="auto" w:fill="C6D9F1"/>
            <w:tcMar>
              <w:top w:w="100" w:type="dxa"/>
              <w:left w:w="100" w:type="dxa"/>
              <w:bottom w:w="100" w:type="dxa"/>
              <w:right w:w="100" w:type="dxa"/>
            </w:tcMar>
          </w:tcPr>
          <w:p w14:paraId="781D81E7"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r>
      <w:tr w:rsidR="000D50E8" w14:paraId="0F25D074" w14:textId="77777777">
        <w:trPr>
          <w:trHeight w:val="452"/>
          <w:jc w:val="center"/>
        </w:trPr>
        <w:tc>
          <w:tcPr>
            <w:tcW w:w="3995" w:type="dxa"/>
            <w:shd w:val="clear" w:color="auto" w:fill="C6D9F1"/>
            <w:tcMar>
              <w:top w:w="100" w:type="dxa"/>
              <w:left w:w="100" w:type="dxa"/>
              <w:bottom w:w="100" w:type="dxa"/>
              <w:right w:w="100" w:type="dxa"/>
            </w:tcMar>
          </w:tcPr>
          <w:p w14:paraId="63DA1EC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w:t>
            </w:r>
          </w:p>
        </w:tc>
        <w:tc>
          <w:tcPr>
            <w:tcW w:w="1160" w:type="dxa"/>
            <w:shd w:val="clear" w:color="auto" w:fill="C6D9F1"/>
            <w:tcMar>
              <w:top w:w="100" w:type="dxa"/>
              <w:left w:w="100" w:type="dxa"/>
              <w:bottom w:w="100" w:type="dxa"/>
              <w:right w:w="100" w:type="dxa"/>
            </w:tcMar>
          </w:tcPr>
          <w:p w14:paraId="41DB24F6"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479232</w:t>
            </w:r>
          </w:p>
        </w:tc>
      </w:tr>
      <w:tr w:rsidR="000D50E8" w14:paraId="083889D5" w14:textId="77777777">
        <w:trPr>
          <w:trHeight w:val="452"/>
          <w:jc w:val="center"/>
        </w:trPr>
        <w:tc>
          <w:tcPr>
            <w:tcW w:w="3995" w:type="dxa"/>
            <w:shd w:val="clear" w:color="auto" w:fill="C6D9F1"/>
            <w:tcMar>
              <w:top w:w="100" w:type="dxa"/>
              <w:left w:w="100" w:type="dxa"/>
              <w:bottom w:w="100" w:type="dxa"/>
              <w:right w:w="100" w:type="dxa"/>
            </w:tcMar>
          </w:tcPr>
          <w:p w14:paraId="38BAB8E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w:t>
            </w:r>
          </w:p>
        </w:tc>
        <w:tc>
          <w:tcPr>
            <w:tcW w:w="1160" w:type="dxa"/>
            <w:shd w:val="clear" w:color="auto" w:fill="C6D9F1"/>
            <w:tcMar>
              <w:top w:w="100" w:type="dxa"/>
              <w:left w:w="100" w:type="dxa"/>
              <w:bottom w:w="100" w:type="dxa"/>
              <w:right w:w="100" w:type="dxa"/>
            </w:tcMar>
          </w:tcPr>
          <w:p w14:paraId="6E532ED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r>
      <w:tr w:rsidR="000D50E8" w14:paraId="2E614F2A" w14:textId="77777777">
        <w:trPr>
          <w:trHeight w:val="452"/>
          <w:jc w:val="center"/>
        </w:trPr>
        <w:tc>
          <w:tcPr>
            <w:tcW w:w="3995" w:type="dxa"/>
            <w:shd w:val="clear" w:color="auto" w:fill="C6D9F1"/>
            <w:tcMar>
              <w:top w:w="100" w:type="dxa"/>
              <w:left w:w="100" w:type="dxa"/>
              <w:bottom w:w="100" w:type="dxa"/>
              <w:right w:w="100" w:type="dxa"/>
            </w:tcMar>
          </w:tcPr>
          <w:p w14:paraId="7C0C6BF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variable cost</w:t>
            </w:r>
          </w:p>
        </w:tc>
        <w:tc>
          <w:tcPr>
            <w:tcW w:w="1160" w:type="dxa"/>
            <w:shd w:val="clear" w:color="auto" w:fill="C6D9F1"/>
            <w:tcMar>
              <w:top w:w="100" w:type="dxa"/>
              <w:left w:w="100" w:type="dxa"/>
              <w:bottom w:w="100" w:type="dxa"/>
              <w:right w:w="100" w:type="dxa"/>
            </w:tcMar>
          </w:tcPr>
          <w:p w14:paraId="03960C4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879232</w:t>
            </w:r>
          </w:p>
        </w:tc>
      </w:tr>
      <w:tr w:rsidR="000D50E8" w14:paraId="59C0150D" w14:textId="77777777">
        <w:trPr>
          <w:trHeight w:val="500"/>
          <w:jc w:val="center"/>
        </w:trPr>
        <w:tc>
          <w:tcPr>
            <w:tcW w:w="3995" w:type="dxa"/>
            <w:shd w:val="clear" w:color="auto" w:fill="C6D9F1"/>
            <w:tcMar>
              <w:top w:w="100" w:type="dxa"/>
              <w:left w:w="100" w:type="dxa"/>
              <w:bottom w:w="100" w:type="dxa"/>
              <w:right w:w="100" w:type="dxa"/>
            </w:tcMar>
          </w:tcPr>
          <w:p w14:paraId="6626DC8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contribution</w:t>
            </w:r>
          </w:p>
        </w:tc>
        <w:tc>
          <w:tcPr>
            <w:tcW w:w="1160" w:type="dxa"/>
            <w:shd w:val="clear" w:color="auto" w:fill="C6D9F1"/>
            <w:tcMar>
              <w:top w:w="100" w:type="dxa"/>
              <w:left w:w="100" w:type="dxa"/>
              <w:bottom w:w="100" w:type="dxa"/>
              <w:right w:w="100" w:type="dxa"/>
            </w:tcMar>
          </w:tcPr>
          <w:p w14:paraId="7BE6A11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1620768</w:t>
            </w:r>
          </w:p>
        </w:tc>
      </w:tr>
      <w:tr w:rsidR="000D50E8" w14:paraId="5F93CBA1" w14:textId="77777777">
        <w:trPr>
          <w:trHeight w:val="500"/>
          <w:jc w:val="center"/>
        </w:trPr>
        <w:tc>
          <w:tcPr>
            <w:tcW w:w="3995" w:type="dxa"/>
            <w:shd w:val="clear" w:color="auto" w:fill="C6D9F1"/>
            <w:tcMar>
              <w:top w:w="100" w:type="dxa"/>
              <w:left w:w="100" w:type="dxa"/>
              <w:bottom w:w="100" w:type="dxa"/>
              <w:right w:w="100" w:type="dxa"/>
            </w:tcMar>
          </w:tcPr>
          <w:p w14:paraId="38F4780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Fixed costs</w:t>
            </w:r>
          </w:p>
        </w:tc>
        <w:tc>
          <w:tcPr>
            <w:tcW w:w="1160" w:type="dxa"/>
            <w:shd w:val="clear" w:color="auto" w:fill="C6D9F1"/>
            <w:tcMar>
              <w:top w:w="100" w:type="dxa"/>
              <w:left w:w="100" w:type="dxa"/>
              <w:bottom w:w="100" w:type="dxa"/>
              <w:right w:w="100" w:type="dxa"/>
            </w:tcMar>
          </w:tcPr>
          <w:p w14:paraId="15AE6CE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37E7BA38" w14:textId="77777777">
        <w:trPr>
          <w:trHeight w:val="500"/>
          <w:jc w:val="center"/>
        </w:trPr>
        <w:tc>
          <w:tcPr>
            <w:tcW w:w="3995" w:type="dxa"/>
            <w:shd w:val="clear" w:color="auto" w:fill="C6D9F1"/>
            <w:tcMar>
              <w:top w:w="100" w:type="dxa"/>
              <w:left w:w="100" w:type="dxa"/>
              <w:bottom w:w="100" w:type="dxa"/>
              <w:right w:w="100" w:type="dxa"/>
            </w:tcMar>
          </w:tcPr>
          <w:p w14:paraId="43F7BBC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Rental</w:t>
            </w:r>
          </w:p>
        </w:tc>
        <w:tc>
          <w:tcPr>
            <w:tcW w:w="1160" w:type="dxa"/>
            <w:shd w:val="clear" w:color="auto" w:fill="C6D9F1"/>
            <w:tcMar>
              <w:top w:w="100" w:type="dxa"/>
              <w:left w:w="100" w:type="dxa"/>
              <w:bottom w:w="100" w:type="dxa"/>
              <w:right w:w="100" w:type="dxa"/>
            </w:tcMar>
          </w:tcPr>
          <w:p w14:paraId="11EC78E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w:t>
            </w:r>
          </w:p>
        </w:tc>
      </w:tr>
      <w:tr w:rsidR="000D50E8" w14:paraId="5612D7AF" w14:textId="77777777">
        <w:trPr>
          <w:trHeight w:val="500"/>
          <w:jc w:val="center"/>
        </w:trPr>
        <w:tc>
          <w:tcPr>
            <w:tcW w:w="3995" w:type="dxa"/>
            <w:shd w:val="clear" w:color="auto" w:fill="C6D9F1"/>
            <w:tcMar>
              <w:top w:w="100" w:type="dxa"/>
              <w:left w:w="100" w:type="dxa"/>
              <w:bottom w:w="100" w:type="dxa"/>
              <w:right w:w="100" w:type="dxa"/>
            </w:tcMar>
          </w:tcPr>
          <w:p w14:paraId="4FDFD0E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Insurance</w:t>
            </w:r>
          </w:p>
        </w:tc>
        <w:tc>
          <w:tcPr>
            <w:tcW w:w="1160" w:type="dxa"/>
            <w:shd w:val="clear" w:color="auto" w:fill="C6D9F1"/>
            <w:tcMar>
              <w:top w:w="100" w:type="dxa"/>
              <w:left w:w="100" w:type="dxa"/>
              <w:bottom w:w="100" w:type="dxa"/>
              <w:right w:w="100" w:type="dxa"/>
            </w:tcMar>
          </w:tcPr>
          <w:p w14:paraId="585F2B7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r>
      <w:tr w:rsidR="000D50E8" w14:paraId="6F62D194" w14:textId="77777777">
        <w:trPr>
          <w:trHeight w:val="740"/>
          <w:jc w:val="center"/>
        </w:trPr>
        <w:tc>
          <w:tcPr>
            <w:tcW w:w="3995" w:type="dxa"/>
            <w:shd w:val="clear" w:color="auto" w:fill="C6D9F1"/>
            <w:tcMar>
              <w:top w:w="100" w:type="dxa"/>
              <w:left w:w="100" w:type="dxa"/>
              <w:bottom w:w="100" w:type="dxa"/>
              <w:right w:w="100" w:type="dxa"/>
            </w:tcMar>
          </w:tcPr>
          <w:p w14:paraId="2BE9268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Full Time salary for warehouse supervisor</w:t>
            </w:r>
          </w:p>
        </w:tc>
        <w:tc>
          <w:tcPr>
            <w:tcW w:w="1160" w:type="dxa"/>
            <w:shd w:val="clear" w:color="auto" w:fill="C6D9F1"/>
            <w:tcMar>
              <w:top w:w="100" w:type="dxa"/>
              <w:left w:w="100" w:type="dxa"/>
              <w:bottom w:w="100" w:type="dxa"/>
              <w:right w:w="100" w:type="dxa"/>
            </w:tcMar>
          </w:tcPr>
          <w:p w14:paraId="2A7897C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r>
      <w:tr w:rsidR="000D50E8" w14:paraId="066F33D6" w14:textId="77777777">
        <w:trPr>
          <w:trHeight w:val="500"/>
          <w:jc w:val="center"/>
        </w:trPr>
        <w:tc>
          <w:tcPr>
            <w:tcW w:w="3995" w:type="dxa"/>
            <w:shd w:val="clear" w:color="auto" w:fill="C6D9F1"/>
            <w:tcMar>
              <w:top w:w="100" w:type="dxa"/>
              <w:left w:w="100" w:type="dxa"/>
              <w:bottom w:w="100" w:type="dxa"/>
              <w:right w:w="100" w:type="dxa"/>
            </w:tcMar>
          </w:tcPr>
          <w:p w14:paraId="3D0F0E6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fixed cost</w:t>
            </w:r>
          </w:p>
        </w:tc>
        <w:tc>
          <w:tcPr>
            <w:tcW w:w="1160" w:type="dxa"/>
            <w:shd w:val="clear" w:color="auto" w:fill="C6D9F1"/>
            <w:tcMar>
              <w:top w:w="100" w:type="dxa"/>
              <w:left w:w="100" w:type="dxa"/>
              <w:bottom w:w="100" w:type="dxa"/>
              <w:right w:w="100" w:type="dxa"/>
            </w:tcMar>
          </w:tcPr>
          <w:p w14:paraId="05A7839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350000</w:t>
            </w:r>
          </w:p>
        </w:tc>
      </w:tr>
      <w:tr w:rsidR="000D50E8" w14:paraId="4C3AFBAF" w14:textId="77777777">
        <w:trPr>
          <w:trHeight w:val="500"/>
          <w:jc w:val="center"/>
        </w:trPr>
        <w:tc>
          <w:tcPr>
            <w:tcW w:w="3995" w:type="dxa"/>
            <w:shd w:val="clear" w:color="auto" w:fill="C6D9F1"/>
            <w:tcMar>
              <w:top w:w="100" w:type="dxa"/>
              <w:left w:w="100" w:type="dxa"/>
              <w:bottom w:w="100" w:type="dxa"/>
              <w:right w:w="100" w:type="dxa"/>
            </w:tcMar>
          </w:tcPr>
          <w:p w14:paraId="73244A4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cost</w:t>
            </w:r>
          </w:p>
        </w:tc>
        <w:tc>
          <w:tcPr>
            <w:tcW w:w="1160" w:type="dxa"/>
            <w:shd w:val="clear" w:color="auto" w:fill="C6D9F1"/>
            <w:tcMar>
              <w:top w:w="100" w:type="dxa"/>
              <w:left w:w="100" w:type="dxa"/>
              <w:bottom w:w="100" w:type="dxa"/>
              <w:right w:w="100" w:type="dxa"/>
            </w:tcMar>
          </w:tcPr>
          <w:p w14:paraId="5242156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1229232</w:t>
            </w:r>
          </w:p>
        </w:tc>
      </w:tr>
    </w:tbl>
    <w:p w14:paraId="0DD6536D"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Original budget</w:t>
      </w:r>
    </w:p>
    <w:p w14:paraId="724B30D2"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499CD948"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Flexible budget</w:t>
      </w:r>
    </w:p>
    <w:p w14:paraId="214875B3"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flexible budget is responsible for adjusting the activities or the level of volume for the company. It is not similar to the static budget. As stated by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color w:val="000000"/>
          <w:sz w:val="24"/>
          <w:szCs w:val="24"/>
        </w:rPr>
        <w:t xml:space="preserve">a static budget does not change </w:t>
      </w:r>
      <w:r>
        <w:rPr>
          <w:rFonts w:ascii="Times New Roman" w:eastAsia="Times New Roman" w:hAnsi="Times New Roman" w:cs="Times New Roman"/>
          <w:color w:val="000000"/>
          <w:sz w:val="24"/>
          <w:szCs w:val="24"/>
        </w:rPr>
        <w:lastRenderedPageBreak/>
        <w:t>within the amounts that have been established in t</w:t>
      </w:r>
      <w:r>
        <w:rPr>
          <w:rFonts w:ascii="Times New Roman" w:eastAsia="Times New Roman" w:hAnsi="Times New Roman" w:cs="Times New Roman"/>
          <w:color w:val="000000"/>
          <w:sz w:val="24"/>
          <w:szCs w:val="24"/>
        </w:rPr>
        <w:t xml:space="preserve">he budget at the time of creating the budget. On the other hand the flexible budget is constantly changing within the amount. In this kind of budget the variable costs are generally used. According to </w:t>
      </w:r>
      <w:r>
        <w:rPr>
          <w:rFonts w:ascii="Times New Roman" w:eastAsia="Times New Roman" w:hAnsi="Times New Roman" w:cs="Times New Roman"/>
          <w:color w:val="222222"/>
          <w:sz w:val="24"/>
          <w:szCs w:val="24"/>
          <w:highlight w:val="white"/>
        </w:rPr>
        <w:t xml:space="preserve">Barroy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color w:val="000000"/>
          <w:sz w:val="24"/>
          <w:szCs w:val="24"/>
        </w:rPr>
        <w:t>it is helpful for anticipating th</w:t>
      </w:r>
      <w:r>
        <w:rPr>
          <w:rFonts w:ascii="Times New Roman" w:eastAsia="Times New Roman" w:hAnsi="Times New Roman" w:cs="Times New Roman"/>
          <w:color w:val="000000"/>
          <w:sz w:val="24"/>
          <w:szCs w:val="24"/>
        </w:rPr>
        <w:t>e monetary needs for the company. In this matter the revenue that is considered in the budget uses a percentage value rather than using a constant number. While making a flexible budget, the company can get ideas that are more realistic and which are based</w:t>
      </w:r>
      <w:r>
        <w:rPr>
          <w:rFonts w:ascii="Times New Roman" w:eastAsia="Times New Roman" w:hAnsi="Times New Roman" w:cs="Times New Roman"/>
          <w:color w:val="000000"/>
          <w:sz w:val="24"/>
          <w:szCs w:val="24"/>
        </w:rPr>
        <w:t xml:space="preserve"> on the changing cost as well as the margin of profit of the company. As suggested by </w:t>
      </w:r>
      <w:r>
        <w:rPr>
          <w:rFonts w:ascii="Times New Roman" w:eastAsia="Times New Roman" w:hAnsi="Times New Roman" w:cs="Times New Roman"/>
          <w:color w:val="222222"/>
          <w:sz w:val="24"/>
          <w:szCs w:val="24"/>
          <w:highlight w:val="white"/>
        </w:rPr>
        <w:t xml:space="preserve">Pradere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(2019), </w:t>
      </w:r>
      <w:r>
        <w:rPr>
          <w:rFonts w:ascii="Times New Roman" w:eastAsia="Times New Roman" w:hAnsi="Times New Roman" w:cs="Times New Roman"/>
          <w:color w:val="000000"/>
          <w:sz w:val="24"/>
          <w:szCs w:val="24"/>
        </w:rPr>
        <w:t xml:space="preserve">  In order to compensate for the adjustments of a business, a flexible budget is responsible for budgeting the increase and decrease of the cost. </w:t>
      </w:r>
    </w:p>
    <w:p w14:paraId="73D825FF"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study, based on the given scenario a flexible budget has been developed for the concerned organization. In this matter only the variable costs are considered and they are valued on the basis of sales so that the company can have a better view of t</w:t>
      </w:r>
      <w:r>
        <w:rPr>
          <w:rFonts w:ascii="Times New Roman" w:eastAsia="Times New Roman" w:hAnsi="Times New Roman" w:cs="Times New Roman"/>
          <w:color w:val="000000"/>
          <w:sz w:val="24"/>
          <w:szCs w:val="24"/>
        </w:rPr>
        <w:t xml:space="preserve">he actual changes at the business. All the variable costs that are considered in this matter are material cost, labour cost and the overhead cost. All this cost is measured upon the amount of sales and put as the value of percentage in the budget. </w:t>
      </w:r>
    </w:p>
    <w:p w14:paraId="46369CE6" w14:textId="77777777" w:rsidR="000D50E8" w:rsidRDefault="000D50E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5"/>
        <w:tblW w:w="592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415"/>
        <w:gridCol w:w="1505"/>
      </w:tblGrid>
      <w:tr w:rsidR="000D50E8" w14:paraId="58EB8B84" w14:textId="77777777">
        <w:trPr>
          <w:trHeight w:val="500"/>
          <w:jc w:val="center"/>
        </w:trPr>
        <w:tc>
          <w:tcPr>
            <w:tcW w:w="5920" w:type="dxa"/>
            <w:gridSpan w:val="2"/>
            <w:shd w:val="clear" w:color="auto" w:fill="76923C"/>
            <w:tcMar>
              <w:top w:w="100" w:type="dxa"/>
              <w:left w:w="100" w:type="dxa"/>
              <w:bottom w:w="100" w:type="dxa"/>
              <w:right w:w="100" w:type="dxa"/>
            </w:tcMar>
          </w:tcPr>
          <w:p w14:paraId="382E07B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Flexib</w:t>
            </w:r>
            <w:r>
              <w:rPr>
                <w:rFonts w:ascii="Times New Roman" w:eastAsia="Times New Roman" w:hAnsi="Times New Roman" w:cs="Times New Roman"/>
                <w:color w:val="000000"/>
                <w:sz w:val="24"/>
                <w:szCs w:val="24"/>
              </w:rPr>
              <w:t>le budget</w:t>
            </w:r>
          </w:p>
        </w:tc>
      </w:tr>
      <w:tr w:rsidR="000D50E8" w14:paraId="3A6C528E" w14:textId="77777777">
        <w:trPr>
          <w:trHeight w:val="500"/>
          <w:jc w:val="center"/>
        </w:trPr>
        <w:tc>
          <w:tcPr>
            <w:tcW w:w="5920" w:type="dxa"/>
            <w:gridSpan w:val="2"/>
            <w:shd w:val="clear" w:color="auto" w:fill="D7E3BC"/>
            <w:tcMar>
              <w:top w:w="100" w:type="dxa"/>
              <w:left w:w="100" w:type="dxa"/>
              <w:bottom w:w="100" w:type="dxa"/>
              <w:right w:w="100" w:type="dxa"/>
            </w:tcMar>
          </w:tcPr>
          <w:p w14:paraId="5F542716"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Amana Ltd.</w:t>
            </w:r>
          </w:p>
        </w:tc>
      </w:tr>
      <w:tr w:rsidR="000D50E8" w14:paraId="00DB6C6E" w14:textId="77777777">
        <w:trPr>
          <w:trHeight w:val="500"/>
          <w:jc w:val="center"/>
        </w:trPr>
        <w:tc>
          <w:tcPr>
            <w:tcW w:w="4415" w:type="dxa"/>
            <w:shd w:val="clear" w:color="auto" w:fill="D7E3BC"/>
            <w:tcMar>
              <w:top w:w="100" w:type="dxa"/>
              <w:left w:w="100" w:type="dxa"/>
              <w:bottom w:w="100" w:type="dxa"/>
              <w:right w:w="100" w:type="dxa"/>
            </w:tcMar>
          </w:tcPr>
          <w:p w14:paraId="68A7EA1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Revenue</w:t>
            </w:r>
          </w:p>
        </w:tc>
        <w:tc>
          <w:tcPr>
            <w:tcW w:w="1505" w:type="dxa"/>
            <w:shd w:val="clear" w:color="auto" w:fill="D7E3BC"/>
            <w:tcMar>
              <w:top w:w="100" w:type="dxa"/>
              <w:left w:w="100" w:type="dxa"/>
              <w:bottom w:w="100" w:type="dxa"/>
              <w:right w:w="100" w:type="dxa"/>
            </w:tcMar>
          </w:tcPr>
          <w:p w14:paraId="0CCBC89A"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2B9A4C37" w14:textId="77777777">
        <w:trPr>
          <w:trHeight w:val="500"/>
          <w:jc w:val="center"/>
        </w:trPr>
        <w:tc>
          <w:tcPr>
            <w:tcW w:w="4415" w:type="dxa"/>
            <w:shd w:val="clear" w:color="auto" w:fill="D7E3BC"/>
            <w:tcMar>
              <w:top w:w="100" w:type="dxa"/>
              <w:left w:w="100" w:type="dxa"/>
              <w:bottom w:w="100" w:type="dxa"/>
              <w:right w:w="100" w:type="dxa"/>
            </w:tcMar>
          </w:tcPr>
          <w:p w14:paraId="7CDB591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units</w:t>
            </w:r>
          </w:p>
        </w:tc>
        <w:tc>
          <w:tcPr>
            <w:tcW w:w="1505" w:type="dxa"/>
            <w:shd w:val="clear" w:color="auto" w:fill="D7E3BC"/>
            <w:tcMar>
              <w:top w:w="100" w:type="dxa"/>
              <w:left w:w="100" w:type="dxa"/>
              <w:bottom w:w="100" w:type="dxa"/>
              <w:right w:w="100" w:type="dxa"/>
            </w:tcMar>
          </w:tcPr>
          <w:p w14:paraId="05F5390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80000</w:t>
            </w:r>
          </w:p>
        </w:tc>
      </w:tr>
      <w:tr w:rsidR="000D50E8" w14:paraId="42DB330B" w14:textId="77777777">
        <w:trPr>
          <w:trHeight w:val="500"/>
          <w:jc w:val="center"/>
        </w:trPr>
        <w:tc>
          <w:tcPr>
            <w:tcW w:w="4415" w:type="dxa"/>
            <w:shd w:val="clear" w:color="auto" w:fill="D7E3BC"/>
            <w:tcMar>
              <w:top w:w="100" w:type="dxa"/>
              <w:left w:w="100" w:type="dxa"/>
              <w:bottom w:w="100" w:type="dxa"/>
              <w:right w:w="100" w:type="dxa"/>
            </w:tcMar>
          </w:tcPr>
          <w:p w14:paraId="596A9F1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Selling price</w:t>
            </w:r>
          </w:p>
        </w:tc>
        <w:tc>
          <w:tcPr>
            <w:tcW w:w="1505" w:type="dxa"/>
            <w:shd w:val="clear" w:color="auto" w:fill="D7E3BC"/>
            <w:tcMar>
              <w:top w:w="100" w:type="dxa"/>
              <w:left w:w="100" w:type="dxa"/>
              <w:bottom w:w="100" w:type="dxa"/>
              <w:right w:w="100" w:type="dxa"/>
            </w:tcMar>
          </w:tcPr>
          <w:p w14:paraId="6A6514C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w:t>
            </w:r>
          </w:p>
        </w:tc>
      </w:tr>
      <w:tr w:rsidR="000D50E8" w14:paraId="3548417C" w14:textId="77777777">
        <w:trPr>
          <w:trHeight w:val="500"/>
          <w:jc w:val="center"/>
        </w:trPr>
        <w:tc>
          <w:tcPr>
            <w:tcW w:w="4415" w:type="dxa"/>
            <w:shd w:val="clear" w:color="auto" w:fill="D7E3BC"/>
            <w:tcMar>
              <w:top w:w="100" w:type="dxa"/>
              <w:left w:w="100" w:type="dxa"/>
              <w:bottom w:w="100" w:type="dxa"/>
              <w:right w:w="100" w:type="dxa"/>
            </w:tcMar>
          </w:tcPr>
          <w:p w14:paraId="6E42068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sales</w:t>
            </w:r>
          </w:p>
        </w:tc>
        <w:tc>
          <w:tcPr>
            <w:tcW w:w="1505" w:type="dxa"/>
            <w:shd w:val="clear" w:color="auto" w:fill="D7E3BC"/>
            <w:tcMar>
              <w:top w:w="100" w:type="dxa"/>
              <w:left w:w="100" w:type="dxa"/>
              <w:bottom w:w="100" w:type="dxa"/>
              <w:right w:w="100" w:type="dxa"/>
            </w:tcMar>
          </w:tcPr>
          <w:p w14:paraId="760191E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1600000</w:t>
            </w:r>
          </w:p>
        </w:tc>
      </w:tr>
      <w:tr w:rsidR="000D50E8" w14:paraId="3C3B6FCB" w14:textId="77777777">
        <w:trPr>
          <w:trHeight w:val="500"/>
          <w:jc w:val="center"/>
        </w:trPr>
        <w:tc>
          <w:tcPr>
            <w:tcW w:w="4415" w:type="dxa"/>
            <w:shd w:val="clear" w:color="auto" w:fill="D7E3BC"/>
            <w:tcMar>
              <w:top w:w="100" w:type="dxa"/>
              <w:left w:w="100" w:type="dxa"/>
              <w:bottom w:w="100" w:type="dxa"/>
              <w:right w:w="100" w:type="dxa"/>
            </w:tcMar>
          </w:tcPr>
          <w:p w14:paraId="30050CC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Expenses</w:t>
            </w:r>
          </w:p>
        </w:tc>
        <w:tc>
          <w:tcPr>
            <w:tcW w:w="1505" w:type="dxa"/>
            <w:shd w:val="clear" w:color="auto" w:fill="D7E3BC"/>
            <w:tcMar>
              <w:top w:w="100" w:type="dxa"/>
              <w:left w:w="100" w:type="dxa"/>
              <w:bottom w:w="100" w:type="dxa"/>
              <w:right w:w="100" w:type="dxa"/>
            </w:tcMar>
          </w:tcPr>
          <w:p w14:paraId="4CC85396"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22D7CD09" w14:textId="77777777">
        <w:trPr>
          <w:trHeight w:val="500"/>
          <w:jc w:val="center"/>
        </w:trPr>
        <w:tc>
          <w:tcPr>
            <w:tcW w:w="4415" w:type="dxa"/>
            <w:shd w:val="clear" w:color="auto" w:fill="D7E3BC"/>
            <w:tcMar>
              <w:top w:w="100" w:type="dxa"/>
              <w:left w:w="100" w:type="dxa"/>
              <w:bottom w:w="100" w:type="dxa"/>
              <w:right w:w="100" w:type="dxa"/>
            </w:tcMar>
          </w:tcPr>
          <w:p w14:paraId="4F3C9177"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Variable cost</w:t>
            </w:r>
          </w:p>
        </w:tc>
        <w:tc>
          <w:tcPr>
            <w:tcW w:w="1505" w:type="dxa"/>
            <w:shd w:val="clear" w:color="auto" w:fill="D7E3BC"/>
            <w:tcMar>
              <w:top w:w="100" w:type="dxa"/>
              <w:left w:w="100" w:type="dxa"/>
              <w:bottom w:w="100" w:type="dxa"/>
              <w:right w:w="100" w:type="dxa"/>
            </w:tcMar>
          </w:tcPr>
          <w:p w14:paraId="61A5707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0D50E8" w14:paraId="26848BC3" w14:textId="77777777">
        <w:trPr>
          <w:trHeight w:val="500"/>
          <w:jc w:val="center"/>
        </w:trPr>
        <w:tc>
          <w:tcPr>
            <w:tcW w:w="4415" w:type="dxa"/>
            <w:shd w:val="clear" w:color="auto" w:fill="D7E3BC"/>
            <w:tcMar>
              <w:top w:w="100" w:type="dxa"/>
              <w:left w:w="100" w:type="dxa"/>
              <w:bottom w:w="100" w:type="dxa"/>
              <w:right w:w="100" w:type="dxa"/>
            </w:tcMar>
          </w:tcPr>
          <w:p w14:paraId="4BE1A34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materials</w:t>
            </w:r>
          </w:p>
        </w:tc>
        <w:tc>
          <w:tcPr>
            <w:tcW w:w="1505" w:type="dxa"/>
            <w:shd w:val="clear" w:color="auto" w:fill="D7E3BC"/>
            <w:tcMar>
              <w:top w:w="100" w:type="dxa"/>
              <w:left w:w="100" w:type="dxa"/>
              <w:bottom w:w="100" w:type="dxa"/>
              <w:right w:w="100" w:type="dxa"/>
            </w:tcMar>
          </w:tcPr>
          <w:p w14:paraId="2A414F1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17.5</w:t>
            </w:r>
          </w:p>
        </w:tc>
      </w:tr>
      <w:tr w:rsidR="000D50E8" w14:paraId="0F9203F8" w14:textId="77777777">
        <w:trPr>
          <w:trHeight w:val="500"/>
          <w:jc w:val="center"/>
        </w:trPr>
        <w:tc>
          <w:tcPr>
            <w:tcW w:w="4415" w:type="dxa"/>
            <w:shd w:val="clear" w:color="auto" w:fill="D7E3BC"/>
            <w:tcMar>
              <w:top w:w="100" w:type="dxa"/>
              <w:left w:w="100" w:type="dxa"/>
              <w:bottom w:w="100" w:type="dxa"/>
              <w:right w:w="100" w:type="dxa"/>
            </w:tcMar>
          </w:tcPr>
          <w:p w14:paraId="45F2803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Labour</w:t>
            </w:r>
          </w:p>
        </w:tc>
        <w:tc>
          <w:tcPr>
            <w:tcW w:w="1505" w:type="dxa"/>
            <w:shd w:val="clear" w:color="auto" w:fill="D7E3BC"/>
            <w:tcMar>
              <w:top w:w="100" w:type="dxa"/>
              <w:left w:w="100" w:type="dxa"/>
              <w:bottom w:w="100" w:type="dxa"/>
              <w:right w:w="100" w:type="dxa"/>
            </w:tcMar>
          </w:tcPr>
          <w:p w14:paraId="032DD00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27.5</w:t>
            </w:r>
          </w:p>
        </w:tc>
      </w:tr>
      <w:tr w:rsidR="000D50E8" w14:paraId="128C2E44" w14:textId="77777777">
        <w:trPr>
          <w:trHeight w:val="500"/>
          <w:jc w:val="center"/>
        </w:trPr>
        <w:tc>
          <w:tcPr>
            <w:tcW w:w="4415" w:type="dxa"/>
            <w:shd w:val="clear" w:color="auto" w:fill="D7E3BC"/>
            <w:tcMar>
              <w:top w:w="100" w:type="dxa"/>
              <w:left w:w="100" w:type="dxa"/>
              <w:bottom w:w="100" w:type="dxa"/>
              <w:right w:w="100" w:type="dxa"/>
            </w:tcMar>
          </w:tcPr>
          <w:p w14:paraId="6FAF04C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w:t>
            </w:r>
          </w:p>
        </w:tc>
        <w:tc>
          <w:tcPr>
            <w:tcW w:w="1505" w:type="dxa"/>
            <w:shd w:val="clear" w:color="auto" w:fill="D7E3BC"/>
            <w:tcMar>
              <w:top w:w="100" w:type="dxa"/>
              <w:left w:w="100" w:type="dxa"/>
              <w:bottom w:w="100" w:type="dxa"/>
              <w:right w:w="100" w:type="dxa"/>
            </w:tcMar>
          </w:tcPr>
          <w:p w14:paraId="285651C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7.5</w:t>
            </w:r>
          </w:p>
        </w:tc>
      </w:tr>
      <w:tr w:rsidR="000D50E8" w14:paraId="17A2A272" w14:textId="77777777">
        <w:trPr>
          <w:trHeight w:val="500"/>
          <w:jc w:val="center"/>
        </w:trPr>
        <w:tc>
          <w:tcPr>
            <w:tcW w:w="4415" w:type="dxa"/>
            <w:shd w:val="clear" w:color="auto" w:fill="D7E3BC"/>
            <w:tcMar>
              <w:top w:w="100" w:type="dxa"/>
              <w:left w:w="100" w:type="dxa"/>
              <w:bottom w:w="100" w:type="dxa"/>
              <w:right w:w="100" w:type="dxa"/>
            </w:tcMar>
          </w:tcPr>
          <w:p w14:paraId="26D79A8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variable cost</w:t>
            </w:r>
          </w:p>
        </w:tc>
        <w:tc>
          <w:tcPr>
            <w:tcW w:w="1505" w:type="dxa"/>
            <w:shd w:val="clear" w:color="auto" w:fill="D7E3BC"/>
            <w:tcMar>
              <w:top w:w="100" w:type="dxa"/>
              <w:left w:w="100" w:type="dxa"/>
              <w:bottom w:w="100" w:type="dxa"/>
              <w:right w:w="100" w:type="dxa"/>
            </w:tcMar>
          </w:tcPr>
          <w:p w14:paraId="385107B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52.5</w:t>
            </w:r>
          </w:p>
        </w:tc>
      </w:tr>
    </w:tbl>
    <w:p w14:paraId="553EBF83"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Flexible budget</w:t>
      </w:r>
    </w:p>
    <w:p w14:paraId="6345E518"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0B72C820"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Variances</w:t>
      </w:r>
    </w:p>
    <w:p w14:paraId="4D743782"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projected by </w:t>
      </w:r>
      <w:r>
        <w:rPr>
          <w:rFonts w:ascii="Times New Roman" w:eastAsia="Times New Roman" w:hAnsi="Times New Roman" w:cs="Times New Roman"/>
          <w:color w:val="222222"/>
          <w:sz w:val="24"/>
          <w:szCs w:val="24"/>
          <w:highlight w:val="white"/>
        </w:rPr>
        <w:t xml:space="preserve">Kes and Kuźmiński (2019), </w:t>
      </w:r>
      <w:r>
        <w:rPr>
          <w:rFonts w:ascii="Times New Roman" w:eastAsia="Times New Roman" w:hAnsi="Times New Roman" w:cs="Times New Roman"/>
          <w:color w:val="000000"/>
          <w:sz w:val="24"/>
          <w:szCs w:val="24"/>
        </w:rPr>
        <w:t>a budget variance is nothing but the difference between the expected as well as the actual figure of for a specific accounting category. There are generally two kinds of budget vari</w:t>
      </w:r>
      <w:r>
        <w:rPr>
          <w:rFonts w:ascii="Times New Roman" w:eastAsia="Times New Roman" w:hAnsi="Times New Roman" w:cs="Times New Roman"/>
          <w:color w:val="000000"/>
          <w:sz w:val="24"/>
          <w:szCs w:val="24"/>
        </w:rPr>
        <w:t xml:space="preserve">ance, one is favourable and another is unfavourable variance. As stated by </w:t>
      </w:r>
      <w:r>
        <w:rPr>
          <w:rFonts w:ascii="Times New Roman" w:eastAsia="Times New Roman" w:hAnsi="Times New Roman" w:cs="Times New Roman"/>
          <w:color w:val="222222"/>
          <w:sz w:val="24"/>
          <w:szCs w:val="24"/>
          <w:highlight w:val="white"/>
        </w:rPr>
        <w:t>Saputra and Putrayasa (2018),</w:t>
      </w:r>
      <w:r>
        <w:rPr>
          <w:rFonts w:ascii="Times New Roman" w:eastAsia="Times New Roman" w:hAnsi="Times New Roman" w:cs="Times New Roman"/>
          <w:color w:val="000000"/>
          <w:sz w:val="24"/>
          <w:szCs w:val="24"/>
        </w:rPr>
        <w:t xml:space="preserve"> a favourable variance refers to the positive balance which means the organization has achieved gains; on the other hand a negative balance represents t</w:t>
      </w:r>
      <w:r>
        <w:rPr>
          <w:rFonts w:ascii="Times New Roman" w:eastAsia="Times New Roman" w:hAnsi="Times New Roman" w:cs="Times New Roman"/>
          <w:color w:val="000000"/>
          <w:sz w:val="24"/>
          <w:szCs w:val="24"/>
        </w:rPr>
        <w:t xml:space="preserve">he unfavourable balance which means a loss has taken place with the organization.  As opined by </w:t>
      </w:r>
      <w:r>
        <w:rPr>
          <w:rFonts w:ascii="Times New Roman" w:eastAsia="Times New Roman" w:hAnsi="Times New Roman" w:cs="Times New Roman"/>
          <w:color w:val="222222"/>
          <w:sz w:val="24"/>
          <w:szCs w:val="24"/>
          <w:highlight w:val="white"/>
        </w:rPr>
        <w:t xml:space="preserve">Ghofur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color w:val="000000"/>
          <w:sz w:val="24"/>
          <w:szCs w:val="24"/>
        </w:rPr>
        <w:t xml:space="preserve">Budget variance happens because the management is not able to predict the future cost as well as the revenue accurately. </w:t>
      </w:r>
    </w:p>
    <w:p w14:paraId="7E8265CB"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Here, due to the</w:t>
      </w:r>
      <w:r>
        <w:rPr>
          <w:rFonts w:ascii="Times New Roman" w:eastAsia="Times New Roman" w:hAnsi="Times New Roman" w:cs="Times New Roman"/>
          <w:color w:val="000000"/>
          <w:sz w:val="24"/>
          <w:szCs w:val="24"/>
        </w:rPr>
        <w:t xml:space="preserve"> devastating impact of Covid 19, the concerned organization faces a huge loss in every aspect. Due to the heavy shortfall in the revenue, all the other costs show an unfavourable balance. Though the total cost has been decreased but this has no effect on t</w:t>
      </w:r>
      <w:r>
        <w:rPr>
          <w:rFonts w:ascii="Times New Roman" w:eastAsia="Times New Roman" w:hAnsi="Times New Roman" w:cs="Times New Roman"/>
          <w:color w:val="000000"/>
          <w:sz w:val="24"/>
          <w:szCs w:val="24"/>
        </w:rPr>
        <w:t xml:space="preserve">he overall performance of the company. </w:t>
      </w:r>
    </w:p>
    <w:p w14:paraId="6B880857" w14:textId="77777777" w:rsidR="000D50E8" w:rsidRDefault="000D50E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6"/>
        <w:tblW w:w="935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872"/>
        <w:gridCol w:w="1475"/>
        <w:gridCol w:w="1607"/>
        <w:gridCol w:w="1269"/>
        <w:gridCol w:w="1136"/>
      </w:tblGrid>
      <w:tr w:rsidR="000D50E8" w14:paraId="23BBEED0" w14:textId="77777777">
        <w:trPr>
          <w:trHeight w:val="500"/>
          <w:jc w:val="center"/>
        </w:trPr>
        <w:tc>
          <w:tcPr>
            <w:tcW w:w="9359" w:type="dxa"/>
            <w:gridSpan w:val="5"/>
            <w:shd w:val="clear" w:color="auto" w:fill="B2A1C7"/>
            <w:tcMar>
              <w:top w:w="100" w:type="dxa"/>
              <w:left w:w="100" w:type="dxa"/>
              <w:bottom w:w="100" w:type="dxa"/>
              <w:right w:w="100" w:type="dxa"/>
            </w:tcMar>
          </w:tcPr>
          <w:p w14:paraId="5CB4EB8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Variances</w:t>
            </w:r>
          </w:p>
        </w:tc>
      </w:tr>
      <w:tr w:rsidR="000D50E8" w14:paraId="37233734" w14:textId="77777777">
        <w:trPr>
          <w:trHeight w:val="500"/>
          <w:jc w:val="center"/>
        </w:trPr>
        <w:tc>
          <w:tcPr>
            <w:tcW w:w="3872" w:type="dxa"/>
            <w:shd w:val="clear" w:color="auto" w:fill="E5DFEC"/>
            <w:tcMar>
              <w:top w:w="100" w:type="dxa"/>
              <w:left w:w="100" w:type="dxa"/>
              <w:bottom w:w="100" w:type="dxa"/>
              <w:right w:w="100" w:type="dxa"/>
            </w:tcMar>
          </w:tcPr>
          <w:p w14:paraId="7BC55C7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c>
          <w:tcPr>
            <w:tcW w:w="1475" w:type="dxa"/>
            <w:shd w:val="clear" w:color="auto" w:fill="E5DFEC"/>
            <w:tcMar>
              <w:top w:w="100" w:type="dxa"/>
              <w:left w:w="100" w:type="dxa"/>
              <w:bottom w:w="100" w:type="dxa"/>
              <w:right w:w="100" w:type="dxa"/>
            </w:tcMar>
          </w:tcPr>
          <w:p w14:paraId="5D78C58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Actual</w:t>
            </w:r>
          </w:p>
        </w:tc>
        <w:tc>
          <w:tcPr>
            <w:tcW w:w="1607" w:type="dxa"/>
            <w:shd w:val="clear" w:color="auto" w:fill="E5DFEC"/>
            <w:tcMar>
              <w:top w:w="100" w:type="dxa"/>
              <w:left w:w="100" w:type="dxa"/>
              <w:bottom w:w="100" w:type="dxa"/>
              <w:right w:w="100" w:type="dxa"/>
            </w:tcMar>
          </w:tcPr>
          <w:p w14:paraId="7D3DA6F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Budgeted</w:t>
            </w:r>
          </w:p>
        </w:tc>
        <w:tc>
          <w:tcPr>
            <w:tcW w:w="1269" w:type="dxa"/>
            <w:shd w:val="clear" w:color="auto" w:fill="E5DFEC"/>
            <w:tcMar>
              <w:top w:w="100" w:type="dxa"/>
              <w:left w:w="100" w:type="dxa"/>
              <w:bottom w:w="100" w:type="dxa"/>
              <w:right w:w="100" w:type="dxa"/>
            </w:tcMar>
          </w:tcPr>
          <w:p w14:paraId="413B98B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variance</w:t>
            </w:r>
          </w:p>
        </w:tc>
        <w:tc>
          <w:tcPr>
            <w:tcW w:w="1136" w:type="dxa"/>
            <w:shd w:val="clear" w:color="auto" w:fill="E5DFEC"/>
            <w:tcMar>
              <w:top w:w="100" w:type="dxa"/>
              <w:left w:w="100" w:type="dxa"/>
              <w:bottom w:w="100" w:type="dxa"/>
              <w:right w:w="100" w:type="dxa"/>
            </w:tcMar>
          </w:tcPr>
          <w:p w14:paraId="265F754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balance</w:t>
            </w:r>
          </w:p>
        </w:tc>
      </w:tr>
      <w:tr w:rsidR="000D50E8" w14:paraId="5D83FA6C" w14:textId="77777777">
        <w:trPr>
          <w:trHeight w:val="500"/>
          <w:jc w:val="center"/>
        </w:trPr>
        <w:tc>
          <w:tcPr>
            <w:tcW w:w="3872" w:type="dxa"/>
            <w:shd w:val="clear" w:color="auto" w:fill="E5DFEC"/>
            <w:tcMar>
              <w:top w:w="100" w:type="dxa"/>
              <w:left w:w="100" w:type="dxa"/>
              <w:bottom w:w="100" w:type="dxa"/>
              <w:right w:w="100" w:type="dxa"/>
            </w:tcMar>
          </w:tcPr>
          <w:p w14:paraId="5D099CE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revenue</w:t>
            </w:r>
          </w:p>
        </w:tc>
        <w:tc>
          <w:tcPr>
            <w:tcW w:w="1475" w:type="dxa"/>
            <w:shd w:val="clear" w:color="auto" w:fill="E5DFEC"/>
            <w:tcMar>
              <w:top w:w="100" w:type="dxa"/>
              <w:left w:w="100" w:type="dxa"/>
              <w:bottom w:w="100" w:type="dxa"/>
              <w:right w:w="100" w:type="dxa"/>
            </w:tcMar>
          </w:tcPr>
          <w:p w14:paraId="54D45F8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1600000</w:t>
            </w:r>
          </w:p>
        </w:tc>
        <w:tc>
          <w:tcPr>
            <w:tcW w:w="1607" w:type="dxa"/>
            <w:shd w:val="clear" w:color="auto" w:fill="E5DFEC"/>
            <w:tcMar>
              <w:top w:w="100" w:type="dxa"/>
              <w:left w:w="100" w:type="dxa"/>
              <w:bottom w:w="100" w:type="dxa"/>
              <w:right w:w="100" w:type="dxa"/>
            </w:tcMar>
          </w:tcPr>
          <w:p w14:paraId="72614DDA"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2500000</w:t>
            </w:r>
          </w:p>
        </w:tc>
        <w:tc>
          <w:tcPr>
            <w:tcW w:w="1269" w:type="dxa"/>
            <w:shd w:val="clear" w:color="auto" w:fill="E5DFEC"/>
            <w:tcMar>
              <w:top w:w="100" w:type="dxa"/>
              <w:left w:w="100" w:type="dxa"/>
              <w:bottom w:w="100" w:type="dxa"/>
              <w:right w:w="100" w:type="dxa"/>
            </w:tcMar>
          </w:tcPr>
          <w:p w14:paraId="19F48A8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-900000</w:t>
            </w:r>
          </w:p>
        </w:tc>
        <w:tc>
          <w:tcPr>
            <w:tcW w:w="1136" w:type="dxa"/>
            <w:shd w:val="clear" w:color="auto" w:fill="E5DFEC"/>
            <w:tcMar>
              <w:top w:w="100" w:type="dxa"/>
              <w:left w:w="100" w:type="dxa"/>
              <w:bottom w:w="100" w:type="dxa"/>
              <w:right w:w="100" w:type="dxa"/>
            </w:tcMar>
          </w:tcPr>
          <w:p w14:paraId="5573FB7E"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6DFFE22A" w14:textId="77777777">
        <w:trPr>
          <w:trHeight w:val="500"/>
          <w:jc w:val="center"/>
        </w:trPr>
        <w:tc>
          <w:tcPr>
            <w:tcW w:w="3872" w:type="dxa"/>
            <w:shd w:val="clear" w:color="auto" w:fill="E5DFEC"/>
            <w:tcMar>
              <w:top w:w="100" w:type="dxa"/>
              <w:left w:w="100" w:type="dxa"/>
              <w:bottom w:w="100" w:type="dxa"/>
              <w:right w:w="100" w:type="dxa"/>
            </w:tcMar>
          </w:tcPr>
          <w:p w14:paraId="2B2ADF6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Material</w:t>
            </w:r>
          </w:p>
        </w:tc>
        <w:tc>
          <w:tcPr>
            <w:tcW w:w="1475" w:type="dxa"/>
            <w:shd w:val="clear" w:color="auto" w:fill="E5DFEC"/>
            <w:tcMar>
              <w:top w:w="100" w:type="dxa"/>
              <w:left w:w="100" w:type="dxa"/>
              <w:bottom w:w="100" w:type="dxa"/>
              <w:right w:w="100" w:type="dxa"/>
            </w:tcMar>
          </w:tcPr>
          <w:p w14:paraId="26C9F21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280000</w:t>
            </w:r>
          </w:p>
        </w:tc>
        <w:tc>
          <w:tcPr>
            <w:tcW w:w="1607" w:type="dxa"/>
            <w:shd w:val="clear" w:color="auto" w:fill="E5DFEC"/>
            <w:tcMar>
              <w:top w:w="100" w:type="dxa"/>
              <w:left w:w="100" w:type="dxa"/>
              <w:bottom w:w="100" w:type="dxa"/>
              <w:right w:w="100" w:type="dxa"/>
            </w:tcMar>
          </w:tcPr>
          <w:p w14:paraId="2C58937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c>
          <w:tcPr>
            <w:tcW w:w="1269" w:type="dxa"/>
            <w:shd w:val="clear" w:color="auto" w:fill="E5DFEC"/>
            <w:tcMar>
              <w:top w:w="100" w:type="dxa"/>
              <w:left w:w="100" w:type="dxa"/>
              <w:bottom w:w="100" w:type="dxa"/>
              <w:right w:w="100" w:type="dxa"/>
            </w:tcMar>
          </w:tcPr>
          <w:p w14:paraId="5D1D86B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c>
          <w:tcPr>
            <w:tcW w:w="1136" w:type="dxa"/>
            <w:shd w:val="clear" w:color="auto" w:fill="E5DFEC"/>
            <w:tcMar>
              <w:top w:w="100" w:type="dxa"/>
              <w:left w:w="100" w:type="dxa"/>
              <w:bottom w:w="100" w:type="dxa"/>
              <w:right w:w="100" w:type="dxa"/>
            </w:tcMar>
          </w:tcPr>
          <w:p w14:paraId="50C6999C"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334779DE" w14:textId="77777777">
        <w:trPr>
          <w:trHeight w:val="500"/>
          <w:jc w:val="center"/>
        </w:trPr>
        <w:tc>
          <w:tcPr>
            <w:tcW w:w="3872" w:type="dxa"/>
            <w:shd w:val="clear" w:color="auto" w:fill="E5DFEC"/>
            <w:tcMar>
              <w:top w:w="100" w:type="dxa"/>
              <w:left w:w="100" w:type="dxa"/>
              <w:bottom w:w="100" w:type="dxa"/>
              <w:right w:w="100" w:type="dxa"/>
            </w:tcMar>
          </w:tcPr>
          <w:p w14:paraId="0C94661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Labour</w:t>
            </w:r>
          </w:p>
        </w:tc>
        <w:tc>
          <w:tcPr>
            <w:tcW w:w="1475" w:type="dxa"/>
            <w:shd w:val="clear" w:color="auto" w:fill="E5DFEC"/>
            <w:tcMar>
              <w:top w:w="100" w:type="dxa"/>
              <w:left w:w="100" w:type="dxa"/>
              <w:bottom w:w="100" w:type="dxa"/>
              <w:right w:w="100" w:type="dxa"/>
            </w:tcMar>
          </w:tcPr>
          <w:p w14:paraId="341C309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440000</w:t>
            </w:r>
          </w:p>
        </w:tc>
        <w:tc>
          <w:tcPr>
            <w:tcW w:w="1607" w:type="dxa"/>
            <w:shd w:val="clear" w:color="auto" w:fill="E5DFEC"/>
            <w:tcMar>
              <w:top w:w="100" w:type="dxa"/>
              <w:left w:w="100" w:type="dxa"/>
              <w:bottom w:w="100" w:type="dxa"/>
              <w:right w:w="100" w:type="dxa"/>
            </w:tcMar>
          </w:tcPr>
          <w:p w14:paraId="3880838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479232</w:t>
            </w:r>
          </w:p>
        </w:tc>
        <w:tc>
          <w:tcPr>
            <w:tcW w:w="1269" w:type="dxa"/>
            <w:shd w:val="clear" w:color="auto" w:fill="E5DFEC"/>
            <w:tcMar>
              <w:top w:w="100" w:type="dxa"/>
              <w:left w:w="100" w:type="dxa"/>
              <w:bottom w:w="100" w:type="dxa"/>
              <w:right w:w="100" w:type="dxa"/>
            </w:tcMar>
          </w:tcPr>
          <w:p w14:paraId="3542526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-39232</w:t>
            </w:r>
          </w:p>
        </w:tc>
        <w:tc>
          <w:tcPr>
            <w:tcW w:w="1136" w:type="dxa"/>
            <w:shd w:val="clear" w:color="auto" w:fill="E5DFEC"/>
            <w:tcMar>
              <w:top w:w="100" w:type="dxa"/>
              <w:left w:w="100" w:type="dxa"/>
              <w:bottom w:w="100" w:type="dxa"/>
              <w:right w:w="100" w:type="dxa"/>
            </w:tcMar>
          </w:tcPr>
          <w:p w14:paraId="4C60A93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2C49C2F4" w14:textId="77777777">
        <w:trPr>
          <w:trHeight w:val="500"/>
          <w:jc w:val="center"/>
        </w:trPr>
        <w:tc>
          <w:tcPr>
            <w:tcW w:w="3872" w:type="dxa"/>
            <w:shd w:val="clear" w:color="auto" w:fill="E5DFEC"/>
            <w:tcMar>
              <w:top w:w="100" w:type="dxa"/>
              <w:left w:w="100" w:type="dxa"/>
              <w:bottom w:w="100" w:type="dxa"/>
              <w:right w:w="100" w:type="dxa"/>
            </w:tcMar>
          </w:tcPr>
          <w:p w14:paraId="581B14E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overhead</w:t>
            </w:r>
          </w:p>
        </w:tc>
        <w:tc>
          <w:tcPr>
            <w:tcW w:w="1475" w:type="dxa"/>
            <w:shd w:val="clear" w:color="auto" w:fill="E5DFEC"/>
            <w:tcMar>
              <w:top w:w="100" w:type="dxa"/>
              <w:left w:w="100" w:type="dxa"/>
              <w:bottom w:w="100" w:type="dxa"/>
              <w:right w:w="100" w:type="dxa"/>
            </w:tcMar>
          </w:tcPr>
          <w:p w14:paraId="21FE11A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120000</w:t>
            </w:r>
          </w:p>
        </w:tc>
        <w:tc>
          <w:tcPr>
            <w:tcW w:w="1607" w:type="dxa"/>
            <w:shd w:val="clear" w:color="auto" w:fill="E5DFEC"/>
            <w:tcMar>
              <w:top w:w="100" w:type="dxa"/>
              <w:left w:w="100" w:type="dxa"/>
              <w:bottom w:w="100" w:type="dxa"/>
              <w:right w:w="100" w:type="dxa"/>
            </w:tcMar>
          </w:tcPr>
          <w:p w14:paraId="2AF6FEF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150000</w:t>
            </w:r>
          </w:p>
        </w:tc>
        <w:tc>
          <w:tcPr>
            <w:tcW w:w="1269" w:type="dxa"/>
            <w:shd w:val="clear" w:color="auto" w:fill="E5DFEC"/>
            <w:tcMar>
              <w:top w:w="100" w:type="dxa"/>
              <w:left w:w="100" w:type="dxa"/>
              <w:bottom w:w="100" w:type="dxa"/>
              <w:right w:w="100" w:type="dxa"/>
            </w:tcMar>
          </w:tcPr>
          <w:p w14:paraId="609F38E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c>
          <w:tcPr>
            <w:tcW w:w="1136" w:type="dxa"/>
            <w:shd w:val="clear" w:color="auto" w:fill="E5DFEC"/>
            <w:tcMar>
              <w:top w:w="100" w:type="dxa"/>
              <w:left w:w="100" w:type="dxa"/>
              <w:bottom w:w="100" w:type="dxa"/>
              <w:right w:w="100" w:type="dxa"/>
            </w:tcMar>
          </w:tcPr>
          <w:p w14:paraId="57567EC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4BFAE472" w14:textId="77777777">
        <w:trPr>
          <w:trHeight w:val="500"/>
          <w:jc w:val="center"/>
        </w:trPr>
        <w:tc>
          <w:tcPr>
            <w:tcW w:w="3872" w:type="dxa"/>
            <w:shd w:val="clear" w:color="auto" w:fill="E5DFEC"/>
            <w:tcMar>
              <w:top w:w="100" w:type="dxa"/>
              <w:left w:w="100" w:type="dxa"/>
              <w:bottom w:w="100" w:type="dxa"/>
              <w:right w:w="100" w:type="dxa"/>
            </w:tcMar>
          </w:tcPr>
          <w:p w14:paraId="24C8C264"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warehouse rental</w:t>
            </w:r>
          </w:p>
        </w:tc>
        <w:tc>
          <w:tcPr>
            <w:tcW w:w="1475" w:type="dxa"/>
            <w:shd w:val="clear" w:color="auto" w:fill="E5DFEC"/>
            <w:tcMar>
              <w:top w:w="100" w:type="dxa"/>
              <w:left w:w="100" w:type="dxa"/>
              <w:bottom w:w="100" w:type="dxa"/>
              <w:right w:w="100" w:type="dxa"/>
            </w:tcMar>
          </w:tcPr>
          <w:p w14:paraId="44D62F33"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170000</w:t>
            </w:r>
          </w:p>
        </w:tc>
        <w:tc>
          <w:tcPr>
            <w:tcW w:w="1607" w:type="dxa"/>
            <w:shd w:val="clear" w:color="auto" w:fill="E5DFEC"/>
            <w:tcMar>
              <w:top w:w="100" w:type="dxa"/>
              <w:left w:w="100" w:type="dxa"/>
              <w:bottom w:w="100" w:type="dxa"/>
              <w:right w:w="100" w:type="dxa"/>
            </w:tcMar>
          </w:tcPr>
          <w:p w14:paraId="67DD8C32"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200000</w:t>
            </w:r>
          </w:p>
        </w:tc>
        <w:tc>
          <w:tcPr>
            <w:tcW w:w="1269" w:type="dxa"/>
            <w:shd w:val="clear" w:color="auto" w:fill="E5DFEC"/>
            <w:tcMar>
              <w:top w:w="100" w:type="dxa"/>
              <w:left w:w="100" w:type="dxa"/>
              <w:bottom w:w="100" w:type="dxa"/>
              <w:right w:w="100" w:type="dxa"/>
            </w:tcMar>
          </w:tcPr>
          <w:p w14:paraId="39583DB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c>
          <w:tcPr>
            <w:tcW w:w="1136" w:type="dxa"/>
            <w:shd w:val="clear" w:color="auto" w:fill="E5DFEC"/>
            <w:tcMar>
              <w:top w:w="100" w:type="dxa"/>
              <w:left w:w="100" w:type="dxa"/>
              <w:bottom w:w="100" w:type="dxa"/>
              <w:right w:w="100" w:type="dxa"/>
            </w:tcMar>
          </w:tcPr>
          <w:p w14:paraId="09458B3A"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003652FA" w14:textId="77777777">
        <w:trPr>
          <w:trHeight w:val="500"/>
          <w:jc w:val="center"/>
        </w:trPr>
        <w:tc>
          <w:tcPr>
            <w:tcW w:w="3872" w:type="dxa"/>
            <w:shd w:val="clear" w:color="auto" w:fill="E5DFEC"/>
            <w:tcMar>
              <w:top w:w="100" w:type="dxa"/>
              <w:left w:w="100" w:type="dxa"/>
              <w:bottom w:w="100" w:type="dxa"/>
              <w:right w:w="100" w:type="dxa"/>
            </w:tcMar>
          </w:tcPr>
          <w:p w14:paraId="731AC1FA"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Insurance</w:t>
            </w:r>
          </w:p>
        </w:tc>
        <w:tc>
          <w:tcPr>
            <w:tcW w:w="1475" w:type="dxa"/>
            <w:shd w:val="clear" w:color="auto" w:fill="E5DFEC"/>
            <w:tcMar>
              <w:top w:w="100" w:type="dxa"/>
              <w:left w:w="100" w:type="dxa"/>
              <w:bottom w:w="100" w:type="dxa"/>
              <w:right w:w="100" w:type="dxa"/>
            </w:tcMar>
          </w:tcPr>
          <w:p w14:paraId="6490887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607" w:type="dxa"/>
            <w:shd w:val="clear" w:color="auto" w:fill="E5DFEC"/>
            <w:tcMar>
              <w:top w:w="100" w:type="dxa"/>
              <w:left w:w="100" w:type="dxa"/>
              <w:bottom w:w="100" w:type="dxa"/>
              <w:right w:w="100" w:type="dxa"/>
            </w:tcMar>
          </w:tcPr>
          <w:p w14:paraId="17D0CFD8"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1269" w:type="dxa"/>
            <w:shd w:val="clear" w:color="auto" w:fill="E5DFEC"/>
            <w:tcMar>
              <w:top w:w="100" w:type="dxa"/>
              <w:left w:w="100" w:type="dxa"/>
              <w:bottom w:w="100" w:type="dxa"/>
              <w:right w:w="100" w:type="dxa"/>
            </w:tcMar>
          </w:tcPr>
          <w:p w14:paraId="40C2604B"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1136" w:type="dxa"/>
            <w:shd w:val="clear" w:color="auto" w:fill="E5DFEC"/>
            <w:tcMar>
              <w:top w:w="100" w:type="dxa"/>
              <w:left w:w="100" w:type="dxa"/>
              <w:bottom w:w="100" w:type="dxa"/>
              <w:right w:w="100" w:type="dxa"/>
            </w:tcMar>
          </w:tcPr>
          <w:p w14:paraId="7BF4FA6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1F02A193" w14:textId="77777777">
        <w:trPr>
          <w:trHeight w:val="500"/>
          <w:jc w:val="center"/>
        </w:trPr>
        <w:tc>
          <w:tcPr>
            <w:tcW w:w="3872" w:type="dxa"/>
            <w:shd w:val="clear" w:color="auto" w:fill="E5DFEC"/>
            <w:tcMar>
              <w:top w:w="100" w:type="dxa"/>
              <w:left w:w="100" w:type="dxa"/>
              <w:bottom w:w="100" w:type="dxa"/>
              <w:right w:w="100" w:type="dxa"/>
            </w:tcMar>
          </w:tcPr>
          <w:p w14:paraId="3F19FE7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Full time warehouse supervisor salary</w:t>
            </w:r>
          </w:p>
        </w:tc>
        <w:tc>
          <w:tcPr>
            <w:tcW w:w="1475" w:type="dxa"/>
            <w:shd w:val="clear" w:color="auto" w:fill="E5DFEC"/>
            <w:tcMar>
              <w:top w:w="100" w:type="dxa"/>
              <w:left w:w="100" w:type="dxa"/>
              <w:bottom w:w="100" w:type="dxa"/>
              <w:right w:w="100" w:type="dxa"/>
            </w:tcMar>
          </w:tcPr>
          <w:p w14:paraId="6344C7B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35000</w:t>
            </w:r>
          </w:p>
        </w:tc>
        <w:tc>
          <w:tcPr>
            <w:tcW w:w="1607" w:type="dxa"/>
            <w:shd w:val="clear" w:color="auto" w:fill="E5DFEC"/>
            <w:tcMar>
              <w:top w:w="100" w:type="dxa"/>
              <w:left w:w="100" w:type="dxa"/>
              <w:bottom w:w="100" w:type="dxa"/>
              <w:right w:w="100" w:type="dxa"/>
            </w:tcMar>
          </w:tcPr>
          <w:p w14:paraId="60ADC80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c>
          <w:tcPr>
            <w:tcW w:w="1269" w:type="dxa"/>
            <w:shd w:val="clear" w:color="auto" w:fill="E5DFEC"/>
            <w:tcMar>
              <w:top w:w="100" w:type="dxa"/>
              <w:left w:w="100" w:type="dxa"/>
              <w:bottom w:w="100" w:type="dxa"/>
              <w:right w:w="100" w:type="dxa"/>
            </w:tcMar>
          </w:tcPr>
          <w:p w14:paraId="05E0E3D6"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-15000</w:t>
            </w:r>
          </w:p>
        </w:tc>
        <w:tc>
          <w:tcPr>
            <w:tcW w:w="1136" w:type="dxa"/>
            <w:shd w:val="clear" w:color="auto" w:fill="E5DFEC"/>
            <w:tcMar>
              <w:top w:w="100" w:type="dxa"/>
              <w:left w:w="100" w:type="dxa"/>
              <w:bottom w:w="100" w:type="dxa"/>
              <w:right w:w="100" w:type="dxa"/>
            </w:tcMar>
          </w:tcPr>
          <w:p w14:paraId="1F9129F0"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4B7E94C3" w14:textId="77777777">
        <w:trPr>
          <w:trHeight w:val="500"/>
          <w:jc w:val="center"/>
        </w:trPr>
        <w:tc>
          <w:tcPr>
            <w:tcW w:w="3872" w:type="dxa"/>
            <w:shd w:val="clear" w:color="auto" w:fill="E5DFEC"/>
            <w:tcMar>
              <w:top w:w="100" w:type="dxa"/>
              <w:left w:w="100" w:type="dxa"/>
              <w:bottom w:w="100" w:type="dxa"/>
              <w:right w:w="100" w:type="dxa"/>
            </w:tcMar>
          </w:tcPr>
          <w:p w14:paraId="42FD3F8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Total  cost</w:t>
            </w:r>
          </w:p>
        </w:tc>
        <w:tc>
          <w:tcPr>
            <w:tcW w:w="1475" w:type="dxa"/>
            <w:shd w:val="clear" w:color="auto" w:fill="E5DFEC"/>
            <w:tcMar>
              <w:top w:w="100" w:type="dxa"/>
              <w:left w:w="100" w:type="dxa"/>
              <w:bottom w:w="100" w:type="dxa"/>
              <w:right w:w="100" w:type="dxa"/>
            </w:tcMar>
          </w:tcPr>
          <w:p w14:paraId="087AB73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1145000</w:t>
            </w:r>
          </w:p>
        </w:tc>
        <w:tc>
          <w:tcPr>
            <w:tcW w:w="1607" w:type="dxa"/>
            <w:shd w:val="clear" w:color="auto" w:fill="E5DFEC"/>
            <w:tcMar>
              <w:top w:w="100" w:type="dxa"/>
              <w:left w:w="100" w:type="dxa"/>
              <w:bottom w:w="100" w:type="dxa"/>
              <w:right w:w="100" w:type="dxa"/>
            </w:tcMar>
          </w:tcPr>
          <w:p w14:paraId="66D3BA61"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1229232</w:t>
            </w:r>
          </w:p>
        </w:tc>
        <w:tc>
          <w:tcPr>
            <w:tcW w:w="1269" w:type="dxa"/>
            <w:shd w:val="clear" w:color="auto" w:fill="E5DFEC"/>
            <w:tcMar>
              <w:top w:w="100" w:type="dxa"/>
              <w:left w:w="100" w:type="dxa"/>
              <w:bottom w:w="100" w:type="dxa"/>
              <w:right w:w="100" w:type="dxa"/>
            </w:tcMar>
          </w:tcPr>
          <w:p w14:paraId="63A20FAD"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-84232</w:t>
            </w:r>
          </w:p>
        </w:tc>
        <w:tc>
          <w:tcPr>
            <w:tcW w:w="1136" w:type="dxa"/>
            <w:shd w:val="clear" w:color="auto" w:fill="E5DFEC"/>
            <w:tcMar>
              <w:top w:w="100" w:type="dxa"/>
              <w:left w:w="100" w:type="dxa"/>
              <w:bottom w:w="100" w:type="dxa"/>
              <w:right w:w="100" w:type="dxa"/>
            </w:tcMar>
          </w:tcPr>
          <w:p w14:paraId="5B404407"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r w:rsidR="000D50E8" w14:paraId="2675704F" w14:textId="77777777">
        <w:trPr>
          <w:trHeight w:val="500"/>
          <w:jc w:val="center"/>
        </w:trPr>
        <w:tc>
          <w:tcPr>
            <w:tcW w:w="3872" w:type="dxa"/>
            <w:shd w:val="clear" w:color="auto" w:fill="E5DFEC"/>
            <w:tcMar>
              <w:top w:w="100" w:type="dxa"/>
              <w:left w:w="100" w:type="dxa"/>
              <w:bottom w:w="100" w:type="dxa"/>
              <w:right w:w="100" w:type="dxa"/>
            </w:tcMar>
          </w:tcPr>
          <w:p w14:paraId="521DDCF9"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Net gain /loss</w:t>
            </w:r>
          </w:p>
        </w:tc>
        <w:tc>
          <w:tcPr>
            <w:tcW w:w="1475" w:type="dxa"/>
            <w:shd w:val="clear" w:color="auto" w:fill="E5DFEC"/>
            <w:tcMar>
              <w:top w:w="100" w:type="dxa"/>
              <w:left w:w="100" w:type="dxa"/>
              <w:bottom w:w="100" w:type="dxa"/>
              <w:right w:w="100" w:type="dxa"/>
            </w:tcMar>
          </w:tcPr>
          <w:p w14:paraId="5EB31805"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455000</w:t>
            </w:r>
          </w:p>
        </w:tc>
        <w:tc>
          <w:tcPr>
            <w:tcW w:w="1607" w:type="dxa"/>
            <w:shd w:val="clear" w:color="auto" w:fill="E5DFEC"/>
            <w:tcMar>
              <w:top w:w="100" w:type="dxa"/>
              <w:left w:w="100" w:type="dxa"/>
              <w:bottom w:w="100" w:type="dxa"/>
              <w:right w:w="100" w:type="dxa"/>
            </w:tcMar>
          </w:tcPr>
          <w:p w14:paraId="17AD504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1270768</w:t>
            </w:r>
          </w:p>
        </w:tc>
        <w:tc>
          <w:tcPr>
            <w:tcW w:w="1269" w:type="dxa"/>
            <w:shd w:val="clear" w:color="auto" w:fill="E5DFEC"/>
            <w:tcMar>
              <w:top w:w="100" w:type="dxa"/>
              <w:left w:w="100" w:type="dxa"/>
              <w:bottom w:w="100" w:type="dxa"/>
              <w:right w:w="100" w:type="dxa"/>
            </w:tcMar>
          </w:tcPr>
          <w:p w14:paraId="6EEEAE07"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-815768</w:t>
            </w:r>
          </w:p>
        </w:tc>
        <w:tc>
          <w:tcPr>
            <w:tcW w:w="1136" w:type="dxa"/>
            <w:shd w:val="clear" w:color="auto" w:fill="E5DFEC"/>
            <w:tcMar>
              <w:top w:w="100" w:type="dxa"/>
              <w:left w:w="100" w:type="dxa"/>
              <w:bottom w:w="100" w:type="dxa"/>
              <w:right w:w="100" w:type="dxa"/>
            </w:tcMar>
          </w:tcPr>
          <w:p w14:paraId="55973FBF" w14:textId="77777777" w:rsidR="000D50E8" w:rsidRDefault="00B22EAB">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
            </w:r>
          </w:p>
        </w:tc>
      </w:tr>
    </w:tbl>
    <w:p w14:paraId="02624C16" w14:textId="77777777" w:rsidR="000D50E8" w:rsidRDefault="000D50E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00DA31D"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3: Variance</w:t>
      </w:r>
    </w:p>
    <w:p w14:paraId="76374F13" w14:textId="77777777" w:rsidR="000D50E8" w:rsidRDefault="00B22EAB">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 Created)</w:t>
      </w:r>
    </w:p>
    <w:p w14:paraId="42E17DF2"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II. Amana’s performance during the year 2020</w:t>
      </w:r>
    </w:p>
    <w:p w14:paraId="5FA97212"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the above report it can be stated that the performance of the concerned organization is quite disappointing. The main reason behind the drawback of the performance is the Covid 19 pandemic. In this study th</w:t>
      </w:r>
      <w:r>
        <w:rPr>
          <w:rFonts w:ascii="Times New Roman" w:eastAsia="Times New Roman" w:hAnsi="Times New Roman" w:cs="Times New Roman"/>
          <w:color w:val="000000"/>
          <w:sz w:val="24"/>
          <w:szCs w:val="24"/>
        </w:rPr>
        <w:t>e concerned business is purely based on the tourists. During the prolonged lockdown between the months of December to February, Amana ltd. does not manage to earn the additional revenue that is considered to be the key factor for assessing the profitabilit</w:t>
      </w:r>
      <w:r>
        <w:rPr>
          <w:rFonts w:ascii="Times New Roman" w:eastAsia="Times New Roman" w:hAnsi="Times New Roman" w:cs="Times New Roman"/>
          <w:color w:val="000000"/>
          <w:sz w:val="24"/>
          <w:szCs w:val="24"/>
        </w:rPr>
        <w:t xml:space="preserve">y of the company. The sales of the souvenirs have fallen abruptly. In the given scenario it has been stated that the company has manufactured the souvenirs from a manufacturing company that is located in china. As it is well known to everyone China is the </w:t>
      </w:r>
      <w:r>
        <w:rPr>
          <w:rFonts w:ascii="Times New Roman" w:eastAsia="Times New Roman" w:hAnsi="Times New Roman" w:cs="Times New Roman"/>
          <w:color w:val="000000"/>
          <w:sz w:val="24"/>
          <w:szCs w:val="24"/>
        </w:rPr>
        <w:t>first country to come up with Covid cases. Hence the manufacturing of the souvenir has been stopped due to the immense breakdown of the pandemic. At that time the company did not have any manufacturers in order to publish the souvenirs for the tourists hen</w:t>
      </w:r>
      <w:r>
        <w:rPr>
          <w:rFonts w:ascii="Times New Roman" w:eastAsia="Times New Roman" w:hAnsi="Times New Roman" w:cs="Times New Roman"/>
          <w:color w:val="000000"/>
          <w:sz w:val="24"/>
          <w:szCs w:val="24"/>
        </w:rPr>
        <w:t>ce, it can be stated that for those few months the company has not seen a single amount of profit for the organization. That is why the performance of the company has severely decreased. The government of England has strictly prohibited any movement in Eng</w:t>
      </w:r>
      <w:r>
        <w:rPr>
          <w:rFonts w:ascii="Times New Roman" w:eastAsia="Times New Roman" w:hAnsi="Times New Roman" w:cs="Times New Roman"/>
          <w:color w:val="000000"/>
          <w:sz w:val="24"/>
          <w:szCs w:val="24"/>
        </w:rPr>
        <w:t xml:space="preserve">land. The concerned organization has been operating its business physically for 40 years and there is no online service  </w:t>
      </w:r>
      <w:r>
        <w:rPr>
          <w:rFonts w:ascii="Times New Roman" w:eastAsia="Times New Roman" w:hAnsi="Times New Roman" w:cs="Times New Roman"/>
          <w:color w:val="000000"/>
          <w:sz w:val="24"/>
          <w:szCs w:val="24"/>
        </w:rPr>
        <w:lastRenderedPageBreak/>
        <w:t>that is provided to the customers so the company is forced to stop the business activities during the lockdown period ., as it does not</w:t>
      </w:r>
      <w:r>
        <w:rPr>
          <w:rFonts w:ascii="Times New Roman" w:eastAsia="Times New Roman" w:hAnsi="Times New Roman" w:cs="Times New Roman"/>
          <w:color w:val="000000"/>
          <w:sz w:val="24"/>
          <w:szCs w:val="24"/>
        </w:rPr>
        <w:t xml:space="preserve"> have any other option.</w:t>
      </w:r>
    </w:p>
    <w:p w14:paraId="028A0F7C"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III. Recommendation</w:t>
      </w:r>
    </w:p>
    <w:p w14:paraId="0580AD97"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several sections that need to be improved for the organization. The CEO must make some necessary changes in order to overcome the situation that has been affecting the organization quite badly in the pr</w:t>
      </w:r>
      <w:r>
        <w:rPr>
          <w:rFonts w:ascii="Times New Roman" w:eastAsia="Times New Roman" w:hAnsi="Times New Roman" w:cs="Times New Roman"/>
          <w:color w:val="000000"/>
          <w:sz w:val="24"/>
          <w:szCs w:val="24"/>
        </w:rPr>
        <w:t>evious year. As the Covid 19 pandemic has affected the world and its economical growth severely therefore all the organizations need to be prepared with the backup plan. Here, the concerned organization needs to start an online service for the customer. On</w:t>
      </w:r>
      <w:r>
        <w:rPr>
          <w:rFonts w:ascii="Times New Roman" w:eastAsia="Times New Roman" w:hAnsi="Times New Roman" w:cs="Times New Roman"/>
          <w:color w:val="000000"/>
          <w:sz w:val="24"/>
          <w:szCs w:val="24"/>
        </w:rPr>
        <w:t xml:space="preserve">e of the major reasons for not being able to do any business transaction during the lockdown period is the physical delivery of the services. As the technology is enhancing many big as well as small organizations are adopting technological strategies such </w:t>
      </w:r>
      <w:r>
        <w:rPr>
          <w:rFonts w:ascii="Times New Roman" w:eastAsia="Times New Roman" w:hAnsi="Times New Roman" w:cs="Times New Roman"/>
          <w:color w:val="000000"/>
          <w:sz w:val="24"/>
          <w:szCs w:val="24"/>
        </w:rPr>
        <w:t xml:space="preserve">as online marketing and online servicing. In this way the company is able to manage the operations of the business even at the time of pandemic. In this matter the revenue of the company has fallen significantly and due to the lockdown the company has not </w:t>
      </w:r>
      <w:r>
        <w:rPr>
          <w:rFonts w:ascii="Times New Roman" w:eastAsia="Times New Roman" w:hAnsi="Times New Roman" w:cs="Times New Roman"/>
          <w:color w:val="000000"/>
          <w:sz w:val="24"/>
          <w:szCs w:val="24"/>
        </w:rPr>
        <w:t>managed to earn any additional revenue for the organization. Hence, the company must start using the online platforms in order to promote the brand of product. Initially, this would cost some extra charges but it will also be helpful for increasing the pro</w:t>
      </w:r>
      <w:r>
        <w:rPr>
          <w:rFonts w:ascii="Times New Roman" w:eastAsia="Times New Roman" w:hAnsi="Times New Roman" w:cs="Times New Roman"/>
          <w:color w:val="000000"/>
          <w:sz w:val="24"/>
          <w:szCs w:val="24"/>
        </w:rPr>
        <w:t>fitability.  After the Covid 19 pandemic the customers tend to do online transactions more than going out and purchase the product. It is responsible for adopting the online facilities by the company as the organizations will be provided with different adv</w:t>
      </w:r>
      <w:r>
        <w:rPr>
          <w:rFonts w:ascii="Times New Roman" w:eastAsia="Times New Roman" w:hAnsi="Times New Roman" w:cs="Times New Roman"/>
          <w:color w:val="000000"/>
          <w:sz w:val="24"/>
          <w:szCs w:val="24"/>
        </w:rPr>
        <w:t>antages regarding this matter. The promotion, marketing, selling as well as payments can be done under one roof; hence it can be easier for the organizations to operate the business activities without having a physical transaction.</w:t>
      </w:r>
    </w:p>
    <w:p w14:paraId="34902D69" w14:textId="77777777" w:rsidR="000D50E8" w:rsidRDefault="00B22EAB">
      <w:pPr>
        <w:pStyle w:val="Heading1"/>
        <w:rPr>
          <w:sz w:val="24"/>
          <w:szCs w:val="24"/>
        </w:rPr>
      </w:pPr>
      <w:bookmarkStart w:id="1" w:name="_heading=h.30j0zll" w:colFirst="0" w:colLast="0"/>
      <w:bookmarkEnd w:id="1"/>
      <w:r>
        <w:rPr>
          <w:sz w:val="24"/>
          <w:szCs w:val="24"/>
        </w:rPr>
        <w:t>Part B</w:t>
      </w:r>
    </w:p>
    <w:p w14:paraId="1A2ADE6B"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March 2020, </w:t>
      </w:r>
      <w:r>
        <w:rPr>
          <w:rFonts w:ascii="Times New Roman" w:eastAsia="Times New Roman" w:hAnsi="Times New Roman" w:cs="Times New Roman"/>
          <w:color w:val="000000"/>
          <w:sz w:val="24"/>
          <w:szCs w:val="24"/>
        </w:rPr>
        <w:t xml:space="preserve">a big part of the world went to lockdown, resulting in many businesses to shut down temporarily. Though Transactions have been relaxed gradually by the countries but in this matter the future is uncertain. As stated by </w:t>
      </w:r>
      <w:r>
        <w:rPr>
          <w:rFonts w:ascii="Times New Roman" w:eastAsia="Times New Roman" w:hAnsi="Times New Roman" w:cs="Times New Roman"/>
          <w:color w:val="222222"/>
          <w:sz w:val="24"/>
          <w:szCs w:val="24"/>
          <w:highlight w:val="white"/>
        </w:rPr>
        <w:t>Nadia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color w:val="000000"/>
          <w:sz w:val="24"/>
          <w:szCs w:val="24"/>
        </w:rPr>
        <w:t>the business that has decided to reopen still has several restrictions regarding the safety precautions. They are enforcing social distancing as well as wearing masks by the customers. They also tend to limit the number of customers within the business pre</w:t>
      </w:r>
      <w:r>
        <w:rPr>
          <w:rFonts w:ascii="Times New Roman" w:eastAsia="Times New Roman" w:hAnsi="Times New Roman" w:cs="Times New Roman"/>
          <w:color w:val="000000"/>
          <w:sz w:val="24"/>
          <w:szCs w:val="24"/>
        </w:rPr>
        <w:t xml:space="preserve">mises at a time. In this matter the traditional method of shopping is getting very difficult for the organizations as well as the customers.AS projected by </w:t>
      </w:r>
      <w:r>
        <w:rPr>
          <w:rFonts w:ascii="Times New Roman" w:eastAsia="Times New Roman" w:hAnsi="Times New Roman" w:cs="Times New Roman"/>
          <w:color w:val="222222"/>
          <w:sz w:val="24"/>
          <w:szCs w:val="24"/>
          <w:highlight w:val="white"/>
        </w:rPr>
        <w:t>Manola and Balermpas (2020),</w:t>
      </w:r>
      <w:r>
        <w:rPr>
          <w:rFonts w:ascii="Times New Roman" w:eastAsia="Times New Roman" w:hAnsi="Times New Roman" w:cs="Times New Roman"/>
          <w:color w:val="000000"/>
          <w:sz w:val="24"/>
          <w:szCs w:val="24"/>
        </w:rPr>
        <w:t xml:space="preserve"> in this matter it has been observed that the   customers have already s</w:t>
      </w:r>
      <w:r>
        <w:rPr>
          <w:rFonts w:ascii="Times New Roman" w:eastAsia="Times New Roman" w:hAnsi="Times New Roman" w:cs="Times New Roman"/>
          <w:color w:val="000000"/>
          <w:sz w:val="24"/>
          <w:szCs w:val="24"/>
        </w:rPr>
        <w:t>tarted to embrace Amazon and other online retailers which make the transition easier for the company. For the businesses it can be a good chance for increasing the productivity of the organization in the post quarantine world. The other very important adva</w:t>
      </w:r>
      <w:r>
        <w:rPr>
          <w:rFonts w:ascii="Times New Roman" w:eastAsia="Times New Roman" w:hAnsi="Times New Roman" w:cs="Times New Roman"/>
          <w:color w:val="000000"/>
          <w:sz w:val="24"/>
          <w:szCs w:val="24"/>
        </w:rPr>
        <w:t xml:space="preserve">ntage regarding this matter is that online shopping is not going to disappear even after the reopening of the retail business fully. </w:t>
      </w:r>
    </w:p>
    <w:p w14:paraId="79A36BD2"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study, the concerned organization Amana Ltd. has been strongly recommended to start providing services through onl</w:t>
      </w:r>
      <w:r>
        <w:rPr>
          <w:rFonts w:ascii="Times New Roman" w:eastAsia="Times New Roman" w:hAnsi="Times New Roman" w:cs="Times New Roman"/>
          <w:color w:val="000000"/>
          <w:sz w:val="24"/>
          <w:szCs w:val="24"/>
        </w:rPr>
        <w:t>ine or digital marketing. In this matter the company can choose two options. One is to set up their own shop online or sell the product to Amazon. In order to implement this company needs to bear several costs. After some initial research, it has been obse</w:t>
      </w:r>
      <w:r>
        <w:rPr>
          <w:rFonts w:ascii="Times New Roman" w:eastAsia="Times New Roman" w:hAnsi="Times New Roman" w:cs="Times New Roman"/>
          <w:color w:val="000000"/>
          <w:sz w:val="24"/>
          <w:szCs w:val="24"/>
        </w:rPr>
        <w:t>rved that there are some good chances of conducting an online service and along with that several charges need to be included with the implementation of the required goal. Some costs regarding this matter have been identified. Such as the cost of setting u</w:t>
      </w:r>
      <w:r>
        <w:rPr>
          <w:rFonts w:ascii="Times New Roman" w:eastAsia="Times New Roman" w:hAnsi="Times New Roman" w:cs="Times New Roman"/>
          <w:color w:val="000000"/>
          <w:sz w:val="24"/>
          <w:szCs w:val="24"/>
        </w:rPr>
        <w:t>p a delivery network which is estimated to be £ 15000. In order to provide service using the digital platform, a strong network needs to be established. In this matter the organization must set up a strong service network to manage operating activities for</w:t>
      </w:r>
      <w:r>
        <w:rPr>
          <w:rFonts w:ascii="Times New Roman" w:eastAsia="Times New Roman" w:hAnsi="Times New Roman" w:cs="Times New Roman"/>
          <w:color w:val="000000"/>
          <w:sz w:val="24"/>
          <w:szCs w:val="24"/>
        </w:rPr>
        <w:t xml:space="preserve"> the organization. In order to handle the large volume of sales, there is a need to upgrade the current website. With the starting of the online services the concerned organization is expecting to have a large volume of sales. In this matter the Amana ltd.</w:t>
      </w:r>
      <w:r>
        <w:rPr>
          <w:rFonts w:ascii="Times New Roman" w:eastAsia="Times New Roman" w:hAnsi="Times New Roman" w:cs="Times New Roman"/>
          <w:color w:val="000000"/>
          <w:sz w:val="24"/>
          <w:szCs w:val="24"/>
        </w:rPr>
        <w:t xml:space="preserve"> is confident enough to increase the sale as the organizations have received frequent demands from the customers even in the lockdown period and the company has an experience of 40 years in this field which is helpful for acquiring a goodwill among the mar</w:t>
      </w:r>
      <w:r>
        <w:rPr>
          <w:rFonts w:ascii="Times New Roman" w:eastAsia="Times New Roman" w:hAnsi="Times New Roman" w:cs="Times New Roman"/>
          <w:color w:val="000000"/>
          <w:sz w:val="24"/>
          <w:szCs w:val="24"/>
        </w:rPr>
        <w:t xml:space="preserve">ket. This would cost the organization an amount of £ 50000. As all the transactions and the operations are done using the digital platform, hence, the organization needs to hire an expert who can manage the IT programmed. In this matter all the activities </w:t>
      </w:r>
      <w:r>
        <w:rPr>
          <w:rFonts w:ascii="Times New Roman" w:eastAsia="Times New Roman" w:hAnsi="Times New Roman" w:cs="Times New Roman"/>
          <w:color w:val="000000"/>
          <w:sz w:val="24"/>
          <w:szCs w:val="24"/>
        </w:rPr>
        <w:t>are done by using the computer system and the transmission of transactions is done through the online media hence any falter in the system or in the network makes the whole process useless. Here an expert IT programmer is required in order to manage the is</w:t>
      </w:r>
      <w:r>
        <w:rPr>
          <w:rFonts w:ascii="Times New Roman" w:eastAsia="Times New Roman" w:hAnsi="Times New Roman" w:cs="Times New Roman"/>
          <w:color w:val="000000"/>
          <w:sz w:val="24"/>
          <w:szCs w:val="24"/>
        </w:rPr>
        <w:t>sues regarding the system and network error. With the engagement of the IT programmer, the company needs to bear an additional cost of the salary that needs to be provided with hiring the expert.  After consulting with several IT programmers from the diffe</w:t>
      </w:r>
      <w:r>
        <w:rPr>
          <w:rFonts w:ascii="Times New Roman" w:eastAsia="Times New Roman" w:hAnsi="Times New Roman" w:cs="Times New Roman"/>
          <w:color w:val="000000"/>
          <w:sz w:val="24"/>
          <w:szCs w:val="24"/>
        </w:rPr>
        <w:t>rent agencies, an average cost has been determined to £ 35000 per annum. Previously the company has developed a budget that makes an estimation of sale of 100000 units for the organization. After conducting several researches in the markets on the potentia</w:t>
      </w:r>
      <w:r>
        <w:rPr>
          <w:rFonts w:ascii="Times New Roman" w:eastAsia="Times New Roman" w:hAnsi="Times New Roman" w:cs="Times New Roman"/>
          <w:color w:val="000000"/>
          <w:sz w:val="24"/>
          <w:szCs w:val="24"/>
        </w:rPr>
        <w:t>l chances, it has been observed that the sales for the required units have been guaranteed. Hence it can be a good option for setting up a shop in the digital channel. In this matter, the company can borrow an amount of loan or sell some assets in order to</w:t>
      </w:r>
      <w:r>
        <w:rPr>
          <w:rFonts w:ascii="Times New Roman" w:eastAsia="Times New Roman" w:hAnsi="Times New Roman" w:cs="Times New Roman"/>
          <w:color w:val="000000"/>
          <w:sz w:val="24"/>
          <w:szCs w:val="24"/>
        </w:rPr>
        <w:t xml:space="preserve"> make sources for funding, so that all the extra costs can be borne by the company.</w:t>
      </w:r>
    </w:p>
    <w:p w14:paraId="0D6C61A6"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matter the concerned company has an alternative option by selling the products directly to Amazon. In this matter several considerations have been taken while makin</w:t>
      </w:r>
      <w:r>
        <w:rPr>
          <w:rFonts w:ascii="Times New Roman" w:eastAsia="Times New Roman" w:hAnsi="Times New Roman" w:cs="Times New Roman"/>
          <w:color w:val="000000"/>
          <w:sz w:val="24"/>
          <w:szCs w:val="24"/>
        </w:rPr>
        <w:t>g the decision. In this matter there are some fixed costs that cannot be negotiated such as the fulfilment fees of Amazon. The amount of the fulfilment fees of Amazon has been determined to be £ 50000 by the company. This amount of fees needs to be paid by</w:t>
      </w:r>
      <w:r>
        <w:rPr>
          <w:rFonts w:ascii="Times New Roman" w:eastAsia="Times New Roman" w:hAnsi="Times New Roman" w:cs="Times New Roman"/>
          <w:color w:val="000000"/>
          <w:sz w:val="24"/>
          <w:szCs w:val="24"/>
        </w:rPr>
        <w:t xml:space="preserve"> the concerned company in order to sell their product through such a reputed digital media. In this matter, the company gave its preferences to Amazon because as suggested by </w:t>
      </w:r>
      <w:r>
        <w:rPr>
          <w:rFonts w:ascii="Times New Roman" w:eastAsia="Times New Roman" w:hAnsi="Times New Roman" w:cs="Times New Roman"/>
          <w:color w:val="222222"/>
          <w:sz w:val="24"/>
          <w:szCs w:val="24"/>
          <w:highlight w:val="white"/>
        </w:rPr>
        <w:t>Yang</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color w:val="000000"/>
          <w:sz w:val="24"/>
          <w:szCs w:val="24"/>
        </w:rPr>
        <w:t>it is the company that is highly acceptable to the people aro</w:t>
      </w:r>
      <w:r>
        <w:rPr>
          <w:rFonts w:ascii="Times New Roman" w:eastAsia="Times New Roman" w:hAnsi="Times New Roman" w:cs="Times New Roman"/>
          <w:color w:val="000000"/>
          <w:sz w:val="24"/>
          <w:szCs w:val="24"/>
        </w:rPr>
        <w:t xml:space="preserve">und the world. From the reports and the surveys regarding online marketing it has been observed that a larger number of people around the world prefer Amazon rather than any other digital platform. As suggested by </w:t>
      </w:r>
      <w:r>
        <w:rPr>
          <w:rFonts w:ascii="Times New Roman" w:eastAsia="Times New Roman" w:hAnsi="Times New Roman" w:cs="Times New Roman"/>
          <w:color w:val="222222"/>
          <w:sz w:val="24"/>
          <w:szCs w:val="24"/>
          <w:highlight w:val="white"/>
        </w:rPr>
        <w:t xml:space="preserve">Garcia (2021), </w:t>
      </w:r>
      <w:r>
        <w:rPr>
          <w:rFonts w:ascii="Times New Roman" w:eastAsia="Times New Roman" w:hAnsi="Times New Roman" w:cs="Times New Roman"/>
          <w:color w:val="000000"/>
          <w:sz w:val="24"/>
          <w:szCs w:val="24"/>
        </w:rPr>
        <w:t>there is a sense of trust a</w:t>
      </w:r>
      <w:r>
        <w:rPr>
          <w:rFonts w:ascii="Times New Roman" w:eastAsia="Times New Roman" w:hAnsi="Times New Roman" w:cs="Times New Roman"/>
          <w:color w:val="000000"/>
          <w:sz w:val="24"/>
          <w:szCs w:val="24"/>
        </w:rPr>
        <w:t>nd loyalty that is noticed on the services. Hence, the company must choose Amazon for selling the products. Unlike the previous option, selling products on Amazon guaranteed a sale of 65000 units per annum and it also states that the unit of sales might in</w:t>
      </w:r>
      <w:r>
        <w:rPr>
          <w:rFonts w:ascii="Times New Roman" w:eastAsia="Times New Roman" w:hAnsi="Times New Roman" w:cs="Times New Roman"/>
          <w:color w:val="000000"/>
          <w:sz w:val="24"/>
          <w:szCs w:val="24"/>
        </w:rPr>
        <w:t>crease on the increasing demand of the customer. Here the units of sale are lesser than the first option which is due to the fierce competition in the market between Amana souvenirs and the other sellers on these platforms. In this matter there is a drawba</w:t>
      </w:r>
      <w:r>
        <w:rPr>
          <w:rFonts w:ascii="Times New Roman" w:eastAsia="Times New Roman" w:hAnsi="Times New Roman" w:cs="Times New Roman"/>
          <w:color w:val="000000"/>
          <w:sz w:val="24"/>
          <w:szCs w:val="24"/>
        </w:rPr>
        <w:t xml:space="preserve">ck for this option as well. The whole process is managed by a parent digital platform hence the concerned company may face issues on   lack of control as well as in the return policies. All the policies regarding the return and the sale of the product are </w:t>
      </w:r>
      <w:r>
        <w:rPr>
          <w:rFonts w:ascii="Times New Roman" w:eastAsia="Times New Roman" w:hAnsi="Times New Roman" w:cs="Times New Roman"/>
          <w:color w:val="000000"/>
          <w:sz w:val="24"/>
          <w:szCs w:val="24"/>
        </w:rPr>
        <w:t xml:space="preserve">decided by the Parent company hence, no inputs from the child organization is allowed in this matter. Hence, the concerned company has to accept all the terms and conditions that are provided by Amazon. </w:t>
      </w:r>
    </w:p>
    <w:p w14:paraId="11EACD0A" w14:textId="77777777" w:rsidR="000D50E8" w:rsidRDefault="00B22EA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 if the company needs to choose one of these opti</w:t>
      </w:r>
      <w:r>
        <w:rPr>
          <w:rFonts w:ascii="Times New Roman" w:eastAsia="Times New Roman" w:hAnsi="Times New Roman" w:cs="Times New Roman"/>
          <w:color w:val="000000"/>
          <w:sz w:val="24"/>
          <w:szCs w:val="24"/>
        </w:rPr>
        <w:t xml:space="preserve">ons, it is recommended that the company must go for the first option. Though it costs more but choosing this option will be helpful for the company to enhance the amount of sales which is a great indicator for the future survival. </w:t>
      </w:r>
    </w:p>
    <w:p w14:paraId="77C8A0CB" w14:textId="77777777" w:rsidR="000D50E8" w:rsidRDefault="00B22EAB">
      <w:pPr>
        <w:spacing w:line="360" w:lineRule="auto"/>
        <w:rPr>
          <w:rFonts w:ascii="Times New Roman" w:eastAsia="Times New Roman" w:hAnsi="Times New Roman" w:cs="Times New Roman"/>
          <w:sz w:val="24"/>
          <w:szCs w:val="24"/>
        </w:rPr>
      </w:pPr>
      <w:r>
        <w:br w:type="page"/>
      </w:r>
    </w:p>
    <w:p w14:paraId="66CD735F" w14:textId="77777777" w:rsidR="000D50E8" w:rsidRDefault="00B22EAB">
      <w:pPr>
        <w:pStyle w:val="Heading1"/>
        <w:rPr>
          <w:sz w:val="24"/>
          <w:szCs w:val="24"/>
        </w:rPr>
      </w:pPr>
      <w:bookmarkStart w:id="2" w:name="_heading=h.1fob9te" w:colFirst="0" w:colLast="0"/>
      <w:bookmarkEnd w:id="2"/>
      <w:r>
        <w:rPr>
          <w:sz w:val="24"/>
          <w:szCs w:val="24"/>
        </w:rPr>
        <w:t>Reference list</w:t>
      </w:r>
    </w:p>
    <w:p w14:paraId="72CFE571"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Barroy,</w:t>
      </w:r>
      <w:r>
        <w:rPr>
          <w:rFonts w:ascii="Times New Roman" w:eastAsia="Times New Roman" w:hAnsi="Times New Roman" w:cs="Times New Roman"/>
          <w:color w:val="222222"/>
          <w:sz w:val="24"/>
          <w:szCs w:val="24"/>
          <w:highlight w:val="white"/>
        </w:rPr>
        <w:t xml:space="preserve"> H., Cylus, J., Patcharanarumol, W., Novignon, J., Evetovits, T. and Gupta, S., 2021. Do efficiency gains really translate into more budget for health? An assessment framework and country applications. </w:t>
      </w:r>
      <w:r>
        <w:rPr>
          <w:rFonts w:ascii="Times New Roman" w:eastAsia="Times New Roman" w:hAnsi="Times New Roman" w:cs="Times New Roman"/>
          <w:i/>
          <w:color w:val="222222"/>
          <w:sz w:val="24"/>
          <w:szCs w:val="24"/>
          <w:highlight w:val="white"/>
        </w:rPr>
        <w:t>Health Policy and Planning</w:t>
      </w:r>
      <w:r>
        <w:rPr>
          <w:rFonts w:ascii="Times New Roman" w:eastAsia="Times New Roman" w:hAnsi="Times New Roman" w:cs="Times New Roman"/>
          <w:color w:val="222222"/>
          <w:sz w:val="24"/>
          <w:szCs w:val="24"/>
          <w:highlight w:val="white"/>
        </w:rPr>
        <w:t>.</w:t>
      </w:r>
    </w:p>
    <w:p w14:paraId="2CA20967"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Garcia, V., 2021. Examining the Impact of Selling on Amazon on the Revenue growth of MSEs in the US. </w:t>
      </w:r>
      <w:r>
        <w:rPr>
          <w:rFonts w:ascii="Times New Roman" w:eastAsia="Times New Roman" w:hAnsi="Times New Roman" w:cs="Times New Roman"/>
          <w:i/>
          <w:color w:val="222222"/>
          <w:sz w:val="24"/>
          <w:szCs w:val="24"/>
          <w:highlight w:val="white"/>
        </w:rPr>
        <w:t>International Journal of Contemporary Financial Issues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pp.28-38.</w:t>
      </w:r>
    </w:p>
    <w:p w14:paraId="5F4F76E1"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Ghofur, A., Agustina, N. and Elvierayani, R.R., 2019. Evaluation Of Production Cost Control Using Flexible Budget And Direct-Cost Variance In Restaurant Lamongan Sport Center: Evaluation Of Production Cost Control Using Flexible Budget And Direct-Cost Vari</w:t>
      </w:r>
      <w:r>
        <w:rPr>
          <w:rFonts w:ascii="Times New Roman" w:eastAsia="Times New Roman" w:hAnsi="Times New Roman" w:cs="Times New Roman"/>
          <w:color w:val="222222"/>
          <w:sz w:val="24"/>
          <w:szCs w:val="24"/>
          <w:highlight w:val="white"/>
        </w:rPr>
        <w:t>ance In Restaurant Lamongan Sport Center. </w:t>
      </w:r>
      <w:r>
        <w:rPr>
          <w:rFonts w:ascii="Times New Roman" w:eastAsia="Times New Roman" w:hAnsi="Times New Roman" w:cs="Times New Roman"/>
          <w:i/>
          <w:color w:val="222222"/>
          <w:sz w:val="24"/>
          <w:szCs w:val="24"/>
          <w:highlight w:val="white"/>
        </w:rPr>
        <w:t>Jurnal Mantik</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pp.162-166.</w:t>
      </w:r>
    </w:p>
    <w:p w14:paraId="06907400"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Jin, H., Song, Y. and Yatani, K., 2017, October. Elasticplay: Interactive video summarization with dynamic time budgets. In </w:t>
      </w:r>
      <w:r>
        <w:rPr>
          <w:rFonts w:ascii="Times New Roman" w:eastAsia="Times New Roman" w:hAnsi="Times New Roman" w:cs="Times New Roman"/>
          <w:i/>
          <w:color w:val="222222"/>
          <w:sz w:val="24"/>
          <w:szCs w:val="24"/>
          <w:highlight w:val="white"/>
        </w:rPr>
        <w:t>Proceedings of the 25th ACM international conference on M</w:t>
      </w:r>
      <w:r>
        <w:rPr>
          <w:rFonts w:ascii="Times New Roman" w:eastAsia="Times New Roman" w:hAnsi="Times New Roman" w:cs="Times New Roman"/>
          <w:i/>
          <w:color w:val="222222"/>
          <w:sz w:val="24"/>
          <w:szCs w:val="24"/>
          <w:highlight w:val="white"/>
        </w:rPr>
        <w:t>ultimedia</w:t>
      </w:r>
      <w:r>
        <w:rPr>
          <w:rFonts w:ascii="Times New Roman" w:eastAsia="Times New Roman" w:hAnsi="Times New Roman" w:cs="Times New Roman"/>
          <w:color w:val="222222"/>
          <w:sz w:val="24"/>
          <w:szCs w:val="24"/>
          <w:highlight w:val="white"/>
        </w:rPr>
        <w:t> (pp. 1164-1172).</w:t>
      </w:r>
    </w:p>
    <w:p w14:paraId="6EBEEACE"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Kes, Z. and Kuźmiński, Ł., 2019. Application of extreme value analysis in the assessment of budget variance risk. </w:t>
      </w:r>
      <w:r>
        <w:rPr>
          <w:rFonts w:ascii="Times New Roman" w:eastAsia="Times New Roman" w:hAnsi="Times New Roman" w:cs="Times New Roman"/>
          <w:i/>
          <w:color w:val="222222"/>
          <w:sz w:val="24"/>
          <w:szCs w:val="24"/>
          <w:highlight w:val="white"/>
        </w:rPr>
        <w:t>Ekonometria</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(2), pp.80-98.</w:t>
      </w:r>
    </w:p>
    <w:p w14:paraId="2D42D3A1"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Liu, L.L., Lin, C.Y., Diaz, J.F. and Fan, F.H.,2021 Factors affecting budget preparat</w:t>
      </w:r>
      <w:r>
        <w:rPr>
          <w:rFonts w:ascii="Times New Roman" w:eastAsia="Times New Roman" w:hAnsi="Times New Roman" w:cs="Times New Roman"/>
          <w:color w:val="222222"/>
          <w:sz w:val="24"/>
          <w:szCs w:val="24"/>
          <w:highlight w:val="white"/>
        </w:rPr>
        <w:t>ion and flexibility: Evidence from Taiwanese local government units.</w:t>
      </w:r>
    </w:p>
    <w:p w14:paraId="77BD8573" w14:textId="77777777" w:rsidR="000D50E8" w:rsidRDefault="00B22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Manola, M. and Balermpas, A., 2020. Souvenirs: Their Role In Tourism Industry, Cultural Heritage And Their Utilization In Experiential Teaching. </w:t>
      </w:r>
      <w:r>
        <w:rPr>
          <w:rFonts w:ascii="Times New Roman" w:eastAsia="Times New Roman" w:hAnsi="Times New Roman" w:cs="Times New Roman"/>
          <w:i/>
          <w:color w:val="222222"/>
          <w:sz w:val="24"/>
          <w:szCs w:val="24"/>
          <w:highlight w:val="white"/>
        </w:rPr>
        <w:t>Archives of Business Review–Vol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(9).</w:t>
      </w:r>
    </w:p>
    <w:p w14:paraId="3CB5954C"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Nad</w:t>
      </w:r>
      <w:r>
        <w:rPr>
          <w:rFonts w:ascii="Times New Roman" w:eastAsia="Times New Roman" w:hAnsi="Times New Roman" w:cs="Times New Roman"/>
          <w:color w:val="222222"/>
          <w:sz w:val="24"/>
          <w:szCs w:val="24"/>
          <w:highlight w:val="white"/>
        </w:rPr>
        <w:t>ia, L.S., Sutakwa, A., Amrih, D. and Syarifah, A.N., 2021, March. Training of Frozen Cassava (Manihot esculenta) Processing to Increase Selling Value.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(Vol. 1823, No. 1, p. 012054). IOP Publishing.</w:t>
      </w:r>
    </w:p>
    <w:p w14:paraId="1D2D5CA7"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Pradere, B., Soph</w:t>
      </w:r>
      <w:r>
        <w:rPr>
          <w:rFonts w:ascii="Times New Roman" w:eastAsia="Times New Roman" w:hAnsi="Times New Roman" w:cs="Times New Roman"/>
          <w:color w:val="222222"/>
          <w:sz w:val="24"/>
          <w:szCs w:val="24"/>
          <w:highlight w:val="white"/>
        </w:rPr>
        <w:t>ie, D.R., D'Arcier, B.F., Watt, S., Le Fol, T., Rusch, E., Monmousseau, F. and Brunet-Houdard, S., 2019. MP08-17 BUDGET IMPACT ANALYSIS TO SUPPORT THE DECISION BETWEEN REPLACING REUSABLE FLEXIBLE URETEROSCOPES BY SINGLE USE DEVICES AND ADOPTING A HYBRID ST</w:t>
      </w:r>
      <w:r>
        <w:rPr>
          <w:rFonts w:ascii="Times New Roman" w:eastAsia="Times New Roman" w:hAnsi="Times New Roman" w:cs="Times New Roman"/>
          <w:color w:val="222222"/>
          <w:sz w:val="24"/>
          <w:szCs w:val="24"/>
          <w:highlight w:val="white"/>
        </w:rPr>
        <w:t>RATEGY FOR THE UROLITHIASIS TREATMENT. </w:t>
      </w:r>
      <w:r>
        <w:rPr>
          <w:rFonts w:ascii="Times New Roman" w:eastAsia="Times New Roman" w:hAnsi="Times New Roman" w:cs="Times New Roman"/>
          <w:i/>
          <w:color w:val="222222"/>
          <w:sz w:val="24"/>
          <w:szCs w:val="24"/>
          <w:highlight w:val="white"/>
        </w:rPr>
        <w:t>The Journal of Urology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201</w:t>
      </w:r>
      <w:r>
        <w:rPr>
          <w:rFonts w:ascii="Times New Roman" w:eastAsia="Times New Roman" w:hAnsi="Times New Roman" w:cs="Times New Roman"/>
          <w:color w:val="222222"/>
          <w:sz w:val="24"/>
          <w:szCs w:val="24"/>
          <w:highlight w:val="white"/>
        </w:rPr>
        <w:t>(Supplement 4), pp.e105-e105.</w:t>
      </w:r>
    </w:p>
    <w:p w14:paraId="7048368D"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Razi, N., More, E. and Shen, G., 2021. Risk Implications for the Role of Budgets in Implementing Post-Acquisition Systems Integration Strategies. </w:t>
      </w:r>
      <w:r>
        <w:rPr>
          <w:rFonts w:ascii="Times New Roman" w:eastAsia="Times New Roman" w:hAnsi="Times New Roman" w:cs="Times New Roman"/>
          <w:i/>
          <w:color w:val="222222"/>
          <w:sz w:val="24"/>
          <w:szCs w:val="24"/>
          <w:highlight w:val="white"/>
        </w:rPr>
        <w:t>Journal of Ris</w:t>
      </w:r>
      <w:r>
        <w:rPr>
          <w:rFonts w:ascii="Times New Roman" w:eastAsia="Times New Roman" w:hAnsi="Times New Roman" w:cs="Times New Roman"/>
          <w:i/>
          <w:color w:val="222222"/>
          <w:sz w:val="24"/>
          <w:szCs w:val="24"/>
          <w:highlight w:val="white"/>
        </w:rPr>
        <w:t>k and Financial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(7), p.323.</w:t>
      </w:r>
    </w:p>
    <w:p w14:paraId="1D61AECB"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Saputra, M.D. and Putrayasa, M.A., 2018, May. Analysis of sales budget and actual sales at CV Sumberjaya. In </w:t>
      </w:r>
      <w:r>
        <w:rPr>
          <w:rFonts w:ascii="Times New Roman" w:eastAsia="Times New Roman" w:hAnsi="Times New Roman" w:cs="Times New Roman"/>
          <w:i/>
          <w:color w:val="222222"/>
          <w:sz w:val="24"/>
          <w:szCs w:val="24"/>
          <w:highlight w:val="white"/>
        </w:rPr>
        <w:t>Proceedings</w:t>
      </w:r>
      <w:r>
        <w:rPr>
          <w:rFonts w:ascii="Times New Roman" w:eastAsia="Times New Roman" w:hAnsi="Times New Roman" w:cs="Times New Roman"/>
          <w:color w:val="222222"/>
          <w:sz w:val="24"/>
          <w:szCs w:val="24"/>
          <w:highlight w:val="white"/>
        </w:rPr>
        <w:t> (Vol. 1, No. 1, pp. 141-146).</w:t>
      </w:r>
    </w:p>
    <w:p w14:paraId="477B670E"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W. and Ma, Z., 2019, January. The Establishment of Modern </w:t>
      </w:r>
      <w:r>
        <w:rPr>
          <w:rFonts w:ascii="Times New Roman" w:eastAsia="Times New Roman" w:hAnsi="Times New Roman" w:cs="Times New Roman"/>
          <w:color w:val="222222"/>
          <w:sz w:val="24"/>
          <w:szCs w:val="24"/>
          <w:highlight w:val="white"/>
        </w:rPr>
        <w:t>Enterprise Budget Based on ERP Control System: The Evidence from Dongfeng Yueda Kia. In </w:t>
      </w:r>
      <w:r>
        <w:rPr>
          <w:rFonts w:ascii="Times New Roman" w:eastAsia="Times New Roman" w:hAnsi="Times New Roman" w:cs="Times New Roman"/>
          <w:i/>
          <w:color w:val="222222"/>
          <w:sz w:val="24"/>
          <w:szCs w:val="24"/>
          <w:highlight w:val="white"/>
        </w:rPr>
        <w:t>3rd International Seminar on Education Innovation and Economic Management (SEIEM 2018)</w:t>
      </w:r>
      <w:r>
        <w:rPr>
          <w:rFonts w:ascii="Times New Roman" w:eastAsia="Times New Roman" w:hAnsi="Times New Roman" w:cs="Times New Roman"/>
          <w:color w:val="222222"/>
          <w:sz w:val="24"/>
          <w:szCs w:val="24"/>
          <w:highlight w:val="white"/>
        </w:rPr>
        <w:t> (pp. 514-516). Atlantis Press.</w:t>
      </w:r>
    </w:p>
    <w:p w14:paraId="642D5E99"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Yang, S., Pan, L. and Liu, S., 2019, July. An onli</w:t>
      </w:r>
      <w:r>
        <w:rPr>
          <w:rFonts w:ascii="Times New Roman" w:eastAsia="Times New Roman" w:hAnsi="Times New Roman" w:cs="Times New Roman"/>
          <w:color w:val="222222"/>
          <w:sz w:val="24"/>
          <w:szCs w:val="24"/>
          <w:highlight w:val="white"/>
        </w:rPr>
        <w:t>ne algorithm for selling your reserved IaaS instances in Amazon EC2 marketplace. In </w:t>
      </w:r>
      <w:r>
        <w:rPr>
          <w:rFonts w:ascii="Times New Roman" w:eastAsia="Times New Roman" w:hAnsi="Times New Roman" w:cs="Times New Roman"/>
          <w:i/>
          <w:color w:val="222222"/>
          <w:sz w:val="24"/>
          <w:szCs w:val="24"/>
          <w:highlight w:val="white"/>
        </w:rPr>
        <w:t>2019 IEEE International Conference on Web Services (ICWS)</w:t>
      </w:r>
      <w:r>
        <w:rPr>
          <w:rFonts w:ascii="Times New Roman" w:eastAsia="Times New Roman" w:hAnsi="Times New Roman" w:cs="Times New Roman"/>
          <w:color w:val="222222"/>
          <w:sz w:val="24"/>
          <w:szCs w:val="24"/>
          <w:highlight w:val="white"/>
        </w:rPr>
        <w:t> (pp. 296-303). IEEE.</w:t>
      </w:r>
    </w:p>
    <w:p w14:paraId="3B92FD9B" w14:textId="77777777" w:rsidR="000D50E8" w:rsidRDefault="00B22EA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Zhou, J., Du, B., Shang, L., Wang, Z., Cui, H., Fan, X. and Zhou, J., 2020. Mercury fluxes, b</w:t>
      </w:r>
      <w:r>
        <w:rPr>
          <w:rFonts w:ascii="Times New Roman" w:eastAsia="Times New Roman" w:hAnsi="Times New Roman" w:cs="Times New Roman"/>
          <w:color w:val="222222"/>
          <w:sz w:val="24"/>
          <w:szCs w:val="24"/>
          <w:highlight w:val="white"/>
        </w:rPr>
        <w:t>udgets, and pools in forest ecosystems of China: A review. </w:t>
      </w:r>
      <w:r>
        <w:rPr>
          <w:rFonts w:ascii="Times New Roman" w:eastAsia="Times New Roman" w:hAnsi="Times New Roman" w:cs="Times New Roman"/>
          <w:i/>
          <w:color w:val="222222"/>
          <w:sz w:val="24"/>
          <w:szCs w:val="24"/>
          <w:highlight w:val="white"/>
        </w:rPr>
        <w:t>Critical Reviews in Environmental Science and Technology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(14), pp.1411-1450.</w:t>
      </w:r>
    </w:p>
    <w:sectPr w:rsidR="000D50E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D85C8" w14:textId="77777777" w:rsidR="00000000" w:rsidRDefault="00B22EAB">
      <w:pPr>
        <w:spacing w:line="240" w:lineRule="auto"/>
      </w:pPr>
      <w:r>
        <w:separator/>
      </w:r>
    </w:p>
  </w:endnote>
  <w:endnote w:type="continuationSeparator" w:id="0">
    <w:p w14:paraId="6B81A265" w14:textId="77777777" w:rsidR="00000000" w:rsidRDefault="00B22E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58995" w14:textId="77777777" w:rsidR="000D50E8" w:rsidRDefault="00B22EAB">
    <w:pPr>
      <w:pBdr>
        <w:top w:val="nil"/>
        <w:left w:val="nil"/>
        <w:bottom w:val="nil"/>
        <w:right w:val="nil"/>
        <w:between w:val="nil"/>
      </w:pBdr>
      <w:tabs>
        <w:tab w:val="center" w:pos="4680"/>
        <w:tab w:val="right" w:pos="9360"/>
      </w:tabs>
      <w:spacing w:line="360" w:lineRule="auto"/>
      <w:jc w:val="right"/>
      <w:rPr>
        <w:color w:val="00000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FFBD812" w14:textId="77777777" w:rsidR="000D50E8" w:rsidRDefault="000D50E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7FDFA" w14:textId="77777777" w:rsidR="00000000" w:rsidRDefault="00B22EAB">
      <w:pPr>
        <w:spacing w:line="240" w:lineRule="auto"/>
      </w:pPr>
      <w:r>
        <w:separator/>
      </w:r>
    </w:p>
  </w:footnote>
  <w:footnote w:type="continuationSeparator" w:id="0">
    <w:p w14:paraId="51EFEA82" w14:textId="77777777" w:rsidR="00000000" w:rsidRDefault="00B22E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E8"/>
    <w:rsid w:val="000D50E8"/>
    <w:rsid w:val="00B22E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96DB2"/>
  <w15:docId w15:val="{667895E9-C056-4417-B004-64CA61F32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D2F"/>
  </w:style>
  <w:style w:type="paragraph" w:styleId="Heading1">
    <w:name w:val="heading 1"/>
    <w:basedOn w:val="Normal1"/>
    <w:next w:val="Normal1"/>
    <w:uiPriority w:val="9"/>
    <w:qFormat/>
    <w:rsid w:val="007C4D0D"/>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uiPriority w:val="9"/>
    <w:semiHidden/>
    <w:unhideWhenUsed/>
    <w:qFormat/>
    <w:rsid w:val="005C7BBF"/>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5C7BBF"/>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5C7BBF"/>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5C7BBF"/>
    <w:pPr>
      <w:keepNext/>
      <w:keepLines/>
      <w:spacing w:before="240" w:after="80"/>
      <w:outlineLvl w:val="4"/>
    </w:pPr>
    <w:rPr>
      <w:color w:val="666666"/>
    </w:rPr>
  </w:style>
  <w:style w:type="paragraph" w:styleId="Heading6">
    <w:name w:val="heading 6"/>
    <w:basedOn w:val="Normal1"/>
    <w:next w:val="Normal1"/>
    <w:uiPriority w:val="9"/>
    <w:semiHidden/>
    <w:unhideWhenUsed/>
    <w:qFormat/>
    <w:rsid w:val="005C7B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5C7BBF"/>
    <w:pPr>
      <w:keepNext/>
      <w:keepLines/>
      <w:spacing w:after="60"/>
    </w:pPr>
    <w:rPr>
      <w:sz w:val="52"/>
      <w:szCs w:val="52"/>
    </w:rPr>
  </w:style>
  <w:style w:type="paragraph" w:customStyle="1" w:styleId="Normal1">
    <w:name w:val="Normal1"/>
    <w:rsid w:val="005C7BBF"/>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5C7BBF"/>
    <w:tblPr>
      <w:tblStyleRowBandSize w:val="1"/>
      <w:tblStyleColBandSize w:val="1"/>
      <w:tblCellMar>
        <w:top w:w="100" w:type="dxa"/>
        <w:left w:w="100" w:type="dxa"/>
        <w:bottom w:w="100" w:type="dxa"/>
        <w:right w:w="100" w:type="dxa"/>
      </w:tblCellMar>
    </w:tblPr>
  </w:style>
  <w:style w:type="table" w:customStyle="1" w:styleId="a0">
    <w:basedOn w:val="TableNormal"/>
    <w:rsid w:val="005C7BBF"/>
    <w:tblPr>
      <w:tblStyleRowBandSize w:val="1"/>
      <w:tblStyleColBandSize w:val="1"/>
      <w:tblCellMar>
        <w:top w:w="100" w:type="dxa"/>
        <w:left w:w="100" w:type="dxa"/>
        <w:bottom w:w="100" w:type="dxa"/>
        <w:right w:w="100" w:type="dxa"/>
      </w:tblCellMar>
    </w:tblPr>
  </w:style>
  <w:style w:type="table" w:customStyle="1" w:styleId="a1">
    <w:basedOn w:val="TableNormal"/>
    <w:rsid w:val="005C7BBF"/>
    <w:tblPr>
      <w:tblStyleRowBandSize w:val="1"/>
      <w:tblStyleColBandSize w:val="1"/>
      <w:tblCellMar>
        <w:top w:w="100" w:type="dxa"/>
        <w:left w:w="100" w:type="dxa"/>
        <w:bottom w:w="100" w:type="dxa"/>
        <w:right w:w="100" w:type="dxa"/>
      </w:tblCellMar>
    </w:tblPr>
  </w:style>
  <w:style w:type="table" w:customStyle="1" w:styleId="a2">
    <w:basedOn w:val="TableNormal"/>
    <w:rsid w:val="005C7BBF"/>
    <w:tblPr>
      <w:tblStyleRowBandSize w:val="1"/>
      <w:tblStyleColBandSize w:val="1"/>
      <w:tblCellMar>
        <w:top w:w="100" w:type="dxa"/>
        <w:left w:w="100" w:type="dxa"/>
        <w:bottom w:w="100" w:type="dxa"/>
        <w:right w:w="100" w:type="dxa"/>
      </w:tblCellMar>
    </w:tblPr>
  </w:style>
  <w:style w:type="table" w:customStyle="1" w:styleId="a3">
    <w:basedOn w:val="TableNormal"/>
    <w:rsid w:val="005C7BB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C7BBF"/>
    <w:pPr>
      <w:spacing w:line="240" w:lineRule="auto"/>
    </w:pPr>
    <w:rPr>
      <w:sz w:val="20"/>
      <w:szCs w:val="20"/>
    </w:rPr>
  </w:style>
  <w:style w:type="character" w:customStyle="1" w:styleId="CommentTextChar">
    <w:name w:val="Comment Text Char"/>
    <w:basedOn w:val="DefaultParagraphFont"/>
    <w:link w:val="CommentText"/>
    <w:uiPriority w:val="99"/>
    <w:semiHidden/>
    <w:rsid w:val="005C7BBF"/>
    <w:rPr>
      <w:sz w:val="20"/>
      <w:szCs w:val="20"/>
    </w:rPr>
  </w:style>
  <w:style w:type="character" w:styleId="CommentReference">
    <w:name w:val="annotation reference"/>
    <w:basedOn w:val="DefaultParagraphFont"/>
    <w:uiPriority w:val="99"/>
    <w:semiHidden/>
    <w:unhideWhenUsed/>
    <w:rsid w:val="005C7BBF"/>
    <w:rPr>
      <w:sz w:val="16"/>
      <w:szCs w:val="16"/>
    </w:rPr>
  </w:style>
  <w:style w:type="paragraph" w:styleId="BalloonText">
    <w:name w:val="Balloon Text"/>
    <w:basedOn w:val="Normal"/>
    <w:link w:val="BalloonTextChar"/>
    <w:uiPriority w:val="99"/>
    <w:semiHidden/>
    <w:unhideWhenUsed/>
    <w:rsid w:val="001F75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543"/>
    <w:rPr>
      <w:rFonts w:ascii="Tahoma" w:hAnsi="Tahoma" w:cs="Tahoma"/>
      <w:sz w:val="16"/>
      <w:szCs w:val="16"/>
    </w:rPr>
  </w:style>
  <w:style w:type="paragraph" w:styleId="Header">
    <w:name w:val="header"/>
    <w:basedOn w:val="Normal"/>
    <w:link w:val="HeaderChar"/>
    <w:uiPriority w:val="99"/>
    <w:semiHidden/>
    <w:unhideWhenUsed/>
    <w:rsid w:val="00DC538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C5380"/>
  </w:style>
  <w:style w:type="paragraph" w:styleId="Footer">
    <w:name w:val="footer"/>
    <w:basedOn w:val="Normal"/>
    <w:link w:val="FooterChar"/>
    <w:uiPriority w:val="99"/>
    <w:unhideWhenUsed/>
    <w:rsid w:val="00DC5380"/>
    <w:pPr>
      <w:tabs>
        <w:tab w:val="center" w:pos="4680"/>
        <w:tab w:val="right" w:pos="9360"/>
      </w:tabs>
      <w:spacing w:line="240" w:lineRule="auto"/>
    </w:pPr>
  </w:style>
  <w:style w:type="character" w:customStyle="1" w:styleId="FooterChar">
    <w:name w:val="Footer Char"/>
    <w:basedOn w:val="DefaultParagraphFont"/>
    <w:link w:val="Footer"/>
    <w:uiPriority w:val="99"/>
    <w:rsid w:val="00DC5380"/>
  </w:style>
  <w:style w:type="paragraph" w:styleId="TOCHeading">
    <w:name w:val="TOC Heading"/>
    <w:basedOn w:val="Heading1"/>
    <w:next w:val="Normal"/>
    <w:uiPriority w:val="39"/>
    <w:semiHidden/>
    <w:unhideWhenUsed/>
    <w:qFormat/>
    <w:rsid w:val="008269C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269CE"/>
    <w:pPr>
      <w:spacing w:after="100"/>
    </w:pPr>
  </w:style>
  <w:style w:type="character" w:styleId="Hyperlink">
    <w:name w:val="Hyperlink"/>
    <w:basedOn w:val="DefaultParagraphFont"/>
    <w:uiPriority w:val="99"/>
    <w:unhideWhenUsed/>
    <w:rsid w:val="008269CE"/>
    <w:rPr>
      <w:color w:val="0000FF" w:themeColor="hyperlink"/>
      <w:u w:val="single"/>
    </w:r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FNPpIp0efD5SVTul14fqTCKw0SA==">AMUW2mWaN52njULgbxgqYp0sTZoD9PdXvIhXMajc+UufQDXFtyf2d0X2Kh/11f9Tm8X7rpylUXttgR7BOc5//QsYUusUGnTsMn7O4Q/5ytKmmntTN0TNGYGx4g5jcHbzI1LQQ5hiXyX8UqtpwCc8N5o5Bcw+PdeADg==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2892</Words>
  <Characters>16487</Characters>
  <Application>Microsoft Office Word</Application>
  <DocSecurity>0</DocSecurity>
  <Lines>137</Lines>
  <Paragraphs>38</Paragraphs>
  <ScaleCrop>false</ScaleCrop>
  <Company>University of Wales Trinity Saint David</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Bart Plange</dc:creator>
  <cp:lastModifiedBy>Bart Plange</cp:lastModifiedBy>
  <cp:revision>2</cp:revision>
  <dcterms:created xsi:type="dcterms:W3CDTF">2022-01-10T13:30:00Z</dcterms:created>
  <dcterms:modified xsi:type="dcterms:W3CDTF">2022-01-10T13:30:00Z</dcterms:modified>
</cp:coreProperties>
</file>