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34A86" w:rsidRPr="00852EA1" w:rsidRDefault="006A1639" w:rsidP="00852EA1">
      <w:pPr>
        <w:pStyle w:val="Heading1"/>
        <w:rPr>
          <w:rFonts w:cstheme="majorHAnsi"/>
          <w:b w:val="0"/>
          <w:bCs w:val="0"/>
          <w:color w:val="000000" w:themeColor="text1"/>
          <w:sz w:val="22"/>
          <w:szCs w:val="22"/>
          <w:u w:val="single"/>
        </w:rPr>
      </w:pPr>
      <w:r w:rsidRPr="00852EA1">
        <w:rPr>
          <w:rFonts w:cstheme="majorHAnsi"/>
          <w:b w:val="0"/>
          <w:bCs w:val="0"/>
          <w:color w:val="000000" w:themeColor="text1"/>
          <w:sz w:val="22"/>
          <w:szCs w:val="22"/>
          <w:u w:val="single"/>
        </w:rPr>
        <w:fldChar w:fldCharType="begin"/>
      </w:r>
      <w:r w:rsidRPr="00852EA1">
        <w:rPr>
          <w:rFonts w:cstheme="majorHAnsi"/>
          <w:b w:val="0"/>
          <w:bCs w:val="0"/>
          <w:color w:val="000000" w:themeColor="text1"/>
          <w:sz w:val="22"/>
          <w:szCs w:val="22"/>
          <w:u w:val="single"/>
        </w:rPr>
        <w:instrText>HYPERLINK "https://www.proquest.com/docview/1976030729/fulltextPDF/F648CD1B461A483BPQ/2?accountid=130472&amp;sourcetype=Scholarly%20Journals"</w:instrText>
      </w:r>
      <w:r w:rsidRPr="00852EA1">
        <w:rPr>
          <w:rFonts w:cstheme="majorHAnsi"/>
          <w:b w:val="0"/>
          <w:bCs w:val="0"/>
          <w:color w:val="000000" w:themeColor="text1"/>
          <w:sz w:val="22"/>
          <w:szCs w:val="22"/>
          <w:u w:val="single"/>
        </w:rPr>
      </w:r>
      <w:r w:rsidRPr="00852EA1">
        <w:rPr>
          <w:rFonts w:cstheme="majorHAnsi"/>
          <w:b w:val="0"/>
          <w:bCs w:val="0"/>
          <w:color w:val="000000" w:themeColor="text1"/>
          <w:sz w:val="22"/>
          <w:szCs w:val="22"/>
          <w:u w:val="single"/>
        </w:rPr>
        <w:fldChar w:fldCharType="separate"/>
      </w:r>
      <w:r w:rsidRPr="00852EA1">
        <w:rPr>
          <w:rStyle w:val="Hyperlink"/>
          <w:rFonts w:cstheme="majorHAnsi"/>
          <w:b w:val="0"/>
          <w:bCs w:val="0"/>
          <w:sz w:val="22"/>
          <w:szCs w:val="22"/>
        </w:rPr>
        <w:t>Critical Evaluation of: Exploring the Relationships Between Adverse Occupational Experiences, Executive Dysfunction, and Perceived Job Competency Among Individuals with ADHD. Genevieve Mackenzie, 2017.</w:t>
      </w:r>
      <w:r w:rsidRPr="00852EA1">
        <w:rPr>
          <w:rFonts w:cstheme="majorHAnsi"/>
          <w:b w:val="0"/>
          <w:bCs w:val="0"/>
          <w:color w:val="000000" w:themeColor="text1"/>
          <w:sz w:val="22"/>
          <w:szCs w:val="22"/>
          <w:u w:val="single"/>
        </w:rPr>
        <w:fldChar w:fldCharType="end"/>
      </w:r>
    </w:p>
    <w:p w:rsidR="00D806DA" w:rsidRPr="00852EA1" w:rsidRDefault="00D806DA" w:rsidP="00852EA1">
      <w:pPr>
        <w:rPr>
          <w:rFonts w:asciiTheme="majorHAnsi" w:hAnsiTheme="majorHAnsi" w:cstheme="majorHAnsi"/>
        </w:rPr>
      </w:pPr>
    </w:p>
    <w:p w:rsidR="00D806DA" w:rsidRPr="00852EA1" w:rsidRDefault="00D806DA" w:rsidP="00852EA1">
      <w:pPr>
        <w:rPr>
          <w:rFonts w:asciiTheme="majorHAnsi" w:hAnsiTheme="majorHAnsi" w:cstheme="majorHAnsi"/>
          <w:sz w:val="24"/>
          <w:szCs w:val="24"/>
          <w:u w:val="single"/>
        </w:rPr>
      </w:pPr>
      <w:r w:rsidRPr="00852EA1">
        <w:rPr>
          <w:rFonts w:asciiTheme="majorHAnsi" w:hAnsiTheme="majorHAnsi" w:cstheme="majorHAnsi"/>
          <w:sz w:val="24"/>
          <w:szCs w:val="24"/>
          <w:u w:val="single"/>
        </w:rPr>
        <w:t>Introduction</w:t>
      </w:r>
    </w:p>
    <w:p w:rsidR="00D806DA" w:rsidRPr="00852EA1" w:rsidRDefault="00D806DA" w:rsidP="00852EA1">
      <w:pPr>
        <w:rPr>
          <w:rFonts w:asciiTheme="majorHAnsi" w:hAnsiTheme="majorHAnsi" w:cstheme="majorHAnsi"/>
        </w:rPr>
      </w:pPr>
      <w:r w:rsidRPr="00852EA1">
        <w:rPr>
          <w:rFonts w:asciiTheme="majorHAnsi" w:hAnsiTheme="majorHAnsi" w:cstheme="majorHAnsi"/>
        </w:rPr>
        <w:t>This paper is a critical evaluation of the research article Exploring the Relationships Between Adverse Occupational Experiences, Executive Dysfunction, and Perceived Job Competency Among Individuals with ADHD by Genevieve Mackenzie (2017). The article explores links between ADHD, executive function (EF), job performance, and the Positive Illusory Bias (PIB) that some individuals with ADHD may experience in the workplace. Mackenzie’s focus on subjective psychological experiences, aiming “to understand the meanings people give to their lived experiences” (Bryman, 2008, p.17; Grbich, 2010), suggests an interpretivist approach rooted in human-</w:t>
      </w:r>
      <w:r w:rsidR="000353E3" w:rsidRPr="00852EA1">
        <w:rPr>
          <w:rFonts w:asciiTheme="majorHAnsi" w:hAnsiTheme="majorHAnsi" w:cstheme="majorHAnsi"/>
        </w:rPr>
        <w:t>centered</w:t>
      </w:r>
      <w:r w:rsidRPr="00852EA1">
        <w:rPr>
          <w:rFonts w:asciiTheme="majorHAnsi" w:hAnsiTheme="majorHAnsi" w:cstheme="majorHAnsi"/>
        </w:rPr>
        <w:t>, qualitative thinking. Bryman (2008, p.17) also reminds us that research “does not exist in a vacuum” but is shaped by wider social, political and cultural contexts, which Mackenzie’s article reflects through its focus on the real-world implications of ADHD in employment.</w:t>
      </w:r>
    </w:p>
    <w:p w:rsidR="00D806DA" w:rsidRPr="00852EA1" w:rsidRDefault="00D806DA" w:rsidP="00852EA1">
      <w:pPr>
        <w:rPr>
          <w:rFonts w:asciiTheme="majorHAnsi" w:hAnsiTheme="majorHAnsi" w:cstheme="majorHAnsi"/>
        </w:rPr>
      </w:pPr>
      <w:r w:rsidRPr="00852EA1">
        <w:rPr>
          <w:rFonts w:asciiTheme="majorHAnsi" w:hAnsiTheme="majorHAnsi" w:cstheme="majorHAnsi"/>
        </w:rPr>
        <w:t>This review is structured around a brief analysis of the literature used by Mackenzie (2017), followed by a critique of the methodological choices and rationale, drawing comparisons with Level 7 literature such as Creswell (2014), Punch (2013), and Bradford &amp; Cullen (2012). The paper then explores data use, ethical considerations when researching vulnerable groups such as individuals with ADHD, and finally, how these elements influence the conclusions and recommendations.</w:t>
      </w:r>
    </w:p>
    <w:p w:rsidR="00D806DA" w:rsidRPr="00852EA1" w:rsidRDefault="00D806DA" w:rsidP="00852EA1">
      <w:pPr>
        <w:rPr>
          <w:rFonts w:asciiTheme="majorHAnsi" w:hAnsiTheme="majorHAnsi" w:cstheme="majorHAnsi"/>
        </w:rPr>
      </w:pPr>
      <w:r w:rsidRPr="00852EA1">
        <w:rPr>
          <w:rFonts w:asciiTheme="majorHAnsi" w:hAnsiTheme="majorHAnsi" w:cstheme="majorHAnsi"/>
        </w:rPr>
        <w:t>This article is particularly relevant to my work as Head of People, Culture and Inclusion at the National Council for Voluntary Organisations (NCVO), where I am responsible for disability, equality, and workplace adjustments. I was also diagnosed with ADHD two years ago, and I am now focused on deepening both my academic and personal understanding of how ADHD affects work and self-perception. Mackenzie (2017, p.8) notes that “youth and adults with ADHD are more receptive to changing their self-appraisals”, which resonates with my own learning journey.</w:t>
      </w:r>
    </w:p>
    <w:p w:rsidR="00D806DA" w:rsidRPr="00852EA1" w:rsidRDefault="00D806DA" w:rsidP="00852EA1">
      <w:pPr>
        <w:rPr>
          <w:rFonts w:asciiTheme="majorHAnsi" w:hAnsiTheme="majorHAnsi" w:cstheme="majorHAnsi"/>
        </w:rPr>
      </w:pPr>
      <w:r w:rsidRPr="00852EA1">
        <w:rPr>
          <w:rFonts w:asciiTheme="majorHAnsi" w:hAnsiTheme="majorHAnsi" w:cstheme="majorHAnsi"/>
        </w:rPr>
        <w:t>The ideal research question may have been: To what extent does executive dysfunction contribute to adverse occupational outcomes and inflated self-perceptions of competence in individuals with ADHD?</w:t>
      </w:r>
    </w:p>
    <w:p w:rsidR="00D806DA" w:rsidRPr="00852EA1" w:rsidRDefault="00D806DA" w:rsidP="00852EA1">
      <w:pPr>
        <w:rPr>
          <w:rFonts w:asciiTheme="majorHAnsi" w:hAnsiTheme="majorHAnsi" w:cstheme="majorHAnsi"/>
          <w:sz w:val="24"/>
          <w:szCs w:val="24"/>
          <w:u w:val="single"/>
        </w:rPr>
      </w:pPr>
      <w:r w:rsidRPr="00852EA1">
        <w:rPr>
          <w:rFonts w:asciiTheme="majorHAnsi" w:hAnsiTheme="majorHAnsi" w:cstheme="majorHAnsi"/>
          <w:sz w:val="24"/>
          <w:szCs w:val="24"/>
          <w:u w:val="single"/>
        </w:rPr>
        <w:t>Literature Review</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This section explores the range of academic and practitioner research explored by Mackenzie and makes connections with ADHD and perceived competence, executive functioning (EF), and </w:t>
      </w:r>
      <w:r w:rsidRPr="00852EA1">
        <w:rPr>
          <w:rFonts w:asciiTheme="majorHAnsi" w:hAnsiTheme="majorHAnsi" w:cstheme="majorHAnsi"/>
        </w:rPr>
        <w:lastRenderedPageBreak/>
        <w:t>Positive Illusory Bias (PIB), and how these all shape workplace prospects and outcomes, often regardless of intelligence (Biederman et al., 2008; Barkley &amp; Murphy, 2010). Mackenzie’s research highlights common struggles experienced in working environments and how ADHD is often misinterpreted. The misinterpretations potential negative consequences on relationships with colleagues and managers expectations, leading to career conflict or even exclusion. Swanson et al. (2001) similarly argue that ADHD causes “lifelong patterns of difficulty with organisation, persistence, and goal-directed behaviour” (p. 41). Shifrin et al. (2010) observed that college students with ADHD underperformed compared to non-ADHD peers, even when their intelligence was similar.</w:t>
      </w:r>
    </w:p>
    <w:p w:rsidR="00D806DA" w:rsidRPr="00852EA1" w:rsidRDefault="00D806DA" w:rsidP="00852EA1">
      <w:pPr>
        <w:rPr>
          <w:rFonts w:asciiTheme="majorHAnsi" w:hAnsiTheme="majorHAnsi" w:cstheme="majorHAnsi"/>
        </w:rPr>
      </w:pPr>
      <w:r w:rsidRPr="00852EA1">
        <w:rPr>
          <w:rFonts w:asciiTheme="majorHAnsi" w:hAnsiTheme="majorHAnsi" w:cstheme="majorHAnsi"/>
        </w:rPr>
        <w:t>Behaviours such as impulsivity, lack of persistence, and PIBs are common in adults with ADHD (Hoza et al., 2002; Owens et al., 2007). PIBs - inflated self-assessments don’t always match actual performance, making job instability more likely (</w:t>
      </w:r>
      <w:proofErr w:type="spellStart"/>
      <w:r w:rsidRPr="00852EA1">
        <w:rPr>
          <w:rFonts w:asciiTheme="majorHAnsi" w:hAnsiTheme="majorHAnsi" w:cstheme="majorHAnsi"/>
        </w:rPr>
        <w:t>Prevatt</w:t>
      </w:r>
      <w:proofErr w:type="spellEnd"/>
      <w:r w:rsidRPr="00852EA1">
        <w:rPr>
          <w:rFonts w:asciiTheme="majorHAnsi" w:hAnsiTheme="majorHAnsi" w:cstheme="majorHAnsi"/>
        </w:rPr>
        <w:t xml:space="preserve"> et al., 2012). Mackenzie (2017) helps explain why workplace difficulties can exist even for adults with ADHD who are otherwise high-functioning. Biederman and Faraone (2005) state that “ADHD is associated with substantial impairments in academic, occupational, and social functioning that persist into adulthood” (p. 237). Mackenzie’s main argument focuses on the role of EF dysfunction and the mismatch between cognitive strengths and workplace success. These themes are well supported by Barkley (2006), who argues that EF issues—not intelligence—are the best predictors of real-life outcomes. </w:t>
      </w:r>
      <w:proofErr w:type="spellStart"/>
      <w:r w:rsidRPr="00852EA1">
        <w:rPr>
          <w:rFonts w:asciiTheme="majorHAnsi" w:hAnsiTheme="majorHAnsi" w:cstheme="majorHAnsi"/>
        </w:rPr>
        <w:t>Willcutt</w:t>
      </w:r>
      <w:proofErr w:type="spellEnd"/>
      <w:r w:rsidRPr="00852EA1">
        <w:rPr>
          <w:rFonts w:asciiTheme="majorHAnsi" w:hAnsiTheme="majorHAnsi" w:cstheme="majorHAnsi"/>
        </w:rPr>
        <w:t xml:space="preserve"> (2012) supports this, noting EF deficits are “among the most consistent cognitive correlates of ADHD across the lifespan” (</w:t>
      </w:r>
      <w:proofErr w:type="spellStart"/>
      <w:r w:rsidR="000353E3" w:rsidRPr="00852EA1">
        <w:rPr>
          <w:rFonts w:asciiTheme="majorHAnsi" w:hAnsiTheme="majorHAnsi" w:cstheme="majorHAnsi"/>
        </w:rPr>
        <w:t>Willcutt</w:t>
      </w:r>
      <w:proofErr w:type="spellEnd"/>
      <w:r w:rsidR="000353E3" w:rsidRPr="00852EA1">
        <w:rPr>
          <w:rFonts w:asciiTheme="majorHAnsi" w:hAnsiTheme="majorHAnsi" w:cstheme="majorHAnsi"/>
        </w:rPr>
        <w:t xml:space="preserve"> </w:t>
      </w:r>
      <w:r w:rsidR="000353E3">
        <w:rPr>
          <w:rFonts w:asciiTheme="majorHAnsi" w:hAnsiTheme="majorHAnsi" w:cstheme="majorHAnsi"/>
        </w:rPr>
        <w:t>,</w:t>
      </w:r>
      <w:r w:rsidR="000353E3" w:rsidRPr="00852EA1">
        <w:rPr>
          <w:rFonts w:asciiTheme="majorHAnsi" w:hAnsiTheme="majorHAnsi" w:cstheme="majorHAnsi"/>
        </w:rPr>
        <w:t>2012</w:t>
      </w:r>
      <w:r w:rsidR="000353E3">
        <w:rPr>
          <w:rFonts w:asciiTheme="majorHAnsi" w:hAnsiTheme="majorHAnsi" w:cstheme="majorHAnsi"/>
        </w:rPr>
        <w:t>,</w:t>
      </w:r>
      <w:r w:rsidR="00DC1401">
        <w:rPr>
          <w:rFonts w:asciiTheme="majorHAnsi" w:hAnsiTheme="majorHAnsi" w:cstheme="majorHAnsi"/>
        </w:rPr>
        <w:t xml:space="preserve"> </w:t>
      </w:r>
      <w:r w:rsidRPr="00852EA1">
        <w:rPr>
          <w:rFonts w:asciiTheme="majorHAnsi" w:hAnsiTheme="majorHAnsi" w:cstheme="majorHAnsi"/>
        </w:rPr>
        <w:t>p.493).</w:t>
      </w:r>
    </w:p>
    <w:p w:rsidR="00D806DA" w:rsidRPr="00852EA1" w:rsidRDefault="00D806DA" w:rsidP="00852EA1">
      <w:pPr>
        <w:rPr>
          <w:rFonts w:asciiTheme="majorHAnsi" w:hAnsiTheme="majorHAnsi" w:cstheme="majorHAnsi"/>
        </w:rPr>
      </w:pPr>
      <w:r w:rsidRPr="00852EA1">
        <w:rPr>
          <w:rFonts w:asciiTheme="majorHAnsi" w:hAnsiTheme="majorHAnsi" w:cstheme="majorHAnsi"/>
        </w:rPr>
        <w:t>While Mackenzie focuses on limitations and dysfunctions, little is said about the positive traits individuals with ADHD may demonstrate in the workplace, such as creativity or problem-solving. Research like Sedgwick et al. (2019) argues for a more balanced view, where strengths are explored alongside challenges, aligning to my initial findings on reading Mackenzie’s exploration and research findings which in ma</w:t>
      </w:r>
      <w:r w:rsidR="00DC1401">
        <w:rPr>
          <w:rFonts w:asciiTheme="majorHAnsi" w:hAnsiTheme="majorHAnsi" w:cstheme="majorHAnsi"/>
        </w:rPr>
        <w:t>n</w:t>
      </w:r>
      <w:r w:rsidRPr="00852EA1">
        <w:rPr>
          <w:rFonts w:asciiTheme="majorHAnsi" w:hAnsiTheme="majorHAnsi" w:cstheme="majorHAnsi"/>
        </w:rPr>
        <w:t>y cases were unsupported with real evidence and more broad-brush statements.</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Mackenzie (2017) also refers to competing theories around the cause of PIBs. Ohan and Johnston (2002) link it to self-protective behaviours, while </w:t>
      </w:r>
      <w:proofErr w:type="spellStart"/>
      <w:r w:rsidRPr="00852EA1">
        <w:rPr>
          <w:rFonts w:asciiTheme="majorHAnsi" w:hAnsiTheme="majorHAnsi" w:cstheme="majorHAnsi"/>
        </w:rPr>
        <w:t>Milich</w:t>
      </w:r>
      <w:proofErr w:type="spellEnd"/>
      <w:r w:rsidRPr="00852EA1">
        <w:rPr>
          <w:rFonts w:asciiTheme="majorHAnsi" w:hAnsiTheme="majorHAnsi" w:cstheme="majorHAnsi"/>
        </w:rPr>
        <w:t xml:space="preserve"> (1994) suggests it may relate to neuropsychological immaturity. Mackenzie draws from a range of studies to support these claims, although her article lacks methodological clarity. Still, the insights she shares fit within an interpretivist tradition and align with the qualitative approaches described by Cooper (2018) and Creswell (2014), with a strong focus on individual experience and meaning-making.</w:t>
      </w:r>
    </w:p>
    <w:p w:rsidR="00D806DA" w:rsidRPr="00852EA1" w:rsidRDefault="00D806DA" w:rsidP="00852EA1">
      <w:pPr>
        <w:rPr>
          <w:rFonts w:asciiTheme="majorHAnsi" w:hAnsiTheme="majorHAnsi" w:cstheme="majorHAnsi"/>
          <w:sz w:val="24"/>
          <w:szCs w:val="24"/>
          <w:u w:val="single"/>
        </w:rPr>
      </w:pPr>
      <w:r w:rsidRPr="00852EA1">
        <w:rPr>
          <w:rFonts w:asciiTheme="majorHAnsi" w:hAnsiTheme="majorHAnsi" w:cstheme="majorHAnsi"/>
          <w:sz w:val="24"/>
          <w:szCs w:val="24"/>
          <w:u w:val="single"/>
        </w:rPr>
        <w:t>Methodology and Research Paradigm</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This section critiques the methodology Mackenzie used when putting together her article. Although she doesn’t outline a formal methodology, the paper clearly aligns with a qualitative, interpretivist approach focusing on subjective self-perception, meaning-making, and the using psychological theories. The research focuses on how individuals with ADHD may </w:t>
      </w:r>
      <w:r w:rsidR="00DC1401">
        <w:rPr>
          <w:rFonts w:asciiTheme="majorHAnsi" w:hAnsiTheme="majorHAnsi" w:cstheme="majorHAnsi"/>
        </w:rPr>
        <w:t xml:space="preserve">experience </w:t>
      </w:r>
      <w:r w:rsidRPr="00852EA1">
        <w:rPr>
          <w:rFonts w:asciiTheme="majorHAnsi" w:hAnsiTheme="majorHAnsi" w:cstheme="majorHAnsi"/>
        </w:rPr>
        <w:t xml:space="preserve">the work environment , which matches with the interpretivist idea of understanding lived realities </w:t>
      </w:r>
      <w:r w:rsidRPr="00852EA1">
        <w:rPr>
          <w:rFonts w:asciiTheme="majorHAnsi" w:hAnsiTheme="majorHAnsi" w:cstheme="majorHAnsi"/>
        </w:rPr>
        <w:lastRenderedPageBreak/>
        <w:t>through subjective accounts (Grbich, 2010; Bryman, 2008). But even though this fits, not stating the approach weakens the structure. The paper is aimed to assist  educators and practitioners, the lack of a clear research design makes it hard to trust how the recommendations were formed. The lack of inclusive frameworks such as co-produced research or participatory design also weakens the depth of the research completed independently, particularly given the increase in both personal and societal relevance of ADHD at work (Cooper, 2018).</w:t>
      </w:r>
    </w:p>
    <w:p w:rsidR="00D806DA" w:rsidRPr="00852EA1" w:rsidRDefault="00D806DA" w:rsidP="00852EA1">
      <w:pPr>
        <w:rPr>
          <w:rFonts w:asciiTheme="majorHAnsi" w:hAnsiTheme="majorHAnsi" w:cstheme="majorHAnsi"/>
        </w:rPr>
      </w:pPr>
      <w:r w:rsidRPr="00852EA1">
        <w:rPr>
          <w:rFonts w:asciiTheme="majorHAnsi" w:hAnsiTheme="majorHAnsi" w:cstheme="majorHAnsi"/>
        </w:rPr>
        <w:t>Because the paper is based on secondary data and doesn’t include new interviews or tests, that might be why Mackenzie didn’t feel the need to transparently layout her  methodology, but that’s still a missed opportunity. This research paper can still show how sources were selected and analysed and why the analysis focused on using secondary data alone.  Without this, the readers interpretations of the criteria used</w:t>
      </w:r>
      <w:r w:rsidR="00DC1401">
        <w:rPr>
          <w:rFonts w:asciiTheme="majorHAnsi" w:hAnsiTheme="majorHAnsi" w:cstheme="majorHAnsi"/>
        </w:rPr>
        <w:t>,</w:t>
      </w:r>
      <w:r w:rsidRPr="00852EA1">
        <w:rPr>
          <w:rFonts w:asciiTheme="majorHAnsi" w:hAnsiTheme="majorHAnsi" w:cstheme="majorHAnsi"/>
        </w:rPr>
        <w:t xml:space="preserve"> if any, or how the findings were put together</w:t>
      </w:r>
      <w:r w:rsidR="00DC1401">
        <w:rPr>
          <w:rFonts w:asciiTheme="majorHAnsi" w:hAnsiTheme="majorHAnsi" w:cstheme="majorHAnsi"/>
        </w:rPr>
        <w:t xml:space="preserve"> is unclear.</w:t>
      </w:r>
      <w:r w:rsidRPr="00852EA1">
        <w:rPr>
          <w:rFonts w:asciiTheme="majorHAnsi" w:hAnsiTheme="majorHAnsi" w:cstheme="majorHAnsi"/>
        </w:rPr>
        <w:t xml:space="preserve"> That’s a problem if someone wants to build on her work or apply it in a workplace or community setting, which is what this piece of research  aims to do. As Creswell (2014) and Punch (2013) both argue, linking the research question, paradigm, and method is key to producing work that is both credible and usable.</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Another area that creates confusion is her reference to 'grounded theory'. It comes up in the discussion of </w:t>
      </w:r>
      <w:r w:rsidR="00DC1401">
        <w:rPr>
          <w:rFonts w:asciiTheme="majorHAnsi" w:hAnsiTheme="majorHAnsi" w:cstheme="majorHAnsi"/>
        </w:rPr>
        <w:t>EF</w:t>
      </w:r>
      <w:r w:rsidRPr="00852EA1">
        <w:rPr>
          <w:rFonts w:asciiTheme="majorHAnsi" w:hAnsiTheme="majorHAnsi" w:cstheme="majorHAnsi"/>
        </w:rPr>
        <w:t>, but Mackenzie doesn’t explain how it fits with the rest of the paper. Grounded theory is a hands-on method where themes are built up from raw data, step by step. Mackenzie doesn’t do this, and she doesn’t say if she’s borrowing parts of the method or just using the term loosely. That makes it hard to tell what kind of structure she’s working from. Punch (2013) says that having a clear theoretical framework is essential—not just for design, but also for helping readers make sense of the findings. It also matters as it assists educators, practitioners and others in the profession to assess prescriptions and options and with a clear way to view the impact and robustness of findings and viability of the statements made by Mackenzie in conclusion.</w:t>
      </w:r>
    </w:p>
    <w:p w:rsidR="00D806DA" w:rsidRPr="00852EA1" w:rsidRDefault="00D806DA" w:rsidP="00852EA1">
      <w:pPr>
        <w:rPr>
          <w:rFonts w:asciiTheme="majorHAnsi" w:hAnsiTheme="majorHAnsi" w:cstheme="majorHAnsi"/>
        </w:rPr>
      </w:pPr>
      <w:r w:rsidRPr="00852EA1">
        <w:rPr>
          <w:rFonts w:asciiTheme="majorHAnsi" w:hAnsiTheme="majorHAnsi" w:cstheme="majorHAnsi"/>
        </w:rPr>
        <w:t>The article also doesn't include any kind of reflexive statement, as it is a heavily qualitative piece of research and  dealing with subjective experience, it’s important to think about how the Mackenzie’s own perspective might influence the interpretation of the evidence. Reflexivity helps build trust with the reader. Without it, the  assumptions made by Mackenzie might be making about ADHD or competence. This is something that Creswell and Creswell (2013) stress—researchers should acknowledge their position in relation to the topic.</w:t>
      </w:r>
    </w:p>
    <w:p w:rsidR="00D806DA" w:rsidRPr="00852EA1" w:rsidRDefault="00D806DA" w:rsidP="00852EA1">
      <w:pPr>
        <w:rPr>
          <w:rFonts w:asciiTheme="majorHAnsi" w:hAnsiTheme="majorHAnsi" w:cstheme="majorHAnsi"/>
        </w:rPr>
      </w:pPr>
      <w:r w:rsidRPr="00852EA1">
        <w:rPr>
          <w:rFonts w:asciiTheme="majorHAnsi" w:hAnsiTheme="majorHAnsi" w:cstheme="majorHAnsi"/>
        </w:rPr>
        <w:t>Another gap is the absence of ethical discussion. Even though there’s no new data collected, Mackenzie is writing about a group that is often misunderstood and marginalised. There’s no mention of how she’s taking care not to reinforce stereotypes or pathologies adults with ADHD. If her paper is meant to influence practice or policy, it needs to show awareness of the risks that come with interpreting other people’s experiences. Bryman (2008) talks about the importance of ethics in all stages of research, not just when you’re interviewing people.</w:t>
      </w:r>
    </w:p>
    <w:p w:rsidR="00D806DA" w:rsidRPr="00852EA1" w:rsidRDefault="00D806DA" w:rsidP="00852EA1">
      <w:pPr>
        <w:rPr>
          <w:rFonts w:asciiTheme="majorHAnsi" w:hAnsiTheme="majorHAnsi" w:cstheme="majorHAnsi"/>
        </w:rPr>
      </w:pPr>
      <w:r w:rsidRPr="00852EA1">
        <w:rPr>
          <w:rFonts w:asciiTheme="majorHAnsi" w:hAnsiTheme="majorHAnsi" w:cstheme="majorHAnsi"/>
        </w:rPr>
        <w:lastRenderedPageBreak/>
        <w:t>A more structured approach would have strengthened the work. Even a basic narrative synthesis—laying out which studies supported what points—would help readers follow the flow. Adding in some form of thematic organisation could have made her argument more transparent. Cooper (2018), who writes about participatory evaluation, suggests that even conceptual research can be more inclusive. For example, people with ADHD could be invited to co-interpret or comment on the conclusions drawn from the literature.</w:t>
      </w:r>
    </w:p>
    <w:p w:rsidR="00D806DA" w:rsidRPr="00852EA1" w:rsidRDefault="00D806DA" w:rsidP="00852EA1">
      <w:pPr>
        <w:rPr>
          <w:rFonts w:asciiTheme="majorHAnsi" w:hAnsiTheme="majorHAnsi" w:cstheme="majorHAnsi"/>
        </w:rPr>
      </w:pPr>
      <w:r w:rsidRPr="00852EA1">
        <w:rPr>
          <w:rFonts w:asciiTheme="majorHAnsi" w:hAnsiTheme="majorHAnsi" w:cstheme="majorHAnsi"/>
        </w:rPr>
        <w:t>A mixed-methods design could also have brought the paper to life. Mackenzie clearly cares about how self-perception and EF interact in real life, so it would have been powerful to include even a few interviews, focus groups or case studies. This kind of evidence would offer grounding to the theory she presents. It would also reflect the real-world conditions of people with ADHD better. Cooper’s (2018) participatory model would be ideal here, as it makes space for people with lived experience to shape what gets said about them.</w:t>
      </w:r>
    </w:p>
    <w:p w:rsidR="00D806DA" w:rsidRPr="00852EA1" w:rsidRDefault="00D806DA" w:rsidP="00852EA1">
      <w:pPr>
        <w:rPr>
          <w:rFonts w:asciiTheme="majorHAnsi" w:hAnsiTheme="majorHAnsi" w:cstheme="majorHAnsi"/>
        </w:rPr>
      </w:pPr>
      <w:r w:rsidRPr="00852EA1">
        <w:rPr>
          <w:rFonts w:asciiTheme="majorHAnsi" w:hAnsiTheme="majorHAnsi" w:cstheme="majorHAnsi"/>
        </w:rPr>
        <w:t>Overall, Mackenzie presents some thoughtful links between theory and real-world challenges, but the lack of a transparent methodology limits how useful or transferable her findings are. The article would benefit from clearer positioning, reflexivity, and a more detailed explanation of how the sources were selected and interpreted. These changes could help the article have more impact—not just academically, but in the lives of people with ADHD and the practitioners who support them.</w:t>
      </w:r>
    </w:p>
    <w:p w:rsidR="00D806DA" w:rsidRPr="00852EA1" w:rsidRDefault="00D806DA" w:rsidP="00852EA1">
      <w:pPr>
        <w:rPr>
          <w:rFonts w:asciiTheme="majorHAnsi" w:hAnsiTheme="majorHAnsi" w:cstheme="majorHAnsi"/>
          <w:sz w:val="24"/>
          <w:szCs w:val="24"/>
          <w:u w:val="single"/>
        </w:rPr>
      </w:pPr>
      <w:r w:rsidRPr="00852EA1">
        <w:rPr>
          <w:rFonts w:asciiTheme="majorHAnsi" w:hAnsiTheme="majorHAnsi" w:cstheme="majorHAnsi"/>
          <w:sz w:val="24"/>
          <w:szCs w:val="24"/>
          <w:u w:val="single"/>
        </w:rPr>
        <w:t>Data Use and Analysis</w:t>
      </w:r>
    </w:p>
    <w:p w:rsidR="00D806DA" w:rsidRPr="00852EA1" w:rsidRDefault="00D806DA" w:rsidP="00852EA1">
      <w:pPr>
        <w:rPr>
          <w:rFonts w:asciiTheme="majorHAnsi" w:hAnsiTheme="majorHAnsi" w:cstheme="majorHAnsi"/>
        </w:rPr>
      </w:pPr>
      <w:r w:rsidRPr="00852EA1">
        <w:rPr>
          <w:rFonts w:asciiTheme="majorHAnsi" w:hAnsiTheme="majorHAnsi" w:cstheme="majorHAnsi"/>
        </w:rPr>
        <w:t>Mackenzie (2017) doesn’t present any new data in her paper but instead pulls together results from other sources. She explains that she “draws from a range of previous studies… integrating findings from both clinical and educational contexts” (p. 2). This can be fine for a conceptual paper, but she doesn’t explain how these studies were selected or why they were considered suitable. There’s no real sense of the criteria used, whether these were peer-reviewed studies, meta-analyses, or something else. This lack of clarity makes it harder to understand how she built her argument, and harder still to judge how balanced or robust the data really is.</w:t>
      </w:r>
    </w:p>
    <w:p w:rsidR="00D806DA" w:rsidRPr="00852EA1" w:rsidRDefault="00D806DA" w:rsidP="00852EA1">
      <w:pPr>
        <w:rPr>
          <w:rFonts w:asciiTheme="majorHAnsi" w:hAnsiTheme="majorHAnsi" w:cstheme="majorHAnsi"/>
        </w:rPr>
      </w:pPr>
      <w:r w:rsidRPr="00852EA1">
        <w:rPr>
          <w:rFonts w:asciiTheme="majorHAnsi" w:hAnsiTheme="majorHAnsi" w:cstheme="majorHAnsi"/>
        </w:rPr>
        <w:t>Some of the evidence comes from well-known research into ADHD, executive dysfunction, and occupational functioning (e.g. Barkley &amp; Murphy, 2010; Mackenzie et al., 2015), but again there’s no discussion of how these studies differ or agree. She doesn’t give any coding system or show how different themes or findings were grouped. That kind of structure would help the reader follow the reasoning more clearly. Oliver (2010) points out that even when you’re doing secondary research, you still need transparency and structure around how evidence is being used and interpreted.</w:t>
      </w:r>
    </w:p>
    <w:p w:rsidR="00D806DA" w:rsidRPr="00852EA1" w:rsidRDefault="00D806DA" w:rsidP="00852EA1">
      <w:pPr>
        <w:rPr>
          <w:rFonts w:asciiTheme="majorHAnsi" w:hAnsiTheme="majorHAnsi" w:cstheme="majorHAnsi"/>
        </w:rPr>
      </w:pPr>
      <w:r w:rsidRPr="00852EA1">
        <w:rPr>
          <w:rFonts w:asciiTheme="majorHAnsi" w:hAnsiTheme="majorHAnsi" w:cstheme="majorHAnsi"/>
        </w:rPr>
        <w:t>One of the stronger parts of the article is where Mackenzie distinguishes between objective tools—like neuropsychological tests—and informant-rated EF tools. This is useful because it shows that different tools can show different aspects of the same experience. She argues that “executive dysfunction is more reliably identified through informant ratings than performance-</w:t>
      </w:r>
      <w:r w:rsidRPr="00852EA1">
        <w:rPr>
          <w:rFonts w:asciiTheme="majorHAnsi" w:hAnsiTheme="majorHAnsi" w:cstheme="majorHAnsi"/>
        </w:rPr>
        <w:lastRenderedPageBreak/>
        <w:t>based testing” (Mackenzie, 2017, p. 8), which matches wider research. But she doesn’t go into why that is, or explore the weaknesses of informant tools. They’re not neutral—they reflect what others think about someone’s behaviour, which can be biased or incomplete. This is important, especially in the workplace.</w:t>
      </w:r>
    </w:p>
    <w:p w:rsidR="00D806DA" w:rsidRPr="00852EA1" w:rsidRDefault="00D806DA" w:rsidP="00852EA1">
      <w:pPr>
        <w:rPr>
          <w:rFonts w:asciiTheme="majorHAnsi" w:hAnsiTheme="majorHAnsi" w:cstheme="majorHAnsi"/>
        </w:rPr>
      </w:pPr>
      <w:r w:rsidRPr="00852EA1">
        <w:rPr>
          <w:rFonts w:asciiTheme="majorHAnsi" w:hAnsiTheme="majorHAnsi" w:cstheme="majorHAnsi"/>
        </w:rPr>
        <w:t>The analysis stays mainly descriptive. Mackenzie summarises what other people have said but doesn’t critique it or show how it all fits together. There’s no thematic framework, grounded theory, or model to show how ideas were developed. She could have used a synthesis diagram or table to map the ideas and show the relationships. Cooper (2018) also argues for participatory approaches where people with lived experience help interpret the data. That would have made this article feel less top-down and more inclusive of the people it’s about.</w:t>
      </w:r>
    </w:p>
    <w:p w:rsidR="00D806DA" w:rsidRPr="00852EA1" w:rsidRDefault="00D806DA" w:rsidP="00852EA1">
      <w:pPr>
        <w:rPr>
          <w:rFonts w:asciiTheme="majorHAnsi" w:hAnsiTheme="majorHAnsi" w:cstheme="majorHAnsi"/>
        </w:rPr>
      </w:pPr>
      <w:r w:rsidRPr="00852EA1">
        <w:rPr>
          <w:rFonts w:asciiTheme="majorHAnsi" w:hAnsiTheme="majorHAnsi" w:cstheme="majorHAnsi"/>
        </w:rPr>
        <w:t>One of Mackenzie’s claims is that “inflated perceptions may result in fewer requests for support in the workplace, even when performance is significantly impaired” (2017, p. 6). This is an important idea—but it’s not backed up with data that shows how those perceptions were actually measured. That weakens the argument. In my own role at NCVO, I work closely with voluntary organisations trying to improve equality and inclusion. We support a lot of smaller charities and community-based services, and I can say with confidence that most workplaces don’t have the resources or structures to assess executive function properly, never mind understand how it links to perceived competence. There’s also little investment in coaching or workplace development specifically around EF difficulties. So when Mackenzie suggests the issue is about cost—it feels like a generalisation that doesn’t reflect what’s happening on the ground.</w:t>
      </w:r>
    </w:p>
    <w:p w:rsidR="00D806DA" w:rsidRPr="00852EA1" w:rsidRDefault="00D806DA" w:rsidP="00852EA1">
      <w:pPr>
        <w:rPr>
          <w:rFonts w:asciiTheme="majorHAnsi" w:hAnsiTheme="majorHAnsi" w:cstheme="majorHAnsi"/>
        </w:rPr>
      </w:pPr>
      <w:r w:rsidRPr="00852EA1">
        <w:rPr>
          <w:rFonts w:asciiTheme="majorHAnsi" w:hAnsiTheme="majorHAnsi" w:cstheme="majorHAnsi"/>
        </w:rPr>
        <w:t>If this paper is about workplace impact, it would have helped to bring in data from more applied sources. For example, NHS service data on adult ADHD assessments, or national reports on workplace adjustments for neurodivergent staff. Even referencing findings from ACAS or CIPD reports on disability and employment would ground the paper more in the systems people actually have to navigate. As it stands, the data used feels quite narrow and doesn’t reflect wider structural barriers or the patchy availability of support across sectors. could have strengthened the paper’s relevance to practitioners. Mackenzie does acknowledge that “there is a growing need for assessment tools that can capture discrepancies between perceived and actual competence” (2017, p. 9), and I agree. But she doesn’t suggest how this could be done, or even give examples of promising models. Given the weight of the issue, that’s a missed opportunity.</w:t>
      </w:r>
    </w:p>
    <w:p w:rsidR="00D806DA" w:rsidRPr="00852EA1" w:rsidRDefault="00D806DA" w:rsidP="00852EA1">
      <w:pPr>
        <w:rPr>
          <w:rFonts w:asciiTheme="majorHAnsi" w:hAnsiTheme="majorHAnsi" w:cstheme="majorHAnsi"/>
        </w:rPr>
      </w:pPr>
      <w:r w:rsidRPr="00852EA1">
        <w:rPr>
          <w:rFonts w:asciiTheme="majorHAnsi" w:hAnsiTheme="majorHAnsi" w:cstheme="majorHAnsi"/>
        </w:rPr>
        <w:t>Overall, the article has some useful points about EF and job outcomes, but the way the data is handled limits how useful it is in practice. With a clearer explanation of how evidence was selected and analysed, and with input from people with ADHD or professionals supporting them, this work could have gone further. More inclusive data sources, more workplace-relevant evidence, and a stronger structure would have made this section much more impactful.</w:t>
      </w:r>
    </w:p>
    <w:p w:rsidR="00D806DA" w:rsidRPr="00852EA1" w:rsidRDefault="00D806DA" w:rsidP="00852EA1">
      <w:pPr>
        <w:rPr>
          <w:rFonts w:asciiTheme="majorHAnsi" w:hAnsiTheme="majorHAnsi" w:cstheme="majorHAnsi"/>
          <w:sz w:val="24"/>
          <w:szCs w:val="24"/>
          <w:u w:val="single"/>
        </w:rPr>
      </w:pPr>
      <w:r w:rsidRPr="00852EA1">
        <w:rPr>
          <w:rFonts w:asciiTheme="majorHAnsi" w:hAnsiTheme="majorHAnsi" w:cstheme="majorHAnsi"/>
          <w:sz w:val="24"/>
          <w:szCs w:val="24"/>
          <w:u w:val="single"/>
        </w:rPr>
        <w:t>Ethical Considerations</w:t>
      </w:r>
    </w:p>
    <w:p w:rsidR="00D806DA" w:rsidRPr="00852EA1" w:rsidRDefault="00D806DA" w:rsidP="00852EA1">
      <w:pPr>
        <w:rPr>
          <w:rFonts w:asciiTheme="majorHAnsi" w:hAnsiTheme="majorHAnsi" w:cstheme="majorHAnsi"/>
        </w:rPr>
      </w:pPr>
      <w:r w:rsidRPr="00852EA1">
        <w:rPr>
          <w:rFonts w:asciiTheme="majorHAnsi" w:hAnsiTheme="majorHAnsi" w:cstheme="majorHAnsi"/>
        </w:rPr>
        <w:lastRenderedPageBreak/>
        <w:t>In this section I bring together the key points I have made in the sections above on the article I written by Mackenzie and go on to explain the strengths and, limitations and opportunities there ae for future research and how this paper could have been truer transparent reflection of reality for people with ADHD.</w:t>
      </w:r>
    </w:p>
    <w:p w:rsidR="00D806DA" w:rsidRPr="00852EA1" w:rsidRDefault="00D806DA" w:rsidP="00852EA1">
      <w:pPr>
        <w:rPr>
          <w:rFonts w:asciiTheme="majorHAnsi" w:hAnsiTheme="majorHAnsi" w:cstheme="majorHAnsi"/>
        </w:rPr>
      </w:pPr>
      <w:r w:rsidRPr="00852EA1">
        <w:rPr>
          <w:rFonts w:asciiTheme="majorHAnsi" w:hAnsiTheme="majorHAnsi" w:cstheme="majorHAnsi"/>
        </w:rPr>
        <w:t>Although Mackenzie’s article doesn’t include any primary research, it still talks about a group of people—adults with ADHD—who often experience stigma, misunderstanding, and workplace disadvantage. Because of that, the paper should have taken more care with how it represented people and how it talked about vulnerability. There’s no ethical statement at all, which is surprising given the subject matter. Even when no new data is being collected, ethics still matter—especially when writing about people who are already misunderstood and under-supported.</w:t>
      </w:r>
    </w:p>
    <w:p w:rsidR="00D806DA" w:rsidRPr="00852EA1" w:rsidRDefault="00D806DA" w:rsidP="00852EA1">
      <w:pPr>
        <w:rPr>
          <w:rFonts w:asciiTheme="majorHAnsi" w:hAnsiTheme="majorHAnsi" w:cstheme="majorHAnsi"/>
        </w:rPr>
      </w:pPr>
      <w:r w:rsidRPr="00852EA1">
        <w:rPr>
          <w:rFonts w:asciiTheme="majorHAnsi" w:hAnsiTheme="majorHAnsi" w:cstheme="majorHAnsi"/>
        </w:rPr>
        <w:t>Bradford and Cullen (2012) talk about how important it is to think about power and voice in research. Mackenzie’s article talks about people with ADHD, but doesn’t involve them, quote them, or reflect on how they might feel about the way their experiences are being described. That lack of reflexivity is a problem. As someone working in inclusion and disability, I know first-hand how easy it is for narratives to become one-sided. If a paper is being used to inform educators, psychologists or workplace policy, then the way it describes ADHD really matters.</w:t>
      </w:r>
    </w:p>
    <w:p w:rsidR="00D806DA" w:rsidRPr="00852EA1" w:rsidRDefault="00D806DA" w:rsidP="00852EA1">
      <w:pPr>
        <w:rPr>
          <w:rFonts w:asciiTheme="majorHAnsi" w:hAnsiTheme="majorHAnsi" w:cstheme="majorHAnsi"/>
        </w:rPr>
      </w:pPr>
      <w:r w:rsidRPr="00852EA1">
        <w:rPr>
          <w:rFonts w:asciiTheme="majorHAnsi" w:hAnsiTheme="majorHAnsi" w:cstheme="majorHAnsi"/>
        </w:rPr>
        <w:t>There’s also a risk of reinforcing stereotypes. The article puts a lot of weight on the idea that people with ADHD might have an inflated sense of their own competence, without giving space to issues like anxiety, trauma, or masking. People don’t always overestimate their skills—sometimes they underplay them, or hide them because of fear or shame. Hinshaw (2002) pointed out that girls with ADHD often internalise symptoms, and similar patterns may affect other under-represented or minoritised groups. Nothing is said about gender, race, class, or language barriers in the article, which limits its ethical reach. These gaps could lead to real-world misjudgments if the findings were taken at face value.</w:t>
      </w:r>
    </w:p>
    <w:p w:rsidR="00D806DA" w:rsidRPr="00852EA1" w:rsidRDefault="00D806DA" w:rsidP="00852EA1">
      <w:pPr>
        <w:rPr>
          <w:rFonts w:asciiTheme="majorHAnsi" w:hAnsiTheme="majorHAnsi" w:cstheme="majorHAnsi"/>
        </w:rPr>
      </w:pPr>
      <w:r w:rsidRPr="00852EA1">
        <w:rPr>
          <w:rFonts w:asciiTheme="majorHAnsi" w:hAnsiTheme="majorHAnsi" w:cstheme="majorHAnsi"/>
        </w:rPr>
        <w:t>If this had been a research proposal, I would expect it to include a basic ethical plan: How were the sources chosen? What bias might the author bring? How are people being represented? What are the risks of harm or misinterpretation? As BERA (2018) and Creswell (2014) both highlight, ethical practice is about more than just avoiding harm—it’s about showing care, responsibility, and respect throughout the research process, including writing and publication.</w:t>
      </w:r>
    </w:p>
    <w:p w:rsidR="00D806DA" w:rsidRPr="00852EA1" w:rsidRDefault="00DC1401" w:rsidP="00852EA1">
      <w:pPr>
        <w:rPr>
          <w:rFonts w:asciiTheme="majorHAnsi" w:hAnsiTheme="majorHAnsi" w:cstheme="majorHAnsi"/>
        </w:rPr>
      </w:pPr>
      <w:r>
        <w:rPr>
          <w:rFonts w:asciiTheme="majorHAnsi" w:hAnsiTheme="majorHAnsi" w:cstheme="majorHAnsi"/>
        </w:rPr>
        <w:t>Mackenzie</w:t>
      </w:r>
      <w:r w:rsidR="00D806DA" w:rsidRPr="00852EA1">
        <w:rPr>
          <w:rFonts w:asciiTheme="majorHAnsi" w:hAnsiTheme="majorHAnsi" w:cstheme="majorHAnsi"/>
        </w:rPr>
        <w:t xml:space="preserve"> also makes a point that’s important in practice—that current assessment tools often miss the mark when it comes to self-perception and real-world functioning (Mackenzie, 2017, p. 9). That shows she’s aware of wider issues in how ADHD is understood clinically, which could spark useful conversations among educators or health professionals.</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While Mackenzie doesn’t go into ethical detail, the intention behind the paper seems genuine—to build a better understanding of how some people may fall through the cracks. If future research builds on this work by involving people with ADHD more actively, the groundwork Mackenzie has laid could be really valuable That kind of participatory and reflective practice is </w:t>
      </w:r>
      <w:r w:rsidRPr="00852EA1">
        <w:rPr>
          <w:rFonts w:asciiTheme="majorHAnsi" w:hAnsiTheme="majorHAnsi" w:cstheme="majorHAnsi"/>
        </w:rPr>
        <w:lastRenderedPageBreak/>
        <w:t>increasingly expected in qualitative and inclusive research (Cooper, 2018). Mackenzie’s work could be a strong foundation, but only if future studies include ethics not just as a formality, but as part of how we understand and represent people well.</w:t>
      </w:r>
    </w:p>
    <w:p w:rsidR="00D806DA" w:rsidRPr="00852EA1" w:rsidRDefault="00D806DA" w:rsidP="00852EA1">
      <w:pPr>
        <w:rPr>
          <w:rFonts w:asciiTheme="majorHAnsi" w:hAnsiTheme="majorHAnsi" w:cstheme="majorHAnsi"/>
          <w:sz w:val="24"/>
          <w:szCs w:val="24"/>
          <w:u w:val="single"/>
        </w:rPr>
      </w:pPr>
      <w:r w:rsidRPr="00852EA1">
        <w:rPr>
          <w:rFonts w:asciiTheme="majorHAnsi" w:hAnsiTheme="majorHAnsi" w:cstheme="majorHAnsi"/>
          <w:sz w:val="24"/>
          <w:szCs w:val="24"/>
          <w:u w:val="single"/>
        </w:rPr>
        <w:t>Conclusion and Recommendations</w:t>
      </w:r>
    </w:p>
    <w:p w:rsidR="00D806DA" w:rsidRPr="00852EA1" w:rsidRDefault="00D806DA" w:rsidP="00852EA1">
      <w:pPr>
        <w:rPr>
          <w:rFonts w:asciiTheme="majorHAnsi" w:hAnsiTheme="majorHAnsi" w:cstheme="majorHAnsi"/>
        </w:rPr>
      </w:pPr>
      <w:r w:rsidRPr="00852EA1">
        <w:rPr>
          <w:rFonts w:asciiTheme="majorHAnsi" w:hAnsiTheme="majorHAnsi" w:cstheme="majorHAnsi"/>
        </w:rPr>
        <w:t>In this section I will reflect on what I have covered in the previous section and offer my critiques following a mini review of the article linked research. Mackenzie’s article gives some helpful insight into how executive dysfunction and Positive Illusory Bias (PIB) may connect, and how that affects people with ADHD in the workplace. Her main argument—that some individuals may overestimate their performance and therefore not ask for help—is an interesting and useful concept. She also gives clear explanations of the theory around executive function, which could be valuable for practitioners or educators trying to better understand workplace challenges. But overall, the paper feels one-sided and quite limited in scope.</w:t>
      </w:r>
    </w:p>
    <w:p w:rsidR="00D806DA" w:rsidRPr="00852EA1" w:rsidRDefault="00D806DA" w:rsidP="00852EA1">
      <w:pPr>
        <w:rPr>
          <w:rFonts w:asciiTheme="majorHAnsi" w:hAnsiTheme="majorHAnsi" w:cstheme="majorHAnsi"/>
        </w:rPr>
      </w:pPr>
      <w:r w:rsidRPr="00852EA1">
        <w:rPr>
          <w:rFonts w:asciiTheme="majorHAnsi" w:hAnsiTheme="majorHAnsi" w:cstheme="majorHAnsi"/>
        </w:rPr>
        <w:t>One key gap is that the article focuses heavily on the negatives. There’s not much exploration of the strengths or 'superpowers' that people with ADHD can bring to work—things like creativity, innovation, or hyperfocus. This is part of the story too, and it’s missing here. Studies like Sedgwick et al. (2019) suggest that recognising strengths alongside impairments can support better outcomes for neurodivergent workers. Future research should look into this and how coaching, mentoring, or occupational health input could be developed to support people’s executive function, not just track their struggles.</w:t>
      </w:r>
    </w:p>
    <w:p w:rsidR="00D806DA" w:rsidRPr="00852EA1" w:rsidRDefault="00D806DA" w:rsidP="00852EA1">
      <w:pPr>
        <w:rPr>
          <w:rFonts w:asciiTheme="majorHAnsi" w:hAnsiTheme="majorHAnsi" w:cstheme="majorHAnsi"/>
        </w:rPr>
      </w:pPr>
      <w:r w:rsidRPr="00852EA1">
        <w:rPr>
          <w:rFonts w:asciiTheme="majorHAnsi" w:hAnsiTheme="majorHAnsi" w:cstheme="majorHAnsi"/>
        </w:rPr>
        <w:t>The article also doesn’t mention support systems like workplace advocates, peer mentors, or employee assistance programs. These are all tools’ organisations can and should be investing in. Mackenzie hints at cost being a barrier, but from my work at NCVO, I know that most organisations aren’t spending much at all in this area. Instead of focusing on cost, we should be talking about the real need for investment in coaching, training, and specialist input on executive function.</w:t>
      </w:r>
    </w:p>
    <w:p w:rsidR="00D806DA" w:rsidRPr="00852EA1" w:rsidRDefault="00D806DA" w:rsidP="00852EA1">
      <w:pPr>
        <w:rPr>
          <w:rFonts w:asciiTheme="majorHAnsi" w:hAnsiTheme="majorHAnsi" w:cstheme="majorHAnsi"/>
        </w:rPr>
      </w:pPr>
      <w:r w:rsidRPr="00852EA1">
        <w:rPr>
          <w:rFonts w:asciiTheme="majorHAnsi" w:hAnsiTheme="majorHAnsi" w:cstheme="majorHAnsi"/>
        </w:rPr>
        <w:t>There’s also little focus on how PIBs relate to other co-occurring issues like depression and anxiety, which might lead people to underreport problems or avoid seeking help entirely. Hinshaw (2002) also found that “girls with ADHD are particularly vulnerable to internalising symptoms, lower self-esteem, and functional impairment” (p. 458). This raises questions about whether gender, culture, or language barriers might also impact how ADHD is experienced at work. These issues aren’t covered in the paper, but they matter for ethical and inclusive practice. There’s also little reference to minoritised groups or migrants, who may be even more under-represented in ADHD research or workplace support data.</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To build on Mackenzie’s work, future studies could use mixed methods to combine lived experience with data. Studies should include people with ADHD in the design process, and gather insight from diverse groups, including people for whom English is not a first language. </w:t>
      </w:r>
      <w:r w:rsidRPr="00852EA1">
        <w:rPr>
          <w:rFonts w:asciiTheme="majorHAnsi" w:hAnsiTheme="majorHAnsi" w:cstheme="majorHAnsi"/>
        </w:rPr>
        <w:lastRenderedPageBreak/>
        <w:t>Tools should be developed to help measure not just perceived competence, but also workplace impact and access to support.</w:t>
      </w:r>
    </w:p>
    <w:p w:rsidR="00D806DA" w:rsidRPr="00852EA1" w:rsidRDefault="00D806DA" w:rsidP="00852EA1">
      <w:pPr>
        <w:rPr>
          <w:rFonts w:asciiTheme="majorHAnsi" w:hAnsiTheme="majorHAnsi" w:cstheme="majorHAnsi"/>
        </w:rPr>
      </w:pPr>
      <w:r w:rsidRPr="00852EA1">
        <w:rPr>
          <w:rFonts w:asciiTheme="majorHAnsi" w:hAnsiTheme="majorHAnsi" w:cstheme="majorHAnsi"/>
        </w:rPr>
        <w:t>In conclusion, the paper offers a good starting point, but needs to go further. With stronger methodology, ethical reflection, and attention to workplace realities and diversity, the ideas in this article could have more impact—both in research and in real life. This review returned to the question of how executive dysfunction affects job performance and self-perception, and found that Mackenzie’s work opens the door but does not fully step through it. Future research has an opportunity to do so in a way that’s both more inclusive and grounded in lived realities.</w:t>
      </w:r>
    </w:p>
    <w:p w:rsidR="00D806DA" w:rsidRPr="00852EA1" w:rsidRDefault="00D806DA" w:rsidP="00852EA1">
      <w:pPr>
        <w:rPr>
          <w:rFonts w:asciiTheme="majorHAnsi" w:hAnsiTheme="majorHAnsi" w:cstheme="majorHAnsi"/>
          <w:sz w:val="24"/>
          <w:szCs w:val="24"/>
          <w:u w:val="single"/>
        </w:rPr>
      </w:pPr>
      <w:r w:rsidRPr="00852EA1">
        <w:rPr>
          <w:rFonts w:asciiTheme="majorHAnsi" w:hAnsiTheme="majorHAnsi" w:cstheme="majorHAnsi"/>
          <w:sz w:val="24"/>
          <w:szCs w:val="24"/>
          <w:u w:val="single"/>
        </w:rPr>
        <w:t>References</w:t>
      </w:r>
    </w:p>
    <w:p w:rsidR="00D806DA" w:rsidRPr="00852EA1" w:rsidRDefault="00D806DA" w:rsidP="00852EA1">
      <w:pPr>
        <w:rPr>
          <w:rFonts w:asciiTheme="majorHAnsi" w:hAnsiTheme="majorHAnsi" w:cstheme="majorHAnsi"/>
        </w:rPr>
      </w:pPr>
      <w:r w:rsidRPr="00852EA1">
        <w:rPr>
          <w:rFonts w:asciiTheme="majorHAnsi" w:hAnsiTheme="majorHAnsi" w:cstheme="majorHAnsi"/>
        </w:rPr>
        <w:t>Bradford, S. and Cullen, F. (2012). Research Methods for Youth Practitioners. Abingdon: Routledge.</w:t>
      </w:r>
    </w:p>
    <w:p w:rsidR="00D806DA" w:rsidRPr="00852EA1" w:rsidRDefault="00D806DA" w:rsidP="00852EA1">
      <w:pPr>
        <w:rPr>
          <w:rFonts w:asciiTheme="majorHAnsi" w:hAnsiTheme="majorHAnsi" w:cstheme="majorHAnsi"/>
        </w:rPr>
      </w:pPr>
      <w:r w:rsidRPr="00852EA1">
        <w:rPr>
          <w:rFonts w:asciiTheme="majorHAnsi" w:hAnsiTheme="majorHAnsi" w:cstheme="majorHAnsi"/>
        </w:rPr>
        <w:t>Bryman, A. (2008). Social Research Methods. 3rd edn. Oxford: Oxford University Press.</w:t>
      </w:r>
    </w:p>
    <w:p w:rsidR="00D806DA" w:rsidRPr="00852EA1" w:rsidRDefault="00D806DA" w:rsidP="00852EA1">
      <w:pPr>
        <w:rPr>
          <w:rFonts w:asciiTheme="majorHAnsi" w:hAnsiTheme="majorHAnsi" w:cstheme="majorHAnsi"/>
        </w:rPr>
      </w:pPr>
      <w:r w:rsidRPr="00852EA1">
        <w:rPr>
          <w:rFonts w:asciiTheme="majorHAnsi" w:hAnsiTheme="majorHAnsi" w:cstheme="majorHAnsi"/>
        </w:rPr>
        <w:t>Creswell, J. W. (2014). Research Design: Qualitative, Quantitative, and Mixed Methods Approaches. 4th edn. London: SAGE Publications. [Core reading / slides]</w:t>
      </w:r>
    </w:p>
    <w:p w:rsidR="00D806DA" w:rsidRPr="00852EA1" w:rsidRDefault="00D806DA" w:rsidP="00852EA1">
      <w:pPr>
        <w:rPr>
          <w:rFonts w:asciiTheme="majorHAnsi" w:hAnsiTheme="majorHAnsi" w:cstheme="majorHAnsi"/>
        </w:rPr>
      </w:pPr>
      <w:r w:rsidRPr="00852EA1">
        <w:rPr>
          <w:rFonts w:asciiTheme="majorHAnsi" w:hAnsiTheme="majorHAnsi" w:cstheme="majorHAnsi"/>
        </w:rPr>
        <w:t>Creswell, J. and Creswell, W. (2013). Qualitative Inquiry and Research Design: Choosing Among Five Approaches. 3rd edn. London: SAGE Publications. [From your slides]</w:t>
      </w:r>
    </w:p>
    <w:p w:rsidR="00D806DA" w:rsidRPr="00852EA1" w:rsidRDefault="00D806DA" w:rsidP="00852EA1">
      <w:pPr>
        <w:rPr>
          <w:rFonts w:asciiTheme="majorHAnsi" w:hAnsiTheme="majorHAnsi" w:cstheme="majorHAnsi"/>
        </w:rPr>
      </w:pPr>
      <w:r w:rsidRPr="00852EA1">
        <w:rPr>
          <w:rFonts w:asciiTheme="majorHAnsi" w:hAnsiTheme="majorHAnsi" w:cstheme="majorHAnsi"/>
        </w:rPr>
        <w:t>Grbich, C. (2010). Qualitative Data Analysis: An Introduction. London: SAGE Publications. [From your slides]</w:t>
      </w:r>
    </w:p>
    <w:p w:rsidR="00D806DA" w:rsidRPr="00852EA1" w:rsidRDefault="00D806DA" w:rsidP="00852EA1">
      <w:pPr>
        <w:rPr>
          <w:rFonts w:asciiTheme="majorHAnsi" w:hAnsiTheme="majorHAnsi" w:cstheme="majorHAnsi"/>
        </w:rPr>
      </w:pPr>
      <w:r w:rsidRPr="00852EA1">
        <w:rPr>
          <w:rFonts w:asciiTheme="majorHAnsi" w:hAnsiTheme="majorHAnsi" w:cstheme="majorHAnsi"/>
        </w:rPr>
        <w:t>Punch, K. F. (2013). Introduction to Social Research: Quantitative and Qualitative Approaches. 3rd edn. London: SAGE Publications.</w:t>
      </w:r>
    </w:p>
    <w:p w:rsidR="00D806DA" w:rsidRPr="00852EA1" w:rsidRDefault="00D806DA" w:rsidP="00852EA1">
      <w:pPr>
        <w:rPr>
          <w:rFonts w:asciiTheme="majorHAnsi" w:hAnsiTheme="majorHAnsi" w:cstheme="majorHAnsi"/>
        </w:rPr>
      </w:pPr>
      <w:r w:rsidRPr="00852EA1">
        <w:rPr>
          <w:rFonts w:asciiTheme="majorHAnsi" w:hAnsiTheme="majorHAnsi" w:cstheme="majorHAnsi"/>
        </w:rPr>
        <w:t>BERA (2018). Ethical Guidelines for Educational Research. 4th edn. London: British Educational Research Association.</w:t>
      </w:r>
    </w:p>
    <w:p w:rsidR="00D806DA" w:rsidRPr="00852EA1" w:rsidRDefault="00D806DA" w:rsidP="00852EA1">
      <w:pPr>
        <w:rPr>
          <w:rFonts w:asciiTheme="majorHAnsi" w:hAnsiTheme="majorHAnsi" w:cstheme="majorHAnsi"/>
        </w:rPr>
      </w:pPr>
      <w:r w:rsidRPr="00852EA1">
        <w:rPr>
          <w:rFonts w:asciiTheme="majorHAnsi" w:hAnsiTheme="majorHAnsi" w:cstheme="majorHAnsi"/>
        </w:rPr>
        <w:t>Barkley, R. A. and Murphy, K. R. (2010). ‘Impairment in occupational functioning and adult ADHD: The predictive utility of executive function ratings versus EF tests’, Archives of Clinical Neuropsychology, 25(3), pp. 157–173.</w:t>
      </w:r>
    </w:p>
    <w:p w:rsidR="00D806DA" w:rsidRPr="00852EA1" w:rsidRDefault="00D806DA" w:rsidP="00852EA1">
      <w:pPr>
        <w:rPr>
          <w:rFonts w:asciiTheme="majorHAnsi" w:hAnsiTheme="majorHAnsi" w:cstheme="majorHAnsi"/>
        </w:rPr>
      </w:pPr>
      <w:r w:rsidRPr="00852EA1">
        <w:rPr>
          <w:rFonts w:asciiTheme="majorHAnsi" w:hAnsiTheme="majorHAnsi" w:cstheme="majorHAnsi"/>
        </w:rPr>
        <w:t>Barkley, R. A., &amp; Murphy, K. R. (2010). Impairment in occupational functioning and adult ADHD: The predictive utility of executive function (EF) ratings versus EF tests. Archives of Clinical Neuropsychology, 25(3), 157-173.</w:t>
      </w:r>
    </w:p>
    <w:p w:rsidR="00D806DA" w:rsidRPr="00852EA1" w:rsidRDefault="00D806DA" w:rsidP="00852EA1">
      <w:pPr>
        <w:rPr>
          <w:rFonts w:asciiTheme="majorHAnsi" w:hAnsiTheme="majorHAnsi" w:cstheme="majorHAnsi"/>
        </w:rPr>
      </w:pPr>
      <w:r w:rsidRPr="00852EA1">
        <w:rPr>
          <w:rFonts w:asciiTheme="majorHAnsi" w:hAnsiTheme="majorHAnsi" w:cstheme="majorHAnsi"/>
        </w:rPr>
        <w:t>Biederman, J. and Faraone, S. V. (2005). ‘Attention-deficit hyperactivity disorder’, The Lancet, 366(9481), pp. 237–248.</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Biederman, J., Petty, C. R., Fried, R., Kaiser, R., Dolan, C. R., Schoenfeld, S., … Faraone, S. V. (2008). Educational and occupational under attainment in adults with attention </w:t>
      </w:r>
      <w:r w:rsidRPr="00852EA1">
        <w:rPr>
          <w:rFonts w:asciiTheme="majorHAnsi" w:hAnsiTheme="majorHAnsi" w:cstheme="majorHAnsi"/>
        </w:rPr>
        <w:lastRenderedPageBreak/>
        <w:t>deficit/hyperactivity disorder: A controlled study. Journal of Clinical Psychiatry, 69(8), 1217-1222. http://dx.doi.org.myaccess. library.utoronto.ca/10.4088/JCP.v69n0803</w:t>
      </w:r>
    </w:p>
    <w:p w:rsidR="00D806DA" w:rsidRPr="00852EA1" w:rsidRDefault="00D806DA" w:rsidP="00852EA1">
      <w:pPr>
        <w:rPr>
          <w:rFonts w:asciiTheme="majorHAnsi" w:hAnsiTheme="majorHAnsi" w:cstheme="majorHAnsi"/>
        </w:rPr>
      </w:pPr>
      <w:r w:rsidRPr="00852EA1">
        <w:rPr>
          <w:rFonts w:asciiTheme="majorHAnsi" w:hAnsiTheme="majorHAnsi" w:cstheme="majorHAnsi"/>
        </w:rPr>
        <w:t>Swanson, J. M. et al. (2001). ‘Comorbidity of ADHD with conduct, depressive, anxiety, and other disorders’, Clinical Psychology Review, 21(1), pp. 35–70.</w:t>
      </w:r>
    </w:p>
    <w:p w:rsidR="00D806DA" w:rsidRPr="00852EA1" w:rsidRDefault="00D806DA" w:rsidP="00852EA1">
      <w:pPr>
        <w:rPr>
          <w:rFonts w:asciiTheme="majorHAnsi" w:hAnsiTheme="majorHAnsi" w:cstheme="majorHAnsi"/>
        </w:rPr>
      </w:pPr>
      <w:r w:rsidRPr="00852EA1">
        <w:rPr>
          <w:rFonts w:asciiTheme="majorHAnsi" w:hAnsiTheme="majorHAnsi" w:cstheme="majorHAnsi"/>
        </w:rPr>
        <w:t>Swanson, E. N., Owens, E. B., &amp; Hinshaw, S. P. (2012). Is the positive illusory bias illusory? Examining discrepant self-perceptions of competence in girls with ADHD. Journal of Abnormal Child Psychology, 40, 987-998.</w:t>
      </w:r>
    </w:p>
    <w:p w:rsidR="00D806DA" w:rsidRPr="00852EA1" w:rsidRDefault="00D806DA" w:rsidP="00852EA1">
      <w:pPr>
        <w:rPr>
          <w:rFonts w:asciiTheme="majorHAnsi" w:hAnsiTheme="majorHAnsi" w:cstheme="majorHAnsi"/>
        </w:rPr>
      </w:pPr>
      <w:proofErr w:type="spellStart"/>
      <w:r w:rsidRPr="00852EA1">
        <w:rPr>
          <w:rFonts w:asciiTheme="majorHAnsi" w:hAnsiTheme="majorHAnsi" w:cstheme="majorHAnsi"/>
        </w:rPr>
        <w:t>Willcutt</w:t>
      </w:r>
      <w:proofErr w:type="spellEnd"/>
      <w:r w:rsidRPr="00852EA1">
        <w:rPr>
          <w:rFonts w:asciiTheme="majorHAnsi" w:hAnsiTheme="majorHAnsi" w:cstheme="majorHAnsi"/>
        </w:rPr>
        <w:t>, E. G., Doyle, A. E., Nigg, J. T., Faraone, S. V., &amp; Pennington, B. F. (2005). Validity of the executive function theory of attention-deficit/hyperactivity disorder: A meta-analytic review. Biological Psychiatry, 57, 1336-1346.</w:t>
      </w:r>
    </w:p>
    <w:p w:rsidR="00D806DA" w:rsidRPr="00852EA1" w:rsidRDefault="00D806DA" w:rsidP="00852EA1">
      <w:pPr>
        <w:rPr>
          <w:rFonts w:asciiTheme="majorHAnsi" w:hAnsiTheme="majorHAnsi" w:cstheme="majorHAnsi"/>
        </w:rPr>
      </w:pPr>
      <w:proofErr w:type="spellStart"/>
      <w:r w:rsidRPr="00852EA1">
        <w:rPr>
          <w:rFonts w:asciiTheme="majorHAnsi" w:hAnsiTheme="majorHAnsi" w:cstheme="majorHAnsi"/>
        </w:rPr>
        <w:t>Willcutt</w:t>
      </w:r>
      <w:proofErr w:type="spellEnd"/>
      <w:r w:rsidRPr="00852EA1">
        <w:rPr>
          <w:rFonts w:asciiTheme="majorHAnsi" w:hAnsiTheme="majorHAnsi" w:cstheme="majorHAnsi"/>
        </w:rPr>
        <w:t>, E. G. (2012). ‘The prevalence of DSM-IV attention-deficit/hyperactivity disorder: A meta-analytic review’, Neurotherapeutics, 9(3), pp. 490–499.</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Shifrin, J. G., Proctor, B. E., &amp; </w:t>
      </w:r>
      <w:proofErr w:type="spellStart"/>
      <w:r w:rsidRPr="00852EA1">
        <w:rPr>
          <w:rFonts w:asciiTheme="majorHAnsi" w:hAnsiTheme="majorHAnsi" w:cstheme="majorHAnsi"/>
        </w:rPr>
        <w:t>Prevatt</w:t>
      </w:r>
      <w:proofErr w:type="spellEnd"/>
      <w:r w:rsidRPr="00852EA1">
        <w:rPr>
          <w:rFonts w:asciiTheme="majorHAnsi" w:hAnsiTheme="majorHAnsi" w:cstheme="majorHAnsi"/>
        </w:rPr>
        <w:t>, F. F. (2010). Work performance differences between college students with and without ADHD. Journal of Attention Disorders, 13(5), 489-496.</w:t>
      </w:r>
    </w:p>
    <w:p w:rsidR="00D806DA" w:rsidRPr="00852EA1" w:rsidRDefault="00D806DA" w:rsidP="00852EA1">
      <w:pPr>
        <w:rPr>
          <w:rFonts w:asciiTheme="majorHAnsi" w:hAnsiTheme="majorHAnsi" w:cstheme="majorHAnsi"/>
        </w:rPr>
      </w:pPr>
      <w:r w:rsidRPr="00852EA1">
        <w:rPr>
          <w:rFonts w:asciiTheme="majorHAnsi" w:hAnsiTheme="majorHAnsi" w:cstheme="majorHAnsi"/>
        </w:rPr>
        <w:t>Ohan, J. L., &amp; Johnston, C. (2002). Are the performance overestimates given by boys with ADHD self-protective? Journal of Clinical Child and Adolescent Psychology, 31(2), 230-241.</w:t>
      </w:r>
    </w:p>
    <w:p w:rsidR="00D806DA" w:rsidRPr="00852EA1" w:rsidRDefault="00D806DA" w:rsidP="00852EA1">
      <w:pPr>
        <w:rPr>
          <w:rFonts w:asciiTheme="majorHAnsi" w:hAnsiTheme="majorHAnsi" w:cstheme="majorHAnsi"/>
        </w:rPr>
      </w:pPr>
      <w:r w:rsidRPr="00852EA1">
        <w:rPr>
          <w:rFonts w:asciiTheme="majorHAnsi" w:hAnsiTheme="majorHAnsi" w:cstheme="majorHAnsi"/>
        </w:rPr>
        <w:t>Hoza, B., Pelham, W. E., Jr., Dobbs, J., Owens, J. S., &amp; Pillow, D. R. (2002). Do boys with attention-deficit/hyperactivity disorder have positive illusory self-concepts? Journal of Abnormal Psychology, 111(2), 268- 278.</w:t>
      </w:r>
    </w:p>
    <w:p w:rsidR="00D806DA" w:rsidRPr="00852EA1" w:rsidRDefault="00D806DA" w:rsidP="00852EA1">
      <w:pPr>
        <w:rPr>
          <w:rFonts w:asciiTheme="majorHAnsi" w:hAnsiTheme="majorHAnsi" w:cstheme="majorHAnsi"/>
        </w:rPr>
      </w:pPr>
      <w:proofErr w:type="spellStart"/>
      <w:r w:rsidRPr="00852EA1">
        <w:rPr>
          <w:rFonts w:asciiTheme="majorHAnsi" w:hAnsiTheme="majorHAnsi" w:cstheme="majorHAnsi"/>
        </w:rPr>
        <w:t>Prevatt</w:t>
      </w:r>
      <w:proofErr w:type="spellEnd"/>
      <w:r w:rsidRPr="00852EA1">
        <w:rPr>
          <w:rFonts w:asciiTheme="majorHAnsi" w:hAnsiTheme="majorHAnsi" w:cstheme="majorHAnsi"/>
        </w:rPr>
        <w:t>, F., Proctor, B., Best, L., Baker, L., Van Walker, J., &amp; Taylor, N. W. (2012). The positive illusory bias: Does it explain self-evaluations in college students with ADHD? Journal of Attention Disorders, 16(3), 235-243.</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Owens, J. S., </w:t>
      </w:r>
      <w:proofErr w:type="spellStart"/>
      <w:r w:rsidRPr="00852EA1">
        <w:rPr>
          <w:rFonts w:asciiTheme="majorHAnsi" w:hAnsiTheme="majorHAnsi" w:cstheme="majorHAnsi"/>
        </w:rPr>
        <w:t>Goldfine</w:t>
      </w:r>
      <w:proofErr w:type="spellEnd"/>
      <w:r w:rsidRPr="00852EA1">
        <w:rPr>
          <w:rFonts w:asciiTheme="majorHAnsi" w:hAnsiTheme="majorHAnsi" w:cstheme="majorHAnsi"/>
        </w:rPr>
        <w:t>, M. E., Evangelista, N. M., Hoza, B., &amp; Kaiser, N. M. (2007). A critical review of self-perceptions and the positive illusory bias in children with ADHD. Clinical Child and Family Psychology Review, 10, 335-351.</w:t>
      </w:r>
    </w:p>
    <w:p w:rsidR="00D806DA" w:rsidRPr="00852EA1" w:rsidRDefault="00D806DA" w:rsidP="00852EA1">
      <w:pPr>
        <w:rPr>
          <w:rFonts w:asciiTheme="majorHAnsi" w:hAnsiTheme="majorHAnsi" w:cstheme="majorHAnsi"/>
        </w:rPr>
      </w:pPr>
      <w:r w:rsidRPr="00852EA1">
        <w:rPr>
          <w:rFonts w:asciiTheme="majorHAnsi" w:hAnsiTheme="majorHAnsi" w:cstheme="majorHAnsi"/>
        </w:rPr>
        <w:t>Hinshaw, S. P. (2002). ‘Preadolescent girls with ADHD: Complexities, comorbidities, and challenges’, Journal of Clinical Child and Adolescent Psychology, 31(4), pp. 456–468.</w:t>
      </w: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Hinshaw, S. P., Klein, R. G., &amp; </w:t>
      </w:r>
      <w:proofErr w:type="spellStart"/>
      <w:r w:rsidRPr="00852EA1">
        <w:rPr>
          <w:rFonts w:asciiTheme="majorHAnsi" w:hAnsiTheme="majorHAnsi" w:cstheme="majorHAnsi"/>
        </w:rPr>
        <w:t>Abikoff</w:t>
      </w:r>
      <w:proofErr w:type="spellEnd"/>
      <w:r w:rsidRPr="00852EA1">
        <w:rPr>
          <w:rFonts w:asciiTheme="majorHAnsi" w:hAnsiTheme="majorHAnsi" w:cstheme="majorHAnsi"/>
        </w:rPr>
        <w:t>, H. B. (2007). Childhood attention-deficit/ hyperactivity disorder: Nonpharmacological treatments and their combination with medication. In P. E. Nathan &amp; J. M. Gorman (Eds.), A guide to treatments that work (3rd ed., pp. 3-27). New York, NY: Oxford University Press.</w:t>
      </w:r>
    </w:p>
    <w:p w:rsidR="00D806DA" w:rsidRPr="00852EA1" w:rsidRDefault="00D806DA" w:rsidP="00852EA1">
      <w:pPr>
        <w:rPr>
          <w:rFonts w:asciiTheme="majorHAnsi" w:hAnsiTheme="majorHAnsi" w:cstheme="majorHAnsi"/>
        </w:rPr>
      </w:pPr>
      <w:r w:rsidRPr="00852EA1">
        <w:rPr>
          <w:rFonts w:asciiTheme="majorHAnsi" w:hAnsiTheme="majorHAnsi" w:cstheme="majorHAnsi"/>
        </w:rPr>
        <w:t>Oliver, P. (2010). The Student’s Guide to Research Ethics. 2nd edn. Maidenhead: Open University Press.</w:t>
      </w:r>
    </w:p>
    <w:p w:rsidR="00D806DA" w:rsidRPr="00852EA1" w:rsidRDefault="00D806DA" w:rsidP="00852EA1">
      <w:pPr>
        <w:rPr>
          <w:rFonts w:asciiTheme="majorHAnsi" w:hAnsiTheme="majorHAnsi" w:cstheme="majorHAnsi"/>
        </w:rPr>
      </w:pPr>
      <w:r w:rsidRPr="00852EA1">
        <w:rPr>
          <w:rFonts w:asciiTheme="majorHAnsi" w:hAnsiTheme="majorHAnsi" w:cstheme="majorHAnsi"/>
        </w:rPr>
        <w:lastRenderedPageBreak/>
        <w:t>Cooper, S. (2018). Participatory Evaluation in Youth and Community Work: Theory and Practice. London: Routledge.</w:t>
      </w:r>
    </w:p>
    <w:p w:rsidR="00D806DA" w:rsidRPr="00852EA1" w:rsidRDefault="00D806DA" w:rsidP="00852EA1">
      <w:pPr>
        <w:rPr>
          <w:rFonts w:asciiTheme="majorHAnsi" w:hAnsiTheme="majorHAnsi" w:cstheme="majorHAnsi"/>
        </w:rPr>
      </w:pPr>
      <w:r w:rsidRPr="00852EA1">
        <w:rPr>
          <w:rFonts w:asciiTheme="majorHAnsi" w:hAnsiTheme="majorHAnsi" w:cstheme="majorHAnsi"/>
        </w:rPr>
        <w:t>Sedgwick, J. A. et al. (2019). ‘The positive aspects of ADHD: A qualitative investigation of strengths and positive experiences’, Advances in Neurodevelopmental Disorders, 3, pp. 245–256.</w:t>
      </w:r>
    </w:p>
    <w:p w:rsidR="00D806DA" w:rsidRPr="00852EA1" w:rsidRDefault="00D806DA" w:rsidP="00852EA1">
      <w:pPr>
        <w:spacing w:after="0"/>
        <w:rPr>
          <w:rFonts w:asciiTheme="majorHAnsi" w:hAnsiTheme="majorHAnsi" w:cstheme="majorHAnsi"/>
        </w:rPr>
      </w:pPr>
      <w:r w:rsidRPr="00852EA1">
        <w:rPr>
          <w:rFonts w:asciiTheme="majorHAnsi" w:hAnsiTheme="majorHAnsi" w:cstheme="majorHAnsi"/>
        </w:rPr>
        <w:t>Mackenzie, G. (2017). Exploring the Relationships Between Adverse Occupational Experiences, Executive Dysfunction, and Perceived Job Competency Among Individuals with ADHD. The ADHD Report. 25 (8). pp. 6-14</w:t>
      </w:r>
    </w:p>
    <w:p w:rsidR="00D806DA" w:rsidRDefault="00D806DA" w:rsidP="002A06D9">
      <w:pPr>
        <w:spacing w:after="0"/>
        <w:rPr>
          <w:rFonts w:asciiTheme="majorHAnsi" w:hAnsiTheme="majorHAnsi" w:cstheme="majorHAnsi"/>
        </w:rPr>
      </w:pPr>
      <w:hyperlink r:id="rId8" w:history="1">
        <w:r w:rsidRPr="00852EA1">
          <w:rPr>
            <w:rStyle w:val="Hyperlink"/>
            <w:rFonts w:asciiTheme="majorHAnsi" w:hAnsiTheme="majorHAnsi" w:cstheme="majorHAnsi"/>
          </w:rPr>
          <w:t>https://www.proquest.com/docview/1976030729/fulltextPDF/F648CD1B461A483BPQ/2?accountid=130472&amp;sourcetype=Scholarly%20Journals</w:t>
        </w:r>
      </w:hyperlink>
    </w:p>
    <w:p w:rsidR="002A06D9" w:rsidRPr="00852EA1" w:rsidRDefault="002A06D9" w:rsidP="002A06D9">
      <w:pPr>
        <w:spacing w:after="0"/>
        <w:rPr>
          <w:rFonts w:asciiTheme="majorHAnsi" w:hAnsiTheme="majorHAnsi" w:cstheme="majorHAnsi"/>
        </w:rPr>
      </w:pPr>
    </w:p>
    <w:p w:rsidR="00D806DA" w:rsidRPr="00852EA1" w:rsidRDefault="00D806DA" w:rsidP="00852EA1">
      <w:pPr>
        <w:rPr>
          <w:rFonts w:asciiTheme="majorHAnsi" w:hAnsiTheme="majorHAnsi" w:cstheme="majorHAnsi"/>
        </w:rPr>
      </w:pPr>
      <w:r w:rsidRPr="00852EA1">
        <w:rPr>
          <w:rFonts w:asciiTheme="majorHAnsi" w:hAnsiTheme="majorHAnsi" w:cstheme="majorHAnsi"/>
        </w:rPr>
        <w:t xml:space="preserve">Mackenzie, G., Aitkin, M., &amp; </w:t>
      </w:r>
      <w:proofErr w:type="spellStart"/>
      <w:r w:rsidRPr="00852EA1">
        <w:rPr>
          <w:rFonts w:asciiTheme="majorHAnsi" w:hAnsiTheme="majorHAnsi" w:cstheme="majorHAnsi"/>
        </w:rPr>
        <w:t>Martinussen</w:t>
      </w:r>
      <w:proofErr w:type="spellEnd"/>
      <w:r w:rsidRPr="00852EA1">
        <w:rPr>
          <w:rFonts w:asciiTheme="majorHAnsi" w:hAnsiTheme="majorHAnsi" w:cstheme="majorHAnsi"/>
        </w:rPr>
        <w:t>. (2015). ‘Exploring the prospect of overinflated perceptions of job competence among youth with ADHD: The influence of executive functions’. Poster presented at the 5th World Congress on ADHD, Glasgow.</w:t>
      </w:r>
    </w:p>
    <w:p w:rsidR="004B70D1" w:rsidRPr="00852EA1" w:rsidRDefault="004B70D1" w:rsidP="00852EA1">
      <w:pPr>
        <w:pStyle w:val="Heading2"/>
        <w:rPr>
          <w:rFonts w:cstheme="majorHAnsi"/>
          <w:color w:val="000000" w:themeColor="text1"/>
          <w:sz w:val="22"/>
          <w:szCs w:val="22"/>
          <w:u w:val="single"/>
        </w:rPr>
      </w:pPr>
    </w:p>
    <w:sectPr w:rsidR="004B70D1" w:rsidRPr="00852EA1" w:rsidSect="00034616">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C21A8" w:rsidRDefault="00DC21A8" w:rsidP="00D57A5C">
      <w:pPr>
        <w:spacing w:after="0" w:line="240" w:lineRule="auto"/>
      </w:pPr>
      <w:r>
        <w:separator/>
      </w:r>
    </w:p>
  </w:endnote>
  <w:endnote w:type="continuationSeparator" w:id="0">
    <w:p w:rsidR="00DC21A8" w:rsidRDefault="00DC21A8" w:rsidP="00D57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00500000000000000"/>
    <w:charset w:val="00"/>
    <w:family w:val="auto"/>
    <w:pitch w:val="variable"/>
    <w:sig w:usb0="00000003"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C21A8" w:rsidRDefault="00DC21A8" w:rsidP="00D57A5C">
      <w:pPr>
        <w:spacing w:after="0" w:line="240" w:lineRule="auto"/>
      </w:pPr>
      <w:r>
        <w:separator/>
      </w:r>
    </w:p>
  </w:footnote>
  <w:footnote w:type="continuationSeparator" w:id="0">
    <w:p w:rsidR="00DC21A8" w:rsidRDefault="00DC21A8" w:rsidP="00D57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57A5C" w:rsidRPr="00D57A5C" w:rsidRDefault="00D57A5C" w:rsidP="00D57A5C">
    <w:pPr>
      <w:pStyle w:val="Header"/>
      <w:rPr>
        <w:lang w:val="en-GB"/>
      </w:rPr>
    </w:pPr>
    <w:r>
      <w:rPr>
        <w:lang w:val="en-GB"/>
      </w:rPr>
      <w:t>Raghvir Dhaliwal – Student 214976</w:t>
    </w:r>
  </w:p>
  <w:p w:rsidR="00D57A5C" w:rsidRPr="00D57A5C" w:rsidRDefault="00D57A5C">
    <w:pPr>
      <w:pStyle w:val="Header"/>
      <w:rPr>
        <w:lang w:val="en-GB"/>
      </w:rPr>
    </w:pPr>
    <w:r>
      <w:rPr>
        <w:lang w:val="en-GB"/>
      </w:rPr>
      <w:t>ECGE7008Q  The Philosophy and Practice of Social Research</w:t>
    </w:r>
    <w:r>
      <w:rPr>
        <w:lang w:val="en-GB"/>
      </w:rPr>
      <w:tab/>
    </w:r>
    <w:r>
      <w:rPr>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4FC10B8"/>
    <w:multiLevelType w:val="hybridMultilevel"/>
    <w:tmpl w:val="AA2613D2"/>
    <w:lvl w:ilvl="0" w:tplc="EC04DBE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3E154B9"/>
    <w:multiLevelType w:val="hybridMultilevel"/>
    <w:tmpl w:val="FFFAC4AA"/>
    <w:lvl w:ilvl="0" w:tplc="452658E4">
      <w:start w:val="3"/>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F606BA8"/>
    <w:multiLevelType w:val="hybridMultilevel"/>
    <w:tmpl w:val="A592421E"/>
    <w:lvl w:ilvl="0" w:tplc="F1FE1FAC">
      <w:start w:val="1"/>
      <w:numFmt w:val="bullet"/>
      <w:lvlText w:val=" "/>
      <w:lvlJc w:val="left"/>
      <w:pPr>
        <w:tabs>
          <w:tab w:val="num" w:pos="720"/>
        </w:tabs>
        <w:ind w:left="720" w:hanging="360"/>
      </w:pPr>
      <w:rPr>
        <w:rFonts w:ascii="Calibri" w:hAnsi="Calibri" w:hint="default"/>
      </w:rPr>
    </w:lvl>
    <w:lvl w:ilvl="1" w:tplc="6E82DFE2" w:tentative="1">
      <w:start w:val="1"/>
      <w:numFmt w:val="bullet"/>
      <w:lvlText w:val=" "/>
      <w:lvlJc w:val="left"/>
      <w:pPr>
        <w:tabs>
          <w:tab w:val="num" w:pos="1440"/>
        </w:tabs>
        <w:ind w:left="1440" w:hanging="360"/>
      </w:pPr>
      <w:rPr>
        <w:rFonts w:ascii="Calibri" w:hAnsi="Calibri" w:hint="default"/>
      </w:rPr>
    </w:lvl>
    <w:lvl w:ilvl="2" w:tplc="9E6C3BCA" w:tentative="1">
      <w:start w:val="1"/>
      <w:numFmt w:val="bullet"/>
      <w:lvlText w:val=" "/>
      <w:lvlJc w:val="left"/>
      <w:pPr>
        <w:tabs>
          <w:tab w:val="num" w:pos="2160"/>
        </w:tabs>
        <w:ind w:left="2160" w:hanging="360"/>
      </w:pPr>
      <w:rPr>
        <w:rFonts w:ascii="Calibri" w:hAnsi="Calibri" w:hint="default"/>
      </w:rPr>
    </w:lvl>
    <w:lvl w:ilvl="3" w:tplc="3B8844E2" w:tentative="1">
      <w:start w:val="1"/>
      <w:numFmt w:val="bullet"/>
      <w:lvlText w:val=" "/>
      <w:lvlJc w:val="left"/>
      <w:pPr>
        <w:tabs>
          <w:tab w:val="num" w:pos="2880"/>
        </w:tabs>
        <w:ind w:left="2880" w:hanging="360"/>
      </w:pPr>
      <w:rPr>
        <w:rFonts w:ascii="Calibri" w:hAnsi="Calibri" w:hint="default"/>
      </w:rPr>
    </w:lvl>
    <w:lvl w:ilvl="4" w:tplc="E3C22AB2" w:tentative="1">
      <w:start w:val="1"/>
      <w:numFmt w:val="bullet"/>
      <w:lvlText w:val=" "/>
      <w:lvlJc w:val="left"/>
      <w:pPr>
        <w:tabs>
          <w:tab w:val="num" w:pos="3600"/>
        </w:tabs>
        <w:ind w:left="3600" w:hanging="360"/>
      </w:pPr>
      <w:rPr>
        <w:rFonts w:ascii="Calibri" w:hAnsi="Calibri" w:hint="default"/>
      </w:rPr>
    </w:lvl>
    <w:lvl w:ilvl="5" w:tplc="70EA592C" w:tentative="1">
      <w:start w:val="1"/>
      <w:numFmt w:val="bullet"/>
      <w:lvlText w:val=" "/>
      <w:lvlJc w:val="left"/>
      <w:pPr>
        <w:tabs>
          <w:tab w:val="num" w:pos="4320"/>
        </w:tabs>
        <w:ind w:left="4320" w:hanging="360"/>
      </w:pPr>
      <w:rPr>
        <w:rFonts w:ascii="Calibri" w:hAnsi="Calibri" w:hint="default"/>
      </w:rPr>
    </w:lvl>
    <w:lvl w:ilvl="6" w:tplc="79D08434" w:tentative="1">
      <w:start w:val="1"/>
      <w:numFmt w:val="bullet"/>
      <w:lvlText w:val=" "/>
      <w:lvlJc w:val="left"/>
      <w:pPr>
        <w:tabs>
          <w:tab w:val="num" w:pos="5040"/>
        </w:tabs>
        <w:ind w:left="5040" w:hanging="360"/>
      </w:pPr>
      <w:rPr>
        <w:rFonts w:ascii="Calibri" w:hAnsi="Calibri" w:hint="default"/>
      </w:rPr>
    </w:lvl>
    <w:lvl w:ilvl="7" w:tplc="46A69D46" w:tentative="1">
      <w:start w:val="1"/>
      <w:numFmt w:val="bullet"/>
      <w:lvlText w:val=" "/>
      <w:lvlJc w:val="left"/>
      <w:pPr>
        <w:tabs>
          <w:tab w:val="num" w:pos="5760"/>
        </w:tabs>
        <w:ind w:left="5760" w:hanging="360"/>
      </w:pPr>
      <w:rPr>
        <w:rFonts w:ascii="Calibri" w:hAnsi="Calibri" w:hint="default"/>
      </w:rPr>
    </w:lvl>
    <w:lvl w:ilvl="8" w:tplc="2BCC8544" w:tentative="1">
      <w:start w:val="1"/>
      <w:numFmt w:val="bullet"/>
      <w:lvlText w:val=" "/>
      <w:lvlJc w:val="left"/>
      <w:pPr>
        <w:tabs>
          <w:tab w:val="num" w:pos="6480"/>
        </w:tabs>
        <w:ind w:left="6480" w:hanging="360"/>
      </w:pPr>
      <w:rPr>
        <w:rFonts w:ascii="Calibri" w:hAnsi="Calibri" w:hint="default"/>
      </w:rPr>
    </w:lvl>
  </w:abstractNum>
  <w:num w:numId="1" w16cid:durableId="1668316896">
    <w:abstractNumId w:val="8"/>
  </w:num>
  <w:num w:numId="2" w16cid:durableId="1248728349">
    <w:abstractNumId w:val="6"/>
  </w:num>
  <w:num w:numId="3" w16cid:durableId="843282977">
    <w:abstractNumId w:val="5"/>
  </w:num>
  <w:num w:numId="4" w16cid:durableId="166873181">
    <w:abstractNumId w:val="4"/>
  </w:num>
  <w:num w:numId="5" w16cid:durableId="636884714">
    <w:abstractNumId w:val="7"/>
  </w:num>
  <w:num w:numId="6" w16cid:durableId="688684519">
    <w:abstractNumId w:val="3"/>
  </w:num>
  <w:num w:numId="7" w16cid:durableId="646402063">
    <w:abstractNumId w:val="2"/>
  </w:num>
  <w:num w:numId="8" w16cid:durableId="1358315075">
    <w:abstractNumId w:val="1"/>
  </w:num>
  <w:num w:numId="9" w16cid:durableId="627050892">
    <w:abstractNumId w:val="0"/>
  </w:num>
  <w:num w:numId="10" w16cid:durableId="1981759958">
    <w:abstractNumId w:val="9"/>
  </w:num>
  <w:num w:numId="11" w16cid:durableId="1903102036">
    <w:abstractNumId w:val="11"/>
  </w:num>
  <w:num w:numId="12" w16cid:durableId="4302034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92F"/>
    <w:rsid w:val="00034616"/>
    <w:rsid w:val="000353E3"/>
    <w:rsid w:val="0006063C"/>
    <w:rsid w:val="0015074B"/>
    <w:rsid w:val="0029639D"/>
    <w:rsid w:val="002A06D9"/>
    <w:rsid w:val="00326F90"/>
    <w:rsid w:val="00401850"/>
    <w:rsid w:val="004B70D1"/>
    <w:rsid w:val="00527BF3"/>
    <w:rsid w:val="005C4FE9"/>
    <w:rsid w:val="00630DAE"/>
    <w:rsid w:val="006A1639"/>
    <w:rsid w:val="00734A86"/>
    <w:rsid w:val="00852EA1"/>
    <w:rsid w:val="008D027C"/>
    <w:rsid w:val="00A31FFD"/>
    <w:rsid w:val="00A617A6"/>
    <w:rsid w:val="00AA1D8D"/>
    <w:rsid w:val="00B47730"/>
    <w:rsid w:val="00BF07CB"/>
    <w:rsid w:val="00C17DD1"/>
    <w:rsid w:val="00CB0664"/>
    <w:rsid w:val="00CE78F3"/>
    <w:rsid w:val="00D251A9"/>
    <w:rsid w:val="00D57A5C"/>
    <w:rsid w:val="00D806DA"/>
    <w:rsid w:val="00DC1401"/>
    <w:rsid w:val="00DC21A8"/>
    <w:rsid w:val="00E03B2E"/>
    <w:rsid w:val="00F27787"/>
    <w:rsid w:val="00FB701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5197C4"/>
  <w14:defaultImageDpi w14:val="300"/>
  <w15:docId w15:val="{566211DE-E835-414C-9714-1F80EB5B9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A1639"/>
    <w:rPr>
      <w:color w:val="0000FF" w:themeColor="hyperlink"/>
      <w:u w:val="single"/>
    </w:rPr>
  </w:style>
  <w:style w:type="character" w:styleId="UnresolvedMention">
    <w:name w:val="Unresolved Mention"/>
    <w:basedOn w:val="DefaultParagraphFont"/>
    <w:uiPriority w:val="99"/>
    <w:semiHidden/>
    <w:unhideWhenUsed/>
    <w:rsid w:val="006A1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55295">
      <w:bodyDiv w:val="1"/>
      <w:marLeft w:val="0"/>
      <w:marRight w:val="0"/>
      <w:marTop w:val="0"/>
      <w:marBottom w:val="0"/>
      <w:divBdr>
        <w:top w:val="none" w:sz="0" w:space="0" w:color="auto"/>
        <w:left w:val="none" w:sz="0" w:space="0" w:color="auto"/>
        <w:bottom w:val="none" w:sz="0" w:space="0" w:color="auto"/>
        <w:right w:val="none" w:sz="0" w:space="0" w:color="auto"/>
      </w:divBdr>
      <w:divsChild>
        <w:div w:id="1308172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45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318380">
      <w:bodyDiv w:val="1"/>
      <w:marLeft w:val="0"/>
      <w:marRight w:val="0"/>
      <w:marTop w:val="0"/>
      <w:marBottom w:val="0"/>
      <w:divBdr>
        <w:top w:val="none" w:sz="0" w:space="0" w:color="auto"/>
        <w:left w:val="none" w:sz="0" w:space="0" w:color="auto"/>
        <w:bottom w:val="none" w:sz="0" w:space="0" w:color="auto"/>
        <w:right w:val="none" w:sz="0" w:space="0" w:color="auto"/>
      </w:divBdr>
    </w:div>
    <w:div w:id="235819016">
      <w:bodyDiv w:val="1"/>
      <w:marLeft w:val="0"/>
      <w:marRight w:val="0"/>
      <w:marTop w:val="0"/>
      <w:marBottom w:val="0"/>
      <w:divBdr>
        <w:top w:val="none" w:sz="0" w:space="0" w:color="auto"/>
        <w:left w:val="none" w:sz="0" w:space="0" w:color="auto"/>
        <w:bottom w:val="none" w:sz="0" w:space="0" w:color="auto"/>
        <w:right w:val="none" w:sz="0" w:space="0" w:color="auto"/>
      </w:divBdr>
      <w:divsChild>
        <w:div w:id="461731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199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7321774">
      <w:bodyDiv w:val="1"/>
      <w:marLeft w:val="0"/>
      <w:marRight w:val="0"/>
      <w:marTop w:val="0"/>
      <w:marBottom w:val="0"/>
      <w:divBdr>
        <w:top w:val="none" w:sz="0" w:space="0" w:color="auto"/>
        <w:left w:val="none" w:sz="0" w:space="0" w:color="auto"/>
        <w:bottom w:val="none" w:sz="0" w:space="0" w:color="auto"/>
        <w:right w:val="none" w:sz="0" w:space="0" w:color="auto"/>
      </w:divBdr>
    </w:div>
    <w:div w:id="341320256">
      <w:bodyDiv w:val="1"/>
      <w:marLeft w:val="0"/>
      <w:marRight w:val="0"/>
      <w:marTop w:val="0"/>
      <w:marBottom w:val="0"/>
      <w:divBdr>
        <w:top w:val="none" w:sz="0" w:space="0" w:color="auto"/>
        <w:left w:val="none" w:sz="0" w:space="0" w:color="auto"/>
        <w:bottom w:val="none" w:sz="0" w:space="0" w:color="auto"/>
        <w:right w:val="none" w:sz="0" w:space="0" w:color="auto"/>
      </w:divBdr>
      <w:divsChild>
        <w:div w:id="19604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8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0831123">
      <w:bodyDiv w:val="1"/>
      <w:marLeft w:val="0"/>
      <w:marRight w:val="0"/>
      <w:marTop w:val="0"/>
      <w:marBottom w:val="0"/>
      <w:divBdr>
        <w:top w:val="none" w:sz="0" w:space="0" w:color="auto"/>
        <w:left w:val="none" w:sz="0" w:space="0" w:color="auto"/>
        <w:bottom w:val="none" w:sz="0" w:space="0" w:color="auto"/>
        <w:right w:val="none" w:sz="0" w:space="0" w:color="auto"/>
      </w:divBdr>
    </w:div>
    <w:div w:id="666131321">
      <w:bodyDiv w:val="1"/>
      <w:marLeft w:val="0"/>
      <w:marRight w:val="0"/>
      <w:marTop w:val="0"/>
      <w:marBottom w:val="0"/>
      <w:divBdr>
        <w:top w:val="none" w:sz="0" w:space="0" w:color="auto"/>
        <w:left w:val="none" w:sz="0" w:space="0" w:color="auto"/>
        <w:bottom w:val="none" w:sz="0" w:space="0" w:color="auto"/>
        <w:right w:val="none" w:sz="0" w:space="0" w:color="auto"/>
      </w:divBdr>
    </w:div>
    <w:div w:id="714039948">
      <w:bodyDiv w:val="1"/>
      <w:marLeft w:val="0"/>
      <w:marRight w:val="0"/>
      <w:marTop w:val="0"/>
      <w:marBottom w:val="0"/>
      <w:divBdr>
        <w:top w:val="none" w:sz="0" w:space="0" w:color="auto"/>
        <w:left w:val="none" w:sz="0" w:space="0" w:color="auto"/>
        <w:bottom w:val="none" w:sz="0" w:space="0" w:color="auto"/>
        <w:right w:val="none" w:sz="0" w:space="0" w:color="auto"/>
      </w:divBdr>
      <w:divsChild>
        <w:div w:id="313073820">
          <w:blockQuote w:val="1"/>
          <w:marLeft w:val="720"/>
          <w:marRight w:val="720"/>
          <w:marTop w:val="100"/>
          <w:marBottom w:val="100"/>
          <w:divBdr>
            <w:top w:val="none" w:sz="0" w:space="0" w:color="auto"/>
            <w:left w:val="none" w:sz="0" w:space="0" w:color="auto"/>
            <w:bottom w:val="none" w:sz="0" w:space="0" w:color="auto"/>
            <w:right w:val="none" w:sz="0" w:space="0" w:color="auto"/>
          </w:divBdr>
        </w:div>
        <w:div w:id="592590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4163828">
      <w:bodyDiv w:val="1"/>
      <w:marLeft w:val="0"/>
      <w:marRight w:val="0"/>
      <w:marTop w:val="0"/>
      <w:marBottom w:val="0"/>
      <w:divBdr>
        <w:top w:val="none" w:sz="0" w:space="0" w:color="auto"/>
        <w:left w:val="none" w:sz="0" w:space="0" w:color="auto"/>
        <w:bottom w:val="none" w:sz="0" w:space="0" w:color="auto"/>
        <w:right w:val="none" w:sz="0" w:space="0" w:color="auto"/>
      </w:divBdr>
      <w:divsChild>
        <w:div w:id="1525824037">
          <w:blockQuote w:val="1"/>
          <w:marLeft w:val="720"/>
          <w:marRight w:val="720"/>
          <w:marTop w:val="100"/>
          <w:marBottom w:val="100"/>
          <w:divBdr>
            <w:top w:val="none" w:sz="0" w:space="0" w:color="auto"/>
            <w:left w:val="none" w:sz="0" w:space="0" w:color="auto"/>
            <w:bottom w:val="none" w:sz="0" w:space="0" w:color="auto"/>
            <w:right w:val="none" w:sz="0" w:space="0" w:color="auto"/>
          </w:divBdr>
        </w:div>
        <w:div w:id="7500841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4340753">
      <w:bodyDiv w:val="1"/>
      <w:marLeft w:val="0"/>
      <w:marRight w:val="0"/>
      <w:marTop w:val="0"/>
      <w:marBottom w:val="0"/>
      <w:divBdr>
        <w:top w:val="none" w:sz="0" w:space="0" w:color="auto"/>
        <w:left w:val="none" w:sz="0" w:space="0" w:color="auto"/>
        <w:bottom w:val="none" w:sz="0" w:space="0" w:color="auto"/>
        <w:right w:val="none" w:sz="0" w:space="0" w:color="auto"/>
      </w:divBdr>
      <w:divsChild>
        <w:div w:id="729498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0663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618034">
      <w:bodyDiv w:val="1"/>
      <w:marLeft w:val="0"/>
      <w:marRight w:val="0"/>
      <w:marTop w:val="0"/>
      <w:marBottom w:val="0"/>
      <w:divBdr>
        <w:top w:val="none" w:sz="0" w:space="0" w:color="auto"/>
        <w:left w:val="none" w:sz="0" w:space="0" w:color="auto"/>
        <w:bottom w:val="none" w:sz="0" w:space="0" w:color="auto"/>
        <w:right w:val="none" w:sz="0" w:space="0" w:color="auto"/>
      </w:divBdr>
    </w:div>
    <w:div w:id="1153642255">
      <w:bodyDiv w:val="1"/>
      <w:marLeft w:val="0"/>
      <w:marRight w:val="0"/>
      <w:marTop w:val="0"/>
      <w:marBottom w:val="0"/>
      <w:divBdr>
        <w:top w:val="none" w:sz="0" w:space="0" w:color="auto"/>
        <w:left w:val="none" w:sz="0" w:space="0" w:color="auto"/>
        <w:bottom w:val="none" w:sz="0" w:space="0" w:color="auto"/>
        <w:right w:val="none" w:sz="0" w:space="0" w:color="auto"/>
      </w:divBdr>
      <w:divsChild>
        <w:div w:id="843209952">
          <w:blockQuote w:val="1"/>
          <w:marLeft w:val="720"/>
          <w:marRight w:val="720"/>
          <w:marTop w:val="100"/>
          <w:marBottom w:val="100"/>
          <w:divBdr>
            <w:top w:val="none" w:sz="0" w:space="0" w:color="auto"/>
            <w:left w:val="none" w:sz="0" w:space="0" w:color="auto"/>
            <w:bottom w:val="none" w:sz="0" w:space="0" w:color="auto"/>
            <w:right w:val="none" w:sz="0" w:space="0" w:color="auto"/>
          </w:divBdr>
        </w:div>
        <w:div w:id="770391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663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83659510">
          <w:blockQuote w:val="1"/>
          <w:marLeft w:val="720"/>
          <w:marRight w:val="720"/>
          <w:marTop w:val="100"/>
          <w:marBottom w:val="100"/>
          <w:divBdr>
            <w:top w:val="none" w:sz="0" w:space="0" w:color="auto"/>
            <w:left w:val="none" w:sz="0" w:space="0" w:color="auto"/>
            <w:bottom w:val="none" w:sz="0" w:space="0" w:color="auto"/>
            <w:right w:val="none" w:sz="0" w:space="0" w:color="auto"/>
          </w:divBdr>
        </w:div>
        <w:div w:id="821233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2572194">
      <w:bodyDiv w:val="1"/>
      <w:marLeft w:val="0"/>
      <w:marRight w:val="0"/>
      <w:marTop w:val="0"/>
      <w:marBottom w:val="0"/>
      <w:divBdr>
        <w:top w:val="none" w:sz="0" w:space="0" w:color="auto"/>
        <w:left w:val="none" w:sz="0" w:space="0" w:color="auto"/>
        <w:bottom w:val="none" w:sz="0" w:space="0" w:color="auto"/>
        <w:right w:val="none" w:sz="0" w:space="0" w:color="auto"/>
      </w:divBdr>
    </w:div>
    <w:div w:id="1310525244">
      <w:bodyDiv w:val="1"/>
      <w:marLeft w:val="0"/>
      <w:marRight w:val="0"/>
      <w:marTop w:val="0"/>
      <w:marBottom w:val="0"/>
      <w:divBdr>
        <w:top w:val="none" w:sz="0" w:space="0" w:color="auto"/>
        <w:left w:val="none" w:sz="0" w:space="0" w:color="auto"/>
        <w:bottom w:val="none" w:sz="0" w:space="0" w:color="auto"/>
        <w:right w:val="none" w:sz="0" w:space="0" w:color="auto"/>
      </w:divBdr>
    </w:div>
    <w:div w:id="1445267037">
      <w:bodyDiv w:val="1"/>
      <w:marLeft w:val="0"/>
      <w:marRight w:val="0"/>
      <w:marTop w:val="0"/>
      <w:marBottom w:val="0"/>
      <w:divBdr>
        <w:top w:val="none" w:sz="0" w:space="0" w:color="auto"/>
        <w:left w:val="none" w:sz="0" w:space="0" w:color="auto"/>
        <w:bottom w:val="none" w:sz="0" w:space="0" w:color="auto"/>
        <w:right w:val="none" w:sz="0" w:space="0" w:color="auto"/>
      </w:divBdr>
      <w:divsChild>
        <w:div w:id="419912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5475851">
      <w:bodyDiv w:val="1"/>
      <w:marLeft w:val="0"/>
      <w:marRight w:val="0"/>
      <w:marTop w:val="0"/>
      <w:marBottom w:val="0"/>
      <w:divBdr>
        <w:top w:val="none" w:sz="0" w:space="0" w:color="auto"/>
        <w:left w:val="none" w:sz="0" w:space="0" w:color="auto"/>
        <w:bottom w:val="none" w:sz="0" w:space="0" w:color="auto"/>
        <w:right w:val="none" w:sz="0" w:space="0" w:color="auto"/>
      </w:divBdr>
      <w:divsChild>
        <w:div w:id="554044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369106">
          <w:blockQuote w:val="1"/>
          <w:marLeft w:val="720"/>
          <w:marRight w:val="720"/>
          <w:marTop w:val="100"/>
          <w:marBottom w:val="100"/>
          <w:divBdr>
            <w:top w:val="none" w:sz="0" w:space="0" w:color="auto"/>
            <w:left w:val="none" w:sz="0" w:space="0" w:color="auto"/>
            <w:bottom w:val="none" w:sz="0" w:space="0" w:color="auto"/>
            <w:right w:val="none" w:sz="0" w:space="0" w:color="auto"/>
          </w:divBdr>
        </w:div>
        <w:div w:id="882333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828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509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9099125">
      <w:bodyDiv w:val="1"/>
      <w:marLeft w:val="0"/>
      <w:marRight w:val="0"/>
      <w:marTop w:val="0"/>
      <w:marBottom w:val="0"/>
      <w:divBdr>
        <w:top w:val="none" w:sz="0" w:space="0" w:color="auto"/>
        <w:left w:val="none" w:sz="0" w:space="0" w:color="auto"/>
        <w:bottom w:val="none" w:sz="0" w:space="0" w:color="auto"/>
        <w:right w:val="none" w:sz="0" w:space="0" w:color="auto"/>
      </w:divBdr>
      <w:divsChild>
        <w:div w:id="1204440795">
          <w:blockQuote w:val="1"/>
          <w:marLeft w:val="720"/>
          <w:marRight w:val="720"/>
          <w:marTop w:val="100"/>
          <w:marBottom w:val="100"/>
          <w:divBdr>
            <w:top w:val="none" w:sz="0" w:space="0" w:color="auto"/>
            <w:left w:val="none" w:sz="0" w:space="0" w:color="auto"/>
            <w:bottom w:val="none" w:sz="0" w:space="0" w:color="auto"/>
            <w:right w:val="none" w:sz="0" w:space="0" w:color="auto"/>
          </w:divBdr>
        </w:div>
        <w:div w:id="958032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9808117">
      <w:bodyDiv w:val="1"/>
      <w:marLeft w:val="0"/>
      <w:marRight w:val="0"/>
      <w:marTop w:val="0"/>
      <w:marBottom w:val="0"/>
      <w:divBdr>
        <w:top w:val="none" w:sz="0" w:space="0" w:color="auto"/>
        <w:left w:val="none" w:sz="0" w:space="0" w:color="auto"/>
        <w:bottom w:val="none" w:sz="0" w:space="0" w:color="auto"/>
        <w:right w:val="none" w:sz="0" w:space="0" w:color="auto"/>
      </w:divBdr>
      <w:divsChild>
        <w:div w:id="1870684016">
          <w:marLeft w:val="144"/>
          <w:marRight w:val="0"/>
          <w:marTop w:val="240"/>
          <w:marBottom w:val="40"/>
          <w:divBdr>
            <w:top w:val="none" w:sz="0" w:space="0" w:color="auto"/>
            <w:left w:val="none" w:sz="0" w:space="0" w:color="auto"/>
            <w:bottom w:val="none" w:sz="0" w:space="0" w:color="auto"/>
            <w:right w:val="none" w:sz="0" w:space="0" w:color="auto"/>
          </w:divBdr>
        </w:div>
      </w:divsChild>
    </w:div>
    <w:div w:id="1850218088">
      <w:bodyDiv w:val="1"/>
      <w:marLeft w:val="0"/>
      <w:marRight w:val="0"/>
      <w:marTop w:val="0"/>
      <w:marBottom w:val="0"/>
      <w:divBdr>
        <w:top w:val="none" w:sz="0" w:space="0" w:color="auto"/>
        <w:left w:val="none" w:sz="0" w:space="0" w:color="auto"/>
        <w:bottom w:val="none" w:sz="0" w:space="0" w:color="auto"/>
        <w:right w:val="none" w:sz="0" w:space="0" w:color="auto"/>
      </w:divBdr>
      <w:divsChild>
        <w:div w:id="1992558644">
          <w:blockQuote w:val="1"/>
          <w:marLeft w:val="720"/>
          <w:marRight w:val="720"/>
          <w:marTop w:val="100"/>
          <w:marBottom w:val="100"/>
          <w:divBdr>
            <w:top w:val="none" w:sz="0" w:space="0" w:color="auto"/>
            <w:left w:val="none" w:sz="0" w:space="0" w:color="auto"/>
            <w:bottom w:val="none" w:sz="0" w:space="0" w:color="auto"/>
            <w:right w:val="none" w:sz="0" w:space="0" w:color="auto"/>
          </w:divBdr>
        </w:div>
        <w:div w:id="725185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8638407">
      <w:bodyDiv w:val="1"/>
      <w:marLeft w:val="0"/>
      <w:marRight w:val="0"/>
      <w:marTop w:val="0"/>
      <w:marBottom w:val="0"/>
      <w:divBdr>
        <w:top w:val="none" w:sz="0" w:space="0" w:color="auto"/>
        <w:left w:val="none" w:sz="0" w:space="0" w:color="auto"/>
        <w:bottom w:val="none" w:sz="0" w:space="0" w:color="auto"/>
        <w:right w:val="none" w:sz="0" w:space="0" w:color="auto"/>
      </w:divBdr>
    </w:div>
    <w:div w:id="1957715873">
      <w:bodyDiv w:val="1"/>
      <w:marLeft w:val="0"/>
      <w:marRight w:val="0"/>
      <w:marTop w:val="0"/>
      <w:marBottom w:val="0"/>
      <w:divBdr>
        <w:top w:val="none" w:sz="0" w:space="0" w:color="auto"/>
        <w:left w:val="none" w:sz="0" w:space="0" w:color="auto"/>
        <w:bottom w:val="none" w:sz="0" w:space="0" w:color="auto"/>
        <w:right w:val="none" w:sz="0" w:space="0" w:color="auto"/>
      </w:divBdr>
    </w:div>
    <w:div w:id="2030569045">
      <w:bodyDiv w:val="1"/>
      <w:marLeft w:val="0"/>
      <w:marRight w:val="0"/>
      <w:marTop w:val="0"/>
      <w:marBottom w:val="0"/>
      <w:divBdr>
        <w:top w:val="none" w:sz="0" w:space="0" w:color="auto"/>
        <w:left w:val="none" w:sz="0" w:space="0" w:color="auto"/>
        <w:bottom w:val="none" w:sz="0" w:space="0" w:color="auto"/>
        <w:right w:val="none" w:sz="0" w:space="0" w:color="auto"/>
      </w:divBdr>
    </w:div>
    <w:div w:id="2044019762">
      <w:bodyDiv w:val="1"/>
      <w:marLeft w:val="0"/>
      <w:marRight w:val="0"/>
      <w:marTop w:val="0"/>
      <w:marBottom w:val="0"/>
      <w:divBdr>
        <w:top w:val="none" w:sz="0" w:space="0" w:color="auto"/>
        <w:left w:val="none" w:sz="0" w:space="0" w:color="auto"/>
        <w:bottom w:val="none" w:sz="0" w:space="0" w:color="auto"/>
        <w:right w:val="none" w:sz="0" w:space="0" w:color="auto"/>
      </w:divBdr>
      <w:divsChild>
        <w:div w:id="19647229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1976030729/fulltextPDF/F648CD1B461A483BPQ/2?accountid=130472&amp;sourcetype=Scholarly%20Journal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3968</Words>
  <Characters>24009</Characters>
  <Application>Microsoft Office Word</Application>
  <DocSecurity>0</DocSecurity>
  <Lines>381</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27888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 Dhaliwal</cp:lastModifiedBy>
  <cp:revision>2</cp:revision>
  <cp:lastPrinted>2025-04-27T21:02:00Z</cp:lastPrinted>
  <dcterms:created xsi:type="dcterms:W3CDTF">2025-04-29T13:31:00Z</dcterms:created>
  <dcterms:modified xsi:type="dcterms:W3CDTF">2025-04-29T13:31:00Z</dcterms:modified>
  <cp:category/>
</cp:coreProperties>
</file>