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F7FA7" w14:textId="77777777" w:rsidR="00F87522" w:rsidRDefault="00F87522" w:rsidP="00F87522">
      <w:pPr>
        <w:jc w:val="center"/>
        <w:rPr>
          <w:rFonts w:ascii="Times New Roman" w:hAnsi="Times New Roman" w:cs="Times New Roman"/>
          <w:b/>
          <w:bCs/>
          <w:sz w:val="32"/>
          <w:szCs w:val="32"/>
        </w:rPr>
      </w:pPr>
    </w:p>
    <w:p w14:paraId="6FFBD2D3" w14:textId="77777777" w:rsidR="00F87522" w:rsidRDefault="00F87522" w:rsidP="00F87522">
      <w:pPr>
        <w:jc w:val="center"/>
        <w:rPr>
          <w:rFonts w:ascii="Times New Roman" w:hAnsi="Times New Roman" w:cs="Times New Roman"/>
          <w:b/>
          <w:bCs/>
          <w:sz w:val="32"/>
          <w:szCs w:val="32"/>
        </w:rPr>
      </w:pPr>
    </w:p>
    <w:p w14:paraId="1D84F7B9" w14:textId="77777777" w:rsidR="00F87522" w:rsidRDefault="00F87522" w:rsidP="00F87522">
      <w:pPr>
        <w:jc w:val="center"/>
        <w:rPr>
          <w:rFonts w:ascii="Times New Roman" w:hAnsi="Times New Roman" w:cs="Times New Roman"/>
          <w:b/>
          <w:bCs/>
          <w:sz w:val="32"/>
          <w:szCs w:val="32"/>
        </w:rPr>
      </w:pPr>
    </w:p>
    <w:p w14:paraId="1C65364E" w14:textId="77777777" w:rsidR="00F87522" w:rsidRDefault="00F87522" w:rsidP="00F87522">
      <w:pPr>
        <w:jc w:val="center"/>
        <w:rPr>
          <w:rFonts w:ascii="Times New Roman" w:hAnsi="Times New Roman" w:cs="Times New Roman"/>
          <w:b/>
          <w:bCs/>
          <w:sz w:val="32"/>
          <w:szCs w:val="32"/>
        </w:rPr>
      </w:pPr>
    </w:p>
    <w:p w14:paraId="62AD1C1A" w14:textId="77777777" w:rsidR="00F87522" w:rsidRDefault="00F87522" w:rsidP="00F87522">
      <w:pPr>
        <w:jc w:val="center"/>
        <w:rPr>
          <w:rFonts w:ascii="Times New Roman" w:hAnsi="Times New Roman" w:cs="Times New Roman"/>
          <w:b/>
          <w:bCs/>
          <w:sz w:val="32"/>
          <w:szCs w:val="32"/>
        </w:rPr>
      </w:pPr>
    </w:p>
    <w:p w14:paraId="17E4A3C8" w14:textId="77777777" w:rsidR="00F87522" w:rsidRDefault="00F87522" w:rsidP="00F87522">
      <w:pPr>
        <w:jc w:val="center"/>
        <w:rPr>
          <w:rFonts w:ascii="Times New Roman" w:hAnsi="Times New Roman" w:cs="Times New Roman"/>
          <w:b/>
          <w:bCs/>
          <w:sz w:val="32"/>
          <w:szCs w:val="32"/>
        </w:rPr>
      </w:pPr>
    </w:p>
    <w:p w14:paraId="7BBE97F8" w14:textId="77777777" w:rsidR="00F87522" w:rsidRDefault="00F87522" w:rsidP="00F87522">
      <w:pPr>
        <w:jc w:val="center"/>
        <w:rPr>
          <w:rFonts w:ascii="Times New Roman" w:hAnsi="Times New Roman" w:cs="Times New Roman"/>
          <w:b/>
          <w:bCs/>
          <w:sz w:val="32"/>
          <w:szCs w:val="32"/>
        </w:rPr>
      </w:pPr>
    </w:p>
    <w:p w14:paraId="729F2988" w14:textId="77777777" w:rsidR="00F87522" w:rsidRDefault="00F87522" w:rsidP="00F87522">
      <w:pPr>
        <w:jc w:val="center"/>
        <w:rPr>
          <w:rFonts w:ascii="Times New Roman" w:hAnsi="Times New Roman" w:cs="Times New Roman"/>
          <w:b/>
          <w:bCs/>
          <w:sz w:val="32"/>
          <w:szCs w:val="32"/>
        </w:rPr>
      </w:pPr>
    </w:p>
    <w:p w14:paraId="639A67CA" w14:textId="77777777" w:rsidR="00F87522" w:rsidRDefault="00F87522" w:rsidP="00F87522">
      <w:pPr>
        <w:jc w:val="center"/>
        <w:rPr>
          <w:rFonts w:ascii="Times New Roman" w:hAnsi="Times New Roman" w:cs="Times New Roman"/>
          <w:b/>
          <w:bCs/>
          <w:sz w:val="32"/>
          <w:szCs w:val="32"/>
        </w:rPr>
      </w:pPr>
      <w:r w:rsidRPr="00F87522">
        <w:rPr>
          <w:rFonts w:ascii="Times New Roman" w:hAnsi="Times New Roman" w:cs="Times New Roman"/>
          <w:b/>
          <w:bCs/>
          <w:sz w:val="32"/>
          <w:szCs w:val="32"/>
        </w:rPr>
        <w:t xml:space="preserve">Component 2: Coursework: Essay </w:t>
      </w:r>
    </w:p>
    <w:p w14:paraId="6D48EB3C" w14:textId="77777777" w:rsidR="00F87522" w:rsidRDefault="00F87522">
      <w:pPr>
        <w:rPr>
          <w:rFonts w:ascii="Times New Roman" w:hAnsi="Times New Roman" w:cs="Times New Roman"/>
          <w:b/>
          <w:bCs/>
          <w:sz w:val="32"/>
          <w:szCs w:val="32"/>
        </w:rPr>
      </w:pPr>
      <w:r>
        <w:rPr>
          <w:rFonts w:ascii="Times New Roman" w:hAnsi="Times New Roman" w:cs="Times New Roman"/>
          <w:b/>
          <w:bCs/>
          <w:sz w:val="32"/>
          <w:szCs w:val="32"/>
        </w:rPr>
        <w:br w:type="page"/>
      </w:r>
    </w:p>
    <w:sdt>
      <w:sdtPr>
        <w:id w:val="-2145647713"/>
        <w:docPartObj>
          <w:docPartGallery w:val="Table of Contents"/>
          <w:docPartUnique/>
        </w:docPartObj>
      </w:sdtPr>
      <w:sdtEndPr>
        <w:rPr>
          <w:rFonts w:ascii="Arial" w:eastAsia="Arial" w:hAnsi="Arial" w:cs="Arial"/>
          <w:b/>
          <w:bCs/>
          <w:noProof/>
          <w:color w:val="auto"/>
          <w:sz w:val="22"/>
          <w:szCs w:val="22"/>
          <w:lang w:val="en" w:eastAsia="en-IN"/>
        </w:rPr>
      </w:sdtEndPr>
      <w:sdtContent>
        <w:p w14:paraId="7D0C5816" w14:textId="15963F7D" w:rsidR="00F87522" w:rsidRPr="00F87522" w:rsidRDefault="00F87522" w:rsidP="00F87522">
          <w:pPr>
            <w:pStyle w:val="TOCHeading"/>
            <w:spacing w:line="360" w:lineRule="auto"/>
            <w:jc w:val="center"/>
            <w:rPr>
              <w:rFonts w:ascii="Times New Roman" w:hAnsi="Times New Roman" w:cs="Times New Roman"/>
              <w:b/>
              <w:bCs/>
              <w:color w:val="auto"/>
              <w:sz w:val="28"/>
              <w:szCs w:val="28"/>
            </w:rPr>
          </w:pPr>
          <w:r w:rsidRPr="00F87522">
            <w:rPr>
              <w:rFonts w:ascii="Times New Roman" w:hAnsi="Times New Roman" w:cs="Times New Roman"/>
              <w:b/>
              <w:bCs/>
              <w:color w:val="auto"/>
              <w:sz w:val="28"/>
              <w:szCs w:val="28"/>
            </w:rPr>
            <w:t>Table of Contents</w:t>
          </w:r>
        </w:p>
        <w:p w14:paraId="087A5F1B" w14:textId="55B1D5FA" w:rsidR="00F87522" w:rsidRPr="00F87522" w:rsidRDefault="00F87522" w:rsidP="00F87522">
          <w:pPr>
            <w:pStyle w:val="TOC1"/>
            <w:tabs>
              <w:tab w:val="right" w:leader="dot" w:pos="9350"/>
            </w:tabs>
            <w:spacing w:line="360" w:lineRule="auto"/>
            <w:jc w:val="both"/>
            <w:rPr>
              <w:rFonts w:ascii="Times New Roman" w:hAnsi="Times New Roman" w:cs="Times New Roman"/>
              <w:noProof/>
              <w:sz w:val="24"/>
              <w:szCs w:val="24"/>
            </w:rPr>
          </w:pPr>
          <w:r w:rsidRPr="00F87522">
            <w:rPr>
              <w:rFonts w:ascii="Times New Roman" w:hAnsi="Times New Roman" w:cs="Times New Roman"/>
              <w:sz w:val="24"/>
              <w:szCs w:val="24"/>
            </w:rPr>
            <w:fldChar w:fldCharType="begin"/>
          </w:r>
          <w:r w:rsidRPr="00F87522">
            <w:rPr>
              <w:rFonts w:ascii="Times New Roman" w:hAnsi="Times New Roman" w:cs="Times New Roman"/>
              <w:sz w:val="24"/>
              <w:szCs w:val="24"/>
            </w:rPr>
            <w:instrText xml:space="preserve"> TOC \o "1-3" \h \z \u </w:instrText>
          </w:r>
          <w:r w:rsidRPr="00F87522">
            <w:rPr>
              <w:rFonts w:ascii="Times New Roman" w:hAnsi="Times New Roman" w:cs="Times New Roman"/>
              <w:sz w:val="24"/>
              <w:szCs w:val="24"/>
            </w:rPr>
            <w:fldChar w:fldCharType="separate"/>
          </w:r>
          <w:hyperlink w:anchor="_Toc152189116" w:history="1">
            <w:r w:rsidRPr="00F87522">
              <w:rPr>
                <w:rStyle w:val="Hyperlink"/>
                <w:rFonts w:ascii="Times New Roman" w:hAnsi="Times New Roman" w:cs="Times New Roman"/>
                <w:noProof/>
                <w:sz w:val="24"/>
                <w:szCs w:val="24"/>
                <w:highlight w:val="white"/>
                <w:lang w:val="en-GB"/>
              </w:rPr>
              <w:t>Introduction</w:t>
            </w:r>
            <w:r w:rsidRPr="00F87522">
              <w:rPr>
                <w:rFonts w:ascii="Times New Roman" w:hAnsi="Times New Roman" w:cs="Times New Roman"/>
                <w:noProof/>
                <w:webHidden/>
                <w:sz w:val="24"/>
                <w:szCs w:val="24"/>
              </w:rPr>
              <w:tab/>
            </w:r>
            <w:r w:rsidRPr="00F87522">
              <w:rPr>
                <w:rFonts w:ascii="Times New Roman" w:hAnsi="Times New Roman" w:cs="Times New Roman"/>
                <w:noProof/>
                <w:webHidden/>
                <w:sz w:val="24"/>
                <w:szCs w:val="24"/>
              </w:rPr>
              <w:fldChar w:fldCharType="begin"/>
            </w:r>
            <w:r w:rsidRPr="00F87522">
              <w:rPr>
                <w:rFonts w:ascii="Times New Roman" w:hAnsi="Times New Roman" w:cs="Times New Roman"/>
                <w:noProof/>
                <w:webHidden/>
                <w:sz w:val="24"/>
                <w:szCs w:val="24"/>
              </w:rPr>
              <w:instrText xml:space="preserve"> PAGEREF _Toc152189116 \h </w:instrText>
            </w:r>
            <w:r w:rsidRPr="00F87522">
              <w:rPr>
                <w:rFonts w:ascii="Times New Roman" w:hAnsi="Times New Roman" w:cs="Times New Roman"/>
                <w:noProof/>
                <w:webHidden/>
                <w:sz w:val="24"/>
                <w:szCs w:val="24"/>
              </w:rPr>
            </w:r>
            <w:r w:rsidRPr="00F87522">
              <w:rPr>
                <w:rFonts w:ascii="Times New Roman" w:hAnsi="Times New Roman" w:cs="Times New Roman"/>
                <w:noProof/>
                <w:webHidden/>
                <w:sz w:val="24"/>
                <w:szCs w:val="24"/>
              </w:rPr>
              <w:fldChar w:fldCharType="separate"/>
            </w:r>
            <w:r w:rsidRPr="00F87522">
              <w:rPr>
                <w:rFonts w:ascii="Times New Roman" w:hAnsi="Times New Roman" w:cs="Times New Roman"/>
                <w:noProof/>
                <w:webHidden/>
                <w:sz w:val="24"/>
                <w:szCs w:val="24"/>
              </w:rPr>
              <w:t>3</w:t>
            </w:r>
            <w:r w:rsidRPr="00F87522">
              <w:rPr>
                <w:rFonts w:ascii="Times New Roman" w:hAnsi="Times New Roman" w:cs="Times New Roman"/>
                <w:noProof/>
                <w:webHidden/>
                <w:sz w:val="24"/>
                <w:szCs w:val="24"/>
              </w:rPr>
              <w:fldChar w:fldCharType="end"/>
            </w:r>
          </w:hyperlink>
        </w:p>
        <w:p w14:paraId="599F449B" w14:textId="394BCC00" w:rsidR="00F87522" w:rsidRPr="00F87522" w:rsidRDefault="00F87522" w:rsidP="00F87522">
          <w:pPr>
            <w:pStyle w:val="TOC1"/>
            <w:tabs>
              <w:tab w:val="right" w:leader="dot" w:pos="9350"/>
            </w:tabs>
            <w:spacing w:line="360" w:lineRule="auto"/>
            <w:jc w:val="both"/>
            <w:rPr>
              <w:rFonts w:ascii="Times New Roman" w:hAnsi="Times New Roman" w:cs="Times New Roman"/>
              <w:noProof/>
              <w:sz w:val="24"/>
              <w:szCs w:val="24"/>
            </w:rPr>
          </w:pPr>
          <w:hyperlink w:anchor="_Toc152189117" w:history="1">
            <w:r w:rsidRPr="00F87522">
              <w:rPr>
                <w:rStyle w:val="Hyperlink"/>
                <w:rFonts w:ascii="Times New Roman" w:hAnsi="Times New Roman" w:cs="Times New Roman"/>
                <w:noProof/>
                <w:sz w:val="24"/>
                <w:szCs w:val="24"/>
                <w:highlight w:val="white"/>
                <w:lang w:val="en-GB"/>
              </w:rPr>
              <w:t>Discussion</w:t>
            </w:r>
            <w:r w:rsidRPr="00F87522">
              <w:rPr>
                <w:rFonts w:ascii="Times New Roman" w:hAnsi="Times New Roman" w:cs="Times New Roman"/>
                <w:noProof/>
                <w:webHidden/>
                <w:sz w:val="24"/>
                <w:szCs w:val="24"/>
              </w:rPr>
              <w:tab/>
            </w:r>
            <w:r w:rsidRPr="00F87522">
              <w:rPr>
                <w:rFonts w:ascii="Times New Roman" w:hAnsi="Times New Roman" w:cs="Times New Roman"/>
                <w:noProof/>
                <w:webHidden/>
                <w:sz w:val="24"/>
                <w:szCs w:val="24"/>
              </w:rPr>
              <w:fldChar w:fldCharType="begin"/>
            </w:r>
            <w:r w:rsidRPr="00F87522">
              <w:rPr>
                <w:rFonts w:ascii="Times New Roman" w:hAnsi="Times New Roman" w:cs="Times New Roman"/>
                <w:noProof/>
                <w:webHidden/>
                <w:sz w:val="24"/>
                <w:szCs w:val="24"/>
              </w:rPr>
              <w:instrText xml:space="preserve"> PAGEREF _Toc152189117 \h </w:instrText>
            </w:r>
            <w:r w:rsidRPr="00F87522">
              <w:rPr>
                <w:rFonts w:ascii="Times New Roman" w:hAnsi="Times New Roman" w:cs="Times New Roman"/>
                <w:noProof/>
                <w:webHidden/>
                <w:sz w:val="24"/>
                <w:szCs w:val="24"/>
              </w:rPr>
            </w:r>
            <w:r w:rsidRPr="00F87522">
              <w:rPr>
                <w:rFonts w:ascii="Times New Roman" w:hAnsi="Times New Roman" w:cs="Times New Roman"/>
                <w:noProof/>
                <w:webHidden/>
                <w:sz w:val="24"/>
                <w:szCs w:val="24"/>
              </w:rPr>
              <w:fldChar w:fldCharType="separate"/>
            </w:r>
            <w:r w:rsidRPr="00F87522">
              <w:rPr>
                <w:rFonts w:ascii="Times New Roman" w:hAnsi="Times New Roman" w:cs="Times New Roman"/>
                <w:noProof/>
                <w:webHidden/>
                <w:sz w:val="24"/>
                <w:szCs w:val="24"/>
              </w:rPr>
              <w:t>3</w:t>
            </w:r>
            <w:r w:rsidRPr="00F87522">
              <w:rPr>
                <w:rFonts w:ascii="Times New Roman" w:hAnsi="Times New Roman" w:cs="Times New Roman"/>
                <w:noProof/>
                <w:webHidden/>
                <w:sz w:val="24"/>
                <w:szCs w:val="24"/>
              </w:rPr>
              <w:fldChar w:fldCharType="end"/>
            </w:r>
          </w:hyperlink>
        </w:p>
        <w:p w14:paraId="4E17D82F" w14:textId="111AC6BE" w:rsidR="00F87522" w:rsidRPr="00F87522" w:rsidRDefault="00F87522" w:rsidP="00F87522">
          <w:pPr>
            <w:pStyle w:val="TOC1"/>
            <w:tabs>
              <w:tab w:val="right" w:leader="dot" w:pos="9350"/>
            </w:tabs>
            <w:spacing w:line="360" w:lineRule="auto"/>
            <w:jc w:val="both"/>
            <w:rPr>
              <w:rFonts w:ascii="Times New Roman" w:hAnsi="Times New Roman" w:cs="Times New Roman"/>
              <w:noProof/>
              <w:sz w:val="24"/>
              <w:szCs w:val="24"/>
            </w:rPr>
          </w:pPr>
          <w:hyperlink w:anchor="_Toc152189118" w:history="1">
            <w:r w:rsidRPr="00F87522">
              <w:rPr>
                <w:rStyle w:val="Hyperlink"/>
                <w:rFonts w:ascii="Times New Roman" w:hAnsi="Times New Roman" w:cs="Times New Roman"/>
                <w:noProof/>
                <w:sz w:val="24"/>
                <w:szCs w:val="24"/>
                <w:highlight w:val="white"/>
                <w:lang w:val="en-GB"/>
              </w:rPr>
              <w:t>Conclusion</w:t>
            </w:r>
            <w:r w:rsidRPr="00F87522">
              <w:rPr>
                <w:rFonts w:ascii="Times New Roman" w:hAnsi="Times New Roman" w:cs="Times New Roman"/>
                <w:noProof/>
                <w:webHidden/>
                <w:sz w:val="24"/>
                <w:szCs w:val="24"/>
              </w:rPr>
              <w:tab/>
            </w:r>
            <w:r w:rsidRPr="00F87522">
              <w:rPr>
                <w:rFonts w:ascii="Times New Roman" w:hAnsi="Times New Roman" w:cs="Times New Roman"/>
                <w:noProof/>
                <w:webHidden/>
                <w:sz w:val="24"/>
                <w:szCs w:val="24"/>
              </w:rPr>
              <w:fldChar w:fldCharType="begin"/>
            </w:r>
            <w:r w:rsidRPr="00F87522">
              <w:rPr>
                <w:rFonts w:ascii="Times New Roman" w:hAnsi="Times New Roman" w:cs="Times New Roman"/>
                <w:noProof/>
                <w:webHidden/>
                <w:sz w:val="24"/>
                <w:szCs w:val="24"/>
              </w:rPr>
              <w:instrText xml:space="preserve"> PAGEREF _Toc152189118 \h </w:instrText>
            </w:r>
            <w:r w:rsidRPr="00F87522">
              <w:rPr>
                <w:rFonts w:ascii="Times New Roman" w:hAnsi="Times New Roman" w:cs="Times New Roman"/>
                <w:noProof/>
                <w:webHidden/>
                <w:sz w:val="24"/>
                <w:szCs w:val="24"/>
              </w:rPr>
            </w:r>
            <w:r w:rsidRPr="00F87522">
              <w:rPr>
                <w:rFonts w:ascii="Times New Roman" w:hAnsi="Times New Roman" w:cs="Times New Roman"/>
                <w:noProof/>
                <w:webHidden/>
                <w:sz w:val="24"/>
                <w:szCs w:val="24"/>
              </w:rPr>
              <w:fldChar w:fldCharType="separate"/>
            </w:r>
            <w:r w:rsidRPr="00F87522">
              <w:rPr>
                <w:rFonts w:ascii="Times New Roman" w:hAnsi="Times New Roman" w:cs="Times New Roman"/>
                <w:noProof/>
                <w:webHidden/>
                <w:sz w:val="24"/>
                <w:szCs w:val="24"/>
              </w:rPr>
              <w:t>8</w:t>
            </w:r>
            <w:r w:rsidRPr="00F87522">
              <w:rPr>
                <w:rFonts w:ascii="Times New Roman" w:hAnsi="Times New Roman" w:cs="Times New Roman"/>
                <w:noProof/>
                <w:webHidden/>
                <w:sz w:val="24"/>
                <w:szCs w:val="24"/>
              </w:rPr>
              <w:fldChar w:fldCharType="end"/>
            </w:r>
          </w:hyperlink>
        </w:p>
        <w:p w14:paraId="03CD4FCE" w14:textId="797A1588" w:rsidR="00F87522" w:rsidRPr="00F87522" w:rsidRDefault="00F87522" w:rsidP="00F87522">
          <w:pPr>
            <w:pStyle w:val="TOC1"/>
            <w:tabs>
              <w:tab w:val="right" w:leader="dot" w:pos="9350"/>
            </w:tabs>
            <w:spacing w:line="360" w:lineRule="auto"/>
            <w:jc w:val="both"/>
            <w:rPr>
              <w:rFonts w:ascii="Times New Roman" w:hAnsi="Times New Roman" w:cs="Times New Roman"/>
              <w:noProof/>
              <w:sz w:val="24"/>
              <w:szCs w:val="24"/>
            </w:rPr>
          </w:pPr>
          <w:hyperlink w:anchor="_Toc152189119" w:history="1">
            <w:r w:rsidRPr="00F87522">
              <w:rPr>
                <w:rStyle w:val="Hyperlink"/>
                <w:rFonts w:ascii="Times New Roman" w:hAnsi="Times New Roman" w:cs="Times New Roman"/>
                <w:noProof/>
                <w:sz w:val="24"/>
                <w:szCs w:val="24"/>
                <w:highlight w:val="white"/>
                <w:lang w:val="en-GB"/>
              </w:rPr>
              <w:t>Reference List</w:t>
            </w:r>
            <w:r w:rsidRPr="00F87522">
              <w:rPr>
                <w:rFonts w:ascii="Times New Roman" w:hAnsi="Times New Roman" w:cs="Times New Roman"/>
                <w:noProof/>
                <w:webHidden/>
                <w:sz w:val="24"/>
                <w:szCs w:val="24"/>
              </w:rPr>
              <w:tab/>
            </w:r>
            <w:r w:rsidRPr="00F87522">
              <w:rPr>
                <w:rFonts w:ascii="Times New Roman" w:hAnsi="Times New Roman" w:cs="Times New Roman"/>
                <w:noProof/>
                <w:webHidden/>
                <w:sz w:val="24"/>
                <w:szCs w:val="24"/>
              </w:rPr>
              <w:fldChar w:fldCharType="begin"/>
            </w:r>
            <w:r w:rsidRPr="00F87522">
              <w:rPr>
                <w:rFonts w:ascii="Times New Roman" w:hAnsi="Times New Roman" w:cs="Times New Roman"/>
                <w:noProof/>
                <w:webHidden/>
                <w:sz w:val="24"/>
                <w:szCs w:val="24"/>
              </w:rPr>
              <w:instrText xml:space="preserve"> PAGEREF _Toc152189119 \h </w:instrText>
            </w:r>
            <w:r w:rsidRPr="00F87522">
              <w:rPr>
                <w:rFonts w:ascii="Times New Roman" w:hAnsi="Times New Roman" w:cs="Times New Roman"/>
                <w:noProof/>
                <w:webHidden/>
                <w:sz w:val="24"/>
                <w:szCs w:val="24"/>
              </w:rPr>
            </w:r>
            <w:r w:rsidRPr="00F87522">
              <w:rPr>
                <w:rFonts w:ascii="Times New Roman" w:hAnsi="Times New Roman" w:cs="Times New Roman"/>
                <w:noProof/>
                <w:webHidden/>
                <w:sz w:val="24"/>
                <w:szCs w:val="24"/>
              </w:rPr>
              <w:fldChar w:fldCharType="separate"/>
            </w:r>
            <w:r w:rsidRPr="00F87522">
              <w:rPr>
                <w:rFonts w:ascii="Times New Roman" w:hAnsi="Times New Roman" w:cs="Times New Roman"/>
                <w:noProof/>
                <w:webHidden/>
                <w:sz w:val="24"/>
                <w:szCs w:val="24"/>
              </w:rPr>
              <w:t>10</w:t>
            </w:r>
            <w:r w:rsidRPr="00F87522">
              <w:rPr>
                <w:rFonts w:ascii="Times New Roman" w:hAnsi="Times New Roman" w:cs="Times New Roman"/>
                <w:noProof/>
                <w:webHidden/>
                <w:sz w:val="24"/>
                <w:szCs w:val="24"/>
              </w:rPr>
              <w:fldChar w:fldCharType="end"/>
            </w:r>
          </w:hyperlink>
        </w:p>
        <w:p w14:paraId="5D9C4BD6" w14:textId="5B98F25A" w:rsidR="00F87522" w:rsidRDefault="00F87522" w:rsidP="00F87522">
          <w:pPr>
            <w:spacing w:line="360" w:lineRule="auto"/>
            <w:jc w:val="both"/>
          </w:pPr>
          <w:r w:rsidRPr="00F87522">
            <w:rPr>
              <w:rFonts w:ascii="Times New Roman" w:hAnsi="Times New Roman" w:cs="Times New Roman"/>
              <w:b/>
              <w:bCs/>
              <w:noProof/>
              <w:sz w:val="24"/>
              <w:szCs w:val="24"/>
            </w:rPr>
            <w:fldChar w:fldCharType="end"/>
          </w:r>
        </w:p>
      </w:sdtContent>
    </w:sdt>
    <w:p w14:paraId="73EE8286" w14:textId="358C9550" w:rsidR="00F87522" w:rsidRPr="00F87522" w:rsidRDefault="00F87522" w:rsidP="00F87522">
      <w:pPr>
        <w:jc w:val="center"/>
        <w:rPr>
          <w:rFonts w:ascii="Times New Roman" w:hAnsi="Times New Roman" w:cs="Times New Roman"/>
          <w:b/>
          <w:bCs/>
          <w:color w:val="000000" w:themeColor="text1"/>
          <w:sz w:val="32"/>
          <w:szCs w:val="32"/>
          <w:highlight w:val="white"/>
          <w:lang w:val="en-GB"/>
        </w:rPr>
      </w:pPr>
      <w:r w:rsidRPr="00F87522">
        <w:rPr>
          <w:rFonts w:ascii="Times New Roman" w:hAnsi="Times New Roman" w:cs="Times New Roman"/>
          <w:b/>
          <w:bCs/>
          <w:sz w:val="32"/>
          <w:szCs w:val="32"/>
          <w:highlight w:val="white"/>
          <w:lang w:val="en-GB"/>
        </w:rPr>
        <w:br w:type="page"/>
      </w:r>
    </w:p>
    <w:p w14:paraId="00000001" w14:textId="04134FF1" w:rsidR="004251F7" w:rsidRPr="001467A5" w:rsidRDefault="00000000" w:rsidP="00F87522">
      <w:pPr>
        <w:pStyle w:val="Heading1"/>
        <w:rPr>
          <w:highlight w:val="white"/>
          <w:lang w:val="en-GB"/>
        </w:rPr>
      </w:pPr>
      <w:bookmarkStart w:id="0" w:name="_Toc152189116"/>
      <w:r w:rsidRPr="001467A5">
        <w:rPr>
          <w:highlight w:val="white"/>
          <w:lang w:val="en-GB"/>
        </w:rPr>
        <w:lastRenderedPageBreak/>
        <w:t>Introduction</w:t>
      </w:r>
      <w:bookmarkEnd w:id="0"/>
      <w:r w:rsidRPr="001467A5">
        <w:rPr>
          <w:highlight w:val="white"/>
          <w:lang w:val="en-GB"/>
        </w:rPr>
        <w:t xml:space="preserve"> </w:t>
      </w:r>
    </w:p>
    <w:p w14:paraId="76D4C033" w14:textId="6DC0073F" w:rsidR="001467A5" w:rsidRDefault="001467A5">
      <w:pPr>
        <w:spacing w:after="240"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The Google Headquarter project in London, UK is an excellent example of global internet network giant and its devotion towards innovation and its positive impact on city’s ever-changing environment. This enormous program has a significant impact on the dynamic centre of London in term of physical and symbolic expansion which enrich the history, culture, and future attitude of this city</w:t>
      </w:r>
      <w:r w:rsidR="00000000" w:rsidRPr="001467A5">
        <w:rPr>
          <w:rFonts w:ascii="Times New Roman" w:eastAsia="Times New Roman" w:hAnsi="Times New Roman" w:cs="Times New Roman"/>
          <w:color w:val="222222"/>
          <w:sz w:val="24"/>
          <w:szCs w:val="24"/>
          <w:highlight w:val="white"/>
          <w:lang w:val="en-GB"/>
        </w:rPr>
        <w:t xml:space="preserve"> (Ambos </w:t>
      </w:r>
      <w:r w:rsidR="00000000" w:rsidRPr="001467A5">
        <w:rPr>
          <w:rFonts w:ascii="Times New Roman" w:eastAsia="Times New Roman" w:hAnsi="Times New Roman" w:cs="Times New Roman"/>
          <w:i/>
          <w:color w:val="222222"/>
          <w:sz w:val="24"/>
          <w:szCs w:val="24"/>
          <w:highlight w:val="white"/>
          <w:lang w:val="en-GB"/>
        </w:rPr>
        <w:t>et al.,</w:t>
      </w:r>
      <w:r w:rsidR="00000000" w:rsidRPr="001467A5">
        <w:rPr>
          <w:rFonts w:ascii="Times New Roman" w:eastAsia="Times New Roman" w:hAnsi="Times New Roman" w:cs="Times New Roman"/>
          <w:color w:val="222222"/>
          <w:sz w:val="24"/>
          <w:szCs w:val="24"/>
          <w:highlight w:val="white"/>
          <w:lang w:val="en-GB"/>
        </w:rPr>
        <w:t xml:space="preserve"> 2020., p. 932). </w:t>
      </w:r>
      <w:r w:rsidR="00517DF0">
        <w:rPr>
          <w:rFonts w:ascii="Times New Roman" w:eastAsia="Times New Roman" w:hAnsi="Times New Roman" w:cs="Times New Roman"/>
          <w:color w:val="222222"/>
          <w:sz w:val="24"/>
          <w:szCs w:val="24"/>
          <w:highlight w:val="white"/>
          <w:lang w:val="en-GB"/>
        </w:rPr>
        <w:t xml:space="preserve">Cutting-edge architecture, sustainable environmental practices, and redefining skyline are some major characteristics of this project in London, UK. The Google Headquarter project is also known for an excellent integration of innovation, creativity, technology, sustainability, cooperation in the country. </w:t>
      </w:r>
    </w:p>
    <w:p w14:paraId="1AB37568" w14:textId="2CB5BA76" w:rsidR="00517DF0" w:rsidRDefault="00517DF0">
      <w:pPr>
        <w:spacing w:after="240"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This project is an integration of architectural beauty, environment awareness related to sustainable practices, and cultural synthesis to structure the future of London and this project further encourages other project to adopt these qualities to achieve their strategic goal. The headquarter project is enthusiastic about the new norms of corporate environment stewardship, environment-friendly practices with green zones, vertical gardening, and minimising the negative ecological impact by reducing carbon footprint</w:t>
      </w:r>
      <w:r w:rsidR="00000000" w:rsidRPr="001467A5">
        <w:rPr>
          <w:rFonts w:ascii="Times New Roman" w:eastAsia="Times New Roman" w:hAnsi="Times New Roman" w:cs="Times New Roman"/>
          <w:color w:val="222222"/>
          <w:sz w:val="24"/>
          <w:szCs w:val="24"/>
          <w:highlight w:val="white"/>
          <w:lang w:val="en-GB"/>
        </w:rPr>
        <w:t xml:space="preserve"> (Morgan and Webb, 2020., p. 95). </w:t>
      </w:r>
      <w:r>
        <w:rPr>
          <w:rFonts w:ascii="Times New Roman" w:eastAsia="Times New Roman" w:hAnsi="Times New Roman" w:cs="Times New Roman"/>
          <w:color w:val="222222"/>
          <w:sz w:val="24"/>
          <w:szCs w:val="24"/>
          <w:highlight w:val="white"/>
          <w:lang w:val="en-GB"/>
        </w:rPr>
        <w:t xml:space="preserve">This project has a huge global impact in term of environment and technology and other global projects can easily balance these two powerful components to achieve their target and also not harming our previous environment. This essay highlights the potential of Google Headquarter project and strategies of these project creates a positive and long-term impact for other projects and set a balanced example to other projects. </w:t>
      </w:r>
    </w:p>
    <w:p w14:paraId="00000004" w14:textId="77777777" w:rsidR="004251F7" w:rsidRPr="001467A5" w:rsidRDefault="00000000" w:rsidP="00F87522">
      <w:pPr>
        <w:pStyle w:val="Heading1"/>
        <w:rPr>
          <w:highlight w:val="white"/>
          <w:lang w:val="en-GB"/>
        </w:rPr>
      </w:pPr>
      <w:bookmarkStart w:id="1" w:name="_Toc152189117"/>
      <w:r w:rsidRPr="001467A5">
        <w:rPr>
          <w:highlight w:val="white"/>
          <w:lang w:val="en-GB"/>
        </w:rPr>
        <w:t>Discussion</w:t>
      </w:r>
      <w:bookmarkEnd w:id="1"/>
    </w:p>
    <w:p w14:paraId="00000005" w14:textId="77777777" w:rsidR="004251F7" w:rsidRPr="001467A5" w:rsidRDefault="00000000">
      <w:pPr>
        <w:spacing w:after="240" w:line="360" w:lineRule="auto"/>
        <w:jc w:val="both"/>
        <w:rPr>
          <w:rFonts w:ascii="Times New Roman" w:eastAsia="Times New Roman" w:hAnsi="Times New Roman" w:cs="Times New Roman"/>
          <w:b/>
          <w:color w:val="222222"/>
          <w:sz w:val="24"/>
          <w:szCs w:val="24"/>
          <w:highlight w:val="white"/>
          <w:lang w:val="en-GB"/>
        </w:rPr>
      </w:pPr>
      <w:r w:rsidRPr="001467A5">
        <w:rPr>
          <w:rFonts w:ascii="Times New Roman" w:eastAsia="Times New Roman" w:hAnsi="Times New Roman" w:cs="Times New Roman"/>
          <w:b/>
          <w:color w:val="222222"/>
          <w:sz w:val="24"/>
          <w:szCs w:val="24"/>
          <w:highlight w:val="white"/>
          <w:lang w:val="en-GB"/>
        </w:rPr>
        <w:t>A detailed narrative of Google Headquarter Project, London, UK</w:t>
      </w:r>
    </w:p>
    <w:p w14:paraId="00000006" w14:textId="77777777" w:rsidR="004251F7" w:rsidRPr="001467A5" w:rsidRDefault="00000000">
      <w:pPr>
        <w:spacing w:after="240" w:line="360" w:lineRule="auto"/>
        <w:jc w:val="both"/>
        <w:rPr>
          <w:rFonts w:ascii="Times New Roman" w:eastAsia="Times New Roman" w:hAnsi="Times New Roman" w:cs="Times New Roman"/>
          <w:color w:val="222222"/>
          <w:sz w:val="24"/>
          <w:szCs w:val="24"/>
          <w:highlight w:val="white"/>
          <w:lang w:val="en-GB"/>
        </w:rPr>
      </w:pPr>
      <w:r w:rsidRPr="001467A5">
        <w:rPr>
          <w:rFonts w:ascii="Times New Roman" w:eastAsia="Times New Roman" w:hAnsi="Times New Roman" w:cs="Times New Roman"/>
          <w:color w:val="222222"/>
          <w:sz w:val="24"/>
          <w:szCs w:val="24"/>
          <w:highlight w:val="white"/>
          <w:lang w:val="en-GB"/>
        </w:rPr>
        <w:t xml:space="preserve">The Google Headquarters project in London is a unique blend of architectural creativity, technological capability, and a commitment to sustainability. As one looks at the concept for this iconic structure, it is clear that Google's intention goes beyond simple corporate expansion—it is a purposeful effort to mould the future of urban living and alter the relationship between offices and the surrounding community (Cooke, 2020., p. 24). The architectural design, which perfectly blends form and function, lies at the heart of the project's attraction. With its clean lines and modern </w:t>
      </w:r>
      <w:r w:rsidRPr="001467A5">
        <w:rPr>
          <w:rFonts w:ascii="Times New Roman" w:eastAsia="Times New Roman" w:hAnsi="Times New Roman" w:cs="Times New Roman"/>
          <w:color w:val="222222"/>
          <w:sz w:val="24"/>
          <w:szCs w:val="24"/>
          <w:highlight w:val="white"/>
          <w:lang w:val="en-GB"/>
        </w:rPr>
        <w:lastRenderedPageBreak/>
        <w:t>appearance, the structure exemplifies Google's ambition to creating a work environment that reflects the forward-thinking character of the computer industry. The use of open spaces, collaboration zones, and cutting-edge facilities indicates a knowledge of the changing dynamics of work culture. It is not enough to construct a structure; it is also necessary to cultivate an ecology that fosters creativity, cooperation, and employee well-being.</w:t>
      </w:r>
    </w:p>
    <w:p w14:paraId="00000007" w14:textId="09E36482" w:rsidR="004251F7" w:rsidRPr="001467A5" w:rsidRDefault="00000000">
      <w:pPr>
        <w:spacing w:after="240" w:line="360" w:lineRule="auto"/>
        <w:jc w:val="both"/>
        <w:rPr>
          <w:rFonts w:ascii="Times New Roman" w:eastAsia="Times New Roman" w:hAnsi="Times New Roman" w:cs="Times New Roman"/>
          <w:color w:val="222222"/>
          <w:sz w:val="24"/>
          <w:szCs w:val="24"/>
          <w:highlight w:val="white"/>
          <w:lang w:val="en-GB"/>
        </w:rPr>
      </w:pPr>
      <w:r w:rsidRPr="001467A5">
        <w:rPr>
          <w:rFonts w:ascii="Times New Roman" w:eastAsia="Times New Roman" w:hAnsi="Times New Roman" w:cs="Times New Roman"/>
          <w:color w:val="222222"/>
          <w:sz w:val="24"/>
          <w:szCs w:val="24"/>
          <w:highlight w:val="white"/>
          <w:lang w:val="en-GB"/>
        </w:rPr>
        <w:t>The Google Headquarters project in London covers a large area and includes an astonishing number of square metres dedicated to office spaces, recreational areas, and green spaces. The job opportunities created during the construction phase and the ensuing operational phase contribute significantly to the local economy. Furthermore, statistics on energy-efficient features, renewable energy sources, and trash reduction activities demonstrate the project's commitment to sustainability (Brill and Conte, 2020., p. 79). The incorporation of cutting-edge technologies, ranging from smart building systems to energy-efficient lighting, emphasises Google's commitment to reducing its environmental imprint. The project's impact on the local community is significant in addition to its architectural and statistical aspects. Google's presence in the heart of London not only cements the city's standing as a worldwide technology hub but also fosters a symbiotic relationship between the corporate behemoth and the local population. Community outreach programmes, collaborations with local businesses, and the building of public spaces all contribute to a sense of shared prosperity (</w:t>
      </w:r>
      <w:r w:rsidR="001467A5" w:rsidRPr="001467A5">
        <w:rPr>
          <w:rFonts w:ascii="Times New Roman" w:eastAsia="Times New Roman" w:hAnsi="Times New Roman" w:cs="Times New Roman"/>
          <w:color w:val="222222"/>
          <w:sz w:val="24"/>
          <w:szCs w:val="24"/>
          <w:highlight w:val="white"/>
          <w:lang w:val="en-GB"/>
        </w:rPr>
        <w:t>Harris, 2021</w:t>
      </w:r>
      <w:r w:rsidRPr="001467A5">
        <w:rPr>
          <w:rFonts w:ascii="Times New Roman" w:eastAsia="Times New Roman" w:hAnsi="Times New Roman" w:cs="Times New Roman"/>
          <w:color w:val="222222"/>
          <w:sz w:val="24"/>
          <w:szCs w:val="24"/>
          <w:highlight w:val="white"/>
          <w:lang w:val="en-GB"/>
        </w:rPr>
        <w:t xml:space="preserve">., p. 123). As a result, the project </w:t>
      </w:r>
      <w:r w:rsidR="001467A5" w:rsidRPr="001467A5">
        <w:rPr>
          <w:rFonts w:ascii="Times New Roman" w:eastAsia="Times New Roman" w:hAnsi="Times New Roman" w:cs="Times New Roman"/>
          <w:color w:val="222222"/>
          <w:sz w:val="24"/>
          <w:szCs w:val="24"/>
          <w:highlight w:val="white"/>
          <w:lang w:val="en-GB"/>
        </w:rPr>
        <w:t>catalyses</w:t>
      </w:r>
      <w:r w:rsidRPr="001467A5">
        <w:rPr>
          <w:rFonts w:ascii="Times New Roman" w:eastAsia="Times New Roman" w:hAnsi="Times New Roman" w:cs="Times New Roman"/>
          <w:color w:val="222222"/>
          <w:sz w:val="24"/>
          <w:szCs w:val="24"/>
          <w:highlight w:val="white"/>
          <w:lang w:val="en-GB"/>
        </w:rPr>
        <w:t xml:space="preserve"> constructive urban development, changing the neighbourhood into a vibrant and inclusive location that benefits both residents and professionals.</w:t>
      </w:r>
    </w:p>
    <w:p w14:paraId="00000008" w14:textId="19AA5E37" w:rsidR="004251F7" w:rsidRPr="001467A5" w:rsidRDefault="00000000">
      <w:pPr>
        <w:spacing w:after="240" w:line="360" w:lineRule="auto"/>
        <w:jc w:val="both"/>
        <w:rPr>
          <w:rFonts w:ascii="Times New Roman" w:eastAsia="Times New Roman" w:hAnsi="Times New Roman" w:cs="Times New Roman"/>
          <w:color w:val="222222"/>
          <w:sz w:val="24"/>
          <w:szCs w:val="24"/>
          <w:highlight w:val="white"/>
          <w:lang w:val="en-GB"/>
        </w:rPr>
      </w:pPr>
      <w:r w:rsidRPr="001467A5">
        <w:rPr>
          <w:rFonts w:ascii="Times New Roman" w:eastAsia="Times New Roman" w:hAnsi="Times New Roman" w:cs="Times New Roman"/>
          <w:color w:val="222222"/>
          <w:sz w:val="24"/>
          <w:szCs w:val="24"/>
          <w:highlight w:val="white"/>
          <w:lang w:val="en-GB"/>
        </w:rPr>
        <w:t xml:space="preserve">The Google Headquarters project in London has been fraught with difficulties and criticism. Some people are concerned about gentrification and the rising expense of living in the area. Addressing these concerns necessitates a delicate balance between business and community interests. It is, however, critical to recognise that the initiative also provides chances for skill development, education, and cultural enrichment (Sailer </w:t>
      </w:r>
      <w:r w:rsidRPr="001467A5">
        <w:rPr>
          <w:rFonts w:ascii="Times New Roman" w:eastAsia="Times New Roman" w:hAnsi="Times New Roman" w:cs="Times New Roman"/>
          <w:i/>
          <w:color w:val="222222"/>
          <w:sz w:val="24"/>
          <w:szCs w:val="24"/>
          <w:highlight w:val="white"/>
          <w:lang w:val="en-GB"/>
        </w:rPr>
        <w:t>et al.,</w:t>
      </w:r>
      <w:r w:rsidRPr="001467A5">
        <w:rPr>
          <w:rFonts w:ascii="Times New Roman" w:eastAsia="Times New Roman" w:hAnsi="Times New Roman" w:cs="Times New Roman"/>
          <w:color w:val="222222"/>
          <w:sz w:val="24"/>
          <w:szCs w:val="24"/>
          <w:highlight w:val="white"/>
          <w:lang w:val="en-GB"/>
        </w:rPr>
        <w:t xml:space="preserve"> 2021., p. 250058). Google's dedication to resolving these concerns through inclusive policy and community involvement is critical in managing the complicated dynamics of corporate expansion in a diverse and vibrant city like London. It can be summarised that the Google Headquarters project in London is a multidimensional endeavour that goes beyond walls and mortar. It exemplifies the changing nature of employment, the power of technology to transform urban landscapes, and the importance of </w:t>
      </w:r>
      <w:r w:rsidRPr="001467A5">
        <w:rPr>
          <w:rFonts w:ascii="Times New Roman" w:eastAsia="Times New Roman" w:hAnsi="Times New Roman" w:cs="Times New Roman"/>
          <w:color w:val="222222"/>
          <w:sz w:val="24"/>
          <w:szCs w:val="24"/>
          <w:highlight w:val="white"/>
          <w:lang w:val="en-GB"/>
        </w:rPr>
        <w:lastRenderedPageBreak/>
        <w:t>responsible corporate citizenship</w:t>
      </w:r>
      <w:r w:rsidR="001467A5">
        <w:rPr>
          <w:rFonts w:ascii="Times New Roman" w:eastAsia="Times New Roman" w:hAnsi="Times New Roman" w:cs="Times New Roman"/>
          <w:color w:val="222222"/>
          <w:sz w:val="24"/>
          <w:szCs w:val="24"/>
          <w:highlight w:val="white"/>
          <w:lang w:val="en-GB"/>
        </w:rPr>
        <w:t xml:space="preserve"> (</w:t>
      </w:r>
      <w:r w:rsidR="001467A5" w:rsidRPr="001467A5">
        <w:rPr>
          <w:rFonts w:ascii="Times New Roman" w:eastAsia="Times New Roman" w:hAnsi="Times New Roman" w:cs="Times New Roman"/>
          <w:color w:val="222222"/>
          <w:sz w:val="24"/>
          <w:szCs w:val="24"/>
          <w:highlight w:val="white"/>
          <w:lang w:val="en-GB"/>
        </w:rPr>
        <w:t xml:space="preserve">Ambos </w:t>
      </w:r>
      <w:r w:rsidR="001467A5" w:rsidRPr="001467A5">
        <w:rPr>
          <w:rFonts w:ascii="Times New Roman" w:eastAsia="Times New Roman" w:hAnsi="Times New Roman" w:cs="Times New Roman"/>
          <w:i/>
          <w:color w:val="222222"/>
          <w:sz w:val="24"/>
          <w:szCs w:val="24"/>
          <w:highlight w:val="white"/>
          <w:lang w:val="en-GB"/>
        </w:rPr>
        <w:t>et al.,</w:t>
      </w:r>
      <w:r w:rsidR="001467A5" w:rsidRPr="001467A5">
        <w:rPr>
          <w:rFonts w:ascii="Times New Roman" w:eastAsia="Times New Roman" w:hAnsi="Times New Roman" w:cs="Times New Roman"/>
          <w:color w:val="222222"/>
          <w:sz w:val="24"/>
          <w:szCs w:val="24"/>
          <w:highlight w:val="white"/>
          <w:lang w:val="en-GB"/>
        </w:rPr>
        <w:t xml:space="preserve"> 2020., p. 93</w:t>
      </w:r>
      <w:r w:rsidR="001467A5">
        <w:rPr>
          <w:rFonts w:ascii="Times New Roman" w:eastAsia="Times New Roman" w:hAnsi="Times New Roman" w:cs="Times New Roman"/>
          <w:color w:val="222222"/>
          <w:sz w:val="24"/>
          <w:szCs w:val="24"/>
          <w:highlight w:val="white"/>
          <w:lang w:val="en-GB"/>
        </w:rPr>
        <w:t>1)</w:t>
      </w:r>
      <w:r w:rsidRPr="001467A5">
        <w:rPr>
          <w:rFonts w:ascii="Times New Roman" w:eastAsia="Times New Roman" w:hAnsi="Times New Roman" w:cs="Times New Roman"/>
          <w:color w:val="222222"/>
          <w:sz w:val="24"/>
          <w:szCs w:val="24"/>
          <w:highlight w:val="white"/>
          <w:lang w:val="en-GB"/>
        </w:rPr>
        <w:t>. As the project progresses, it will not only change the London skyline, but will also leave a lasting legacy as a symbol of innovation, teamwork, and sustainable urban growth.</w:t>
      </w:r>
    </w:p>
    <w:p w14:paraId="00000009" w14:textId="77777777" w:rsidR="004251F7" w:rsidRPr="001467A5" w:rsidRDefault="00000000">
      <w:pPr>
        <w:spacing w:after="240" w:line="360" w:lineRule="auto"/>
        <w:jc w:val="both"/>
        <w:rPr>
          <w:rFonts w:ascii="Times New Roman" w:eastAsia="Times New Roman" w:hAnsi="Times New Roman" w:cs="Times New Roman"/>
          <w:b/>
          <w:color w:val="222222"/>
          <w:sz w:val="24"/>
          <w:szCs w:val="24"/>
          <w:highlight w:val="white"/>
          <w:lang w:val="en-GB"/>
        </w:rPr>
      </w:pPr>
      <w:r w:rsidRPr="001467A5">
        <w:rPr>
          <w:rFonts w:ascii="Times New Roman" w:eastAsia="Times New Roman" w:hAnsi="Times New Roman" w:cs="Times New Roman"/>
          <w:b/>
          <w:color w:val="222222"/>
          <w:sz w:val="24"/>
          <w:szCs w:val="24"/>
          <w:highlight w:val="white"/>
          <w:lang w:val="en-GB"/>
        </w:rPr>
        <w:t>Success or Failure of the Project with Justification</w:t>
      </w:r>
    </w:p>
    <w:p w14:paraId="0000000A" w14:textId="1B173B1A" w:rsidR="004251F7" w:rsidRPr="001467A5" w:rsidRDefault="00000000">
      <w:pPr>
        <w:spacing w:after="240" w:line="360" w:lineRule="auto"/>
        <w:jc w:val="both"/>
        <w:rPr>
          <w:rFonts w:ascii="Times New Roman" w:eastAsia="Times New Roman" w:hAnsi="Times New Roman" w:cs="Times New Roman"/>
          <w:color w:val="222222"/>
          <w:sz w:val="24"/>
          <w:szCs w:val="24"/>
          <w:highlight w:val="white"/>
          <w:lang w:val="en-GB"/>
        </w:rPr>
      </w:pPr>
      <w:r w:rsidRPr="001467A5">
        <w:rPr>
          <w:rFonts w:ascii="Times New Roman" w:eastAsia="Times New Roman" w:hAnsi="Times New Roman" w:cs="Times New Roman"/>
          <w:color w:val="222222"/>
          <w:sz w:val="24"/>
          <w:szCs w:val="24"/>
          <w:highlight w:val="white"/>
          <w:lang w:val="en-GB"/>
        </w:rPr>
        <w:t xml:space="preserve">The Google Headquarters project in London has enormous potential to </w:t>
      </w:r>
      <w:r w:rsidR="00F87522" w:rsidRPr="001467A5">
        <w:rPr>
          <w:rFonts w:ascii="Times New Roman" w:eastAsia="Times New Roman" w:hAnsi="Times New Roman" w:cs="Times New Roman"/>
          <w:color w:val="222222"/>
          <w:sz w:val="24"/>
          <w:szCs w:val="24"/>
          <w:highlight w:val="white"/>
          <w:lang w:val="en-GB"/>
        </w:rPr>
        <w:t>catalyse</w:t>
      </w:r>
      <w:r w:rsidRPr="001467A5">
        <w:rPr>
          <w:rFonts w:ascii="Times New Roman" w:eastAsia="Times New Roman" w:hAnsi="Times New Roman" w:cs="Times New Roman"/>
          <w:color w:val="222222"/>
          <w:sz w:val="24"/>
          <w:szCs w:val="24"/>
          <w:highlight w:val="white"/>
          <w:lang w:val="en-GB"/>
        </w:rPr>
        <w:t xml:space="preserve"> success in the UK's future IT economy. While the project is still in the works, multiple elements indicate that it will contribute to innovation, economic growth, and talent development in line with the trend of the country's digital sector. One major factor indicating the project's potential success is its role in stimulating innovation (Sujon, 2021., p. 234). The Google Headquarters is intended to be a focus for technical advancements, housing some of the industry's best minds. This concentration of expertise has the potential to create a ripple effect, encouraging an innovative culture that goes beyond the headquarters' walls. </w:t>
      </w:r>
      <w:r w:rsidRPr="001467A5">
        <w:rPr>
          <w:rFonts w:ascii="Times New Roman" w:eastAsia="Times New Roman" w:hAnsi="Times New Roman" w:cs="Times New Roman"/>
          <w:b/>
          <w:i/>
          <w:color w:val="222222"/>
          <w:sz w:val="24"/>
          <w:szCs w:val="24"/>
          <w:highlight w:val="white"/>
          <w:lang w:val="en-GB"/>
        </w:rPr>
        <w:t>Collaborative spaces, open forums,</w:t>
      </w:r>
      <w:r w:rsidRPr="001467A5">
        <w:rPr>
          <w:rFonts w:ascii="Times New Roman" w:eastAsia="Times New Roman" w:hAnsi="Times New Roman" w:cs="Times New Roman"/>
          <w:color w:val="222222"/>
          <w:sz w:val="24"/>
          <w:szCs w:val="24"/>
          <w:highlight w:val="white"/>
          <w:lang w:val="en-GB"/>
        </w:rPr>
        <w:t xml:space="preserve"> and a </w:t>
      </w:r>
      <w:r w:rsidRPr="001467A5">
        <w:rPr>
          <w:rFonts w:ascii="Times New Roman" w:eastAsia="Times New Roman" w:hAnsi="Times New Roman" w:cs="Times New Roman"/>
          <w:b/>
          <w:i/>
          <w:color w:val="222222"/>
          <w:sz w:val="24"/>
          <w:szCs w:val="24"/>
          <w:highlight w:val="white"/>
          <w:lang w:val="en-GB"/>
        </w:rPr>
        <w:t>dedication</w:t>
      </w:r>
      <w:r w:rsidRPr="001467A5">
        <w:rPr>
          <w:rFonts w:ascii="Times New Roman" w:eastAsia="Times New Roman" w:hAnsi="Times New Roman" w:cs="Times New Roman"/>
          <w:color w:val="222222"/>
          <w:sz w:val="24"/>
          <w:szCs w:val="24"/>
          <w:highlight w:val="white"/>
          <w:lang w:val="en-GB"/>
        </w:rPr>
        <w:t xml:space="preserve"> to research and development can fuel a surge in groundbreaking ideas and projects (Cooke, 2021., p. 46). Furthermore, the project has the potential to attract worldwide tech talent, thus cementing London's position as a global tech powerhouse. The presence of big technology players frequently attracts qualified workers looking for dynamic and interesting work settings. This infusion of talent has the potential to greatly contribute to the expansion and competitiveness of the UK's IT sector. Statistics on job creation, particularly in high-skilled professions, would provide insight into the project's influence on the local and national labour markets.</w:t>
      </w:r>
    </w:p>
    <w:p w14:paraId="0000000B" w14:textId="77777777" w:rsidR="004251F7" w:rsidRPr="001467A5" w:rsidRDefault="00000000">
      <w:pPr>
        <w:spacing w:after="240" w:line="360" w:lineRule="auto"/>
        <w:jc w:val="both"/>
        <w:rPr>
          <w:rFonts w:ascii="Times New Roman" w:eastAsia="Times New Roman" w:hAnsi="Times New Roman" w:cs="Times New Roman"/>
          <w:color w:val="222222"/>
          <w:sz w:val="24"/>
          <w:szCs w:val="24"/>
          <w:highlight w:val="white"/>
          <w:lang w:val="en-GB"/>
        </w:rPr>
      </w:pPr>
      <w:r w:rsidRPr="001467A5">
        <w:rPr>
          <w:rFonts w:ascii="Times New Roman" w:eastAsia="Times New Roman" w:hAnsi="Times New Roman" w:cs="Times New Roman"/>
          <w:color w:val="222222"/>
          <w:sz w:val="24"/>
          <w:szCs w:val="24"/>
          <w:highlight w:val="white"/>
          <w:lang w:val="en-GB"/>
        </w:rPr>
        <w:t xml:space="preserve">Furthermore, the Google Headquarters project emphasises sustainability and environmental stewardship. The adoption of eco-friendly practises in the project sets a beneficial precedent in an era when climate concerns are at the forefront of global agendas (Levy, 2021., p. 120). Energy efficiency, waste reduction, and the usage of renewable energy sources would emphasise the project's commitment to a sustainable future an important consideration for the IT industry, which is under increasing pressure to adopt green practises. Concerns have been raised about the danger of worsening social inequality and contributing to gentrification. Rising property values near innovation hubs might result in higher living costs, potentially displacing long-term inhabitants. Monitoring and addressing these concerns through inclusive policy and community engagement are critical (Verbeke and Yuan, 2020., p. 11). Statistics on the socioeconomic impact, such as </w:t>
      </w:r>
      <w:r w:rsidRPr="001467A5">
        <w:rPr>
          <w:rFonts w:ascii="Times New Roman" w:eastAsia="Times New Roman" w:hAnsi="Times New Roman" w:cs="Times New Roman"/>
          <w:color w:val="222222"/>
          <w:sz w:val="24"/>
          <w:szCs w:val="24"/>
          <w:highlight w:val="white"/>
          <w:lang w:val="en-GB"/>
        </w:rPr>
        <w:lastRenderedPageBreak/>
        <w:t>property value changes and demographic fluctuations, would provide insight into the project's impact on the local community. The ability of the Google Headquarters project to develop collaboration with local enterprises, startups, and educational institutions is critical to its success in contributing to the future IT industry of the UK (Joubert, 2023., p. 2269). Initiatives that promote skill development, education, and entrepreneurship can help to build a thriving ecosystem that benefits both the corporate behemoth and the broader tech community. Statistics on partnerships, instructional programmes, and the expansion of local businesses would indicate the project's contribution to cultivating a vibrant IT sector.</w:t>
      </w:r>
    </w:p>
    <w:p w14:paraId="0000000C" w14:textId="77777777" w:rsidR="004251F7" w:rsidRPr="001467A5" w:rsidRDefault="00000000">
      <w:pPr>
        <w:spacing w:after="240" w:line="360" w:lineRule="auto"/>
        <w:jc w:val="both"/>
        <w:rPr>
          <w:rFonts w:ascii="Times New Roman" w:eastAsia="Times New Roman" w:hAnsi="Times New Roman" w:cs="Times New Roman"/>
          <w:color w:val="222222"/>
          <w:sz w:val="24"/>
          <w:szCs w:val="24"/>
          <w:highlight w:val="white"/>
          <w:lang w:val="en-GB"/>
        </w:rPr>
      </w:pPr>
      <w:r w:rsidRPr="001467A5">
        <w:rPr>
          <w:rFonts w:ascii="Times New Roman" w:eastAsia="Times New Roman" w:hAnsi="Times New Roman" w:cs="Times New Roman"/>
          <w:color w:val="222222"/>
          <w:sz w:val="24"/>
          <w:szCs w:val="24"/>
          <w:highlight w:val="white"/>
          <w:lang w:val="en-GB"/>
        </w:rPr>
        <w:t>It can be summarised that, while it is too soon to judge the Google Headquarters project in London as a success or failure for the UK's future IT economy, its potential influence is significant. If handled properly, the project has the potential to move the country's digital economy ahead by stimulating innovation, attracting talent, and setting standards for sustainable practises. To assess its long-term implications on the local and national IT scene, it will be necessary to continuously monitor important metrics and indicators.</w:t>
      </w:r>
    </w:p>
    <w:p w14:paraId="0000000D" w14:textId="77777777" w:rsidR="004251F7" w:rsidRPr="001467A5" w:rsidRDefault="00000000">
      <w:pPr>
        <w:spacing w:after="240" w:line="360" w:lineRule="auto"/>
        <w:jc w:val="both"/>
        <w:rPr>
          <w:rFonts w:ascii="Times New Roman" w:eastAsia="Times New Roman" w:hAnsi="Times New Roman" w:cs="Times New Roman"/>
          <w:b/>
          <w:color w:val="222222"/>
          <w:sz w:val="24"/>
          <w:szCs w:val="24"/>
          <w:highlight w:val="white"/>
          <w:lang w:val="en-GB"/>
        </w:rPr>
      </w:pPr>
      <w:r w:rsidRPr="001467A5">
        <w:rPr>
          <w:rFonts w:ascii="Times New Roman" w:eastAsia="Times New Roman" w:hAnsi="Times New Roman" w:cs="Times New Roman"/>
          <w:b/>
          <w:color w:val="222222"/>
          <w:sz w:val="24"/>
          <w:szCs w:val="24"/>
          <w:highlight w:val="white"/>
          <w:lang w:val="en-GB"/>
        </w:rPr>
        <w:t>Justification</w:t>
      </w:r>
    </w:p>
    <w:p w14:paraId="0000000E" w14:textId="77777777" w:rsidR="004251F7" w:rsidRPr="001467A5" w:rsidRDefault="00000000">
      <w:pPr>
        <w:spacing w:after="240" w:line="360" w:lineRule="auto"/>
        <w:jc w:val="both"/>
        <w:rPr>
          <w:rFonts w:ascii="Times New Roman" w:eastAsia="Times New Roman" w:hAnsi="Times New Roman" w:cs="Times New Roman"/>
          <w:color w:val="222222"/>
          <w:sz w:val="24"/>
          <w:szCs w:val="24"/>
          <w:highlight w:val="white"/>
          <w:lang w:val="en-GB"/>
        </w:rPr>
      </w:pPr>
      <w:r w:rsidRPr="001467A5">
        <w:rPr>
          <w:rFonts w:ascii="Times New Roman" w:eastAsia="Times New Roman" w:hAnsi="Times New Roman" w:cs="Times New Roman"/>
          <w:color w:val="222222"/>
          <w:sz w:val="24"/>
          <w:szCs w:val="24"/>
          <w:highlight w:val="white"/>
          <w:lang w:val="en-GB"/>
        </w:rPr>
        <w:t>The Google Headquarters project in London is a promising enterprise that, if completed successfully, has the potential to greatly contribute to the future of the UK's IT sector. Justifying this stance entails admitting potential beneficial effects while also acknowledging obstacles. Furthermore, learning from previous worldwide projects can provide insights into best practises and areas that need careful consideration (</w:t>
      </w:r>
      <w:proofErr w:type="spellStart"/>
      <w:r w:rsidRPr="001467A5">
        <w:rPr>
          <w:rFonts w:ascii="Times New Roman" w:eastAsia="Times New Roman" w:hAnsi="Times New Roman" w:cs="Times New Roman"/>
          <w:color w:val="222222"/>
          <w:sz w:val="24"/>
          <w:szCs w:val="24"/>
          <w:highlight w:val="white"/>
          <w:lang w:val="en-GB"/>
        </w:rPr>
        <w:t>Geradin</w:t>
      </w:r>
      <w:proofErr w:type="spellEnd"/>
      <w:r w:rsidRPr="001467A5">
        <w:rPr>
          <w:rFonts w:ascii="Times New Roman" w:eastAsia="Times New Roman" w:hAnsi="Times New Roman" w:cs="Times New Roman"/>
          <w:color w:val="222222"/>
          <w:sz w:val="24"/>
          <w:szCs w:val="24"/>
          <w:highlight w:val="white"/>
          <w:lang w:val="en-GB"/>
        </w:rPr>
        <w:t xml:space="preserve"> </w:t>
      </w:r>
      <w:r w:rsidRPr="001467A5">
        <w:rPr>
          <w:rFonts w:ascii="Times New Roman" w:eastAsia="Times New Roman" w:hAnsi="Times New Roman" w:cs="Times New Roman"/>
          <w:i/>
          <w:color w:val="222222"/>
          <w:sz w:val="24"/>
          <w:szCs w:val="24"/>
          <w:highlight w:val="white"/>
          <w:lang w:val="en-GB"/>
        </w:rPr>
        <w:t xml:space="preserve">et al., </w:t>
      </w:r>
      <w:r w:rsidRPr="001467A5">
        <w:rPr>
          <w:rFonts w:ascii="Times New Roman" w:eastAsia="Times New Roman" w:hAnsi="Times New Roman" w:cs="Times New Roman"/>
          <w:color w:val="222222"/>
          <w:sz w:val="24"/>
          <w:szCs w:val="24"/>
          <w:highlight w:val="white"/>
          <w:lang w:val="en-GB"/>
        </w:rPr>
        <w:t>2020., p. 126). The beneficial effects of the Google Headquarters project can be justified by looking at worldwide examples of tech clusters that have transformed cities and entire regions. Silicon Valley, in the United States, is a classic example. The concentration of premier technology businesses, startups, and venture capital has resulted in unprecedented economic development and creativity. Statistics show that Silicon Valley has a considerable impact on the US economy and employment growth in the technology industry. With its emphasis on innovation and cooperation, the Google Headquarters project in London has the potential to replicate such success, generating a dynamic environment that propels the UK's IT sector to new heights.</w:t>
      </w:r>
    </w:p>
    <w:p w14:paraId="0000000F" w14:textId="77777777" w:rsidR="004251F7" w:rsidRPr="001467A5" w:rsidRDefault="00000000">
      <w:pPr>
        <w:spacing w:after="240" w:line="360" w:lineRule="auto"/>
        <w:jc w:val="both"/>
        <w:rPr>
          <w:rFonts w:ascii="Times New Roman" w:eastAsia="Times New Roman" w:hAnsi="Times New Roman" w:cs="Times New Roman"/>
          <w:color w:val="222222"/>
          <w:sz w:val="24"/>
          <w:szCs w:val="24"/>
          <w:highlight w:val="white"/>
          <w:lang w:val="en-GB"/>
        </w:rPr>
      </w:pPr>
      <w:r w:rsidRPr="001467A5">
        <w:rPr>
          <w:rFonts w:ascii="Times New Roman" w:eastAsia="Times New Roman" w:hAnsi="Times New Roman" w:cs="Times New Roman"/>
          <w:color w:val="222222"/>
          <w:sz w:val="24"/>
          <w:szCs w:val="24"/>
          <w:highlight w:val="white"/>
          <w:lang w:val="en-GB"/>
        </w:rPr>
        <w:lastRenderedPageBreak/>
        <w:t>Global tech hubs may teach us about the value of inclusion and community participation. The rise of the digital industry in Seattle, home to Microsoft and Amazon, emphasises the importance of collaboration between tech titans and local communities. Seattle's success has been credited to measures that encourage affordable housing, education, and community development, in addition to corporate innovation (</w:t>
      </w:r>
      <w:proofErr w:type="spellStart"/>
      <w:r w:rsidRPr="001467A5">
        <w:rPr>
          <w:rFonts w:ascii="Times New Roman" w:eastAsia="Times New Roman" w:hAnsi="Times New Roman" w:cs="Times New Roman"/>
          <w:color w:val="222222"/>
          <w:sz w:val="24"/>
          <w:szCs w:val="24"/>
          <w:highlight w:val="white"/>
          <w:lang w:val="en-GB"/>
        </w:rPr>
        <w:t>Krasnokutska</w:t>
      </w:r>
      <w:proofErr w:type="spellEnd"/>
      <w:r w:rsidRPr="001467A5">
        <w:rPr>
          <w:rFonts w:ascii="Times New Roman" w:eastAsia="Times New Roman" w:hAnsi="Times New Roman" w:cs="Times New Roman"/>
          <w:color w:val="222222"/>
          <w:sz w:val="24"/>
          <w:szCs w:val="24"/>
          <w:highlight w:val="white"/>
          <w:lang w:val="en-GB"/>
        </w:rPr>
        <w:t xml:space="preserve"> and </w:t>
      </w:r>
      <w:proofErr w:type="spellStart"/>
      <w:r w:rsidRPr="001467A5">
        <w:rPr>
          <w:rFonts w:ascii="Times New Roman" w:eastAsia="Times New Roman" w:hAnsi="Times New Roman" w:cs="Times New Roman"/>
          <w:color w:val="222222"/>
          <w:sz w:val="24"/>
          <w:szCs w:val="24"/>
          <w:highlight w:val="white"/>
          <w:lang w:val="en-GB"/>
        </w:rPr>
        <w:t>Podoprykhina</w:t>
      </w:r>
      <w:proofErr w:type="spellEnd"/>
      <w:r w:rsidRPr="001467A5">
        <w:rPr>
          <w:rFonts w:ascii="Times New Roman" w:eastAsia="Times New Roman" w:hAnsi="Times New Roman" w:cs="Times New Roman"/>
          <w:color w:val="222222"/>
          <w:sz w:val="24"/>
          <w:szCs w:val="24"/>
          <w:highlight w:val="white"/>
          <w:lang w:val="en-GB"/>
        </w:rPr>
        <w:t xml:space="preserve">, 2020., p. 40). The Google Headquarters project in London should learn from such examples to ensure that its expansion is inclusive and does not worsen existing socioeconomic inequities. Environmental sustainability is a critical factor in today's global context, and lessons from initiatives such as Apple Park in Cupertino, California, are relevant. With its spaceship-like headquarters, Apple Park is a model of environmental design and energy efficiency (Winch </w:t>
      </w:r>
      <w:r w:rsidRPr="001467A5">
        <w:rPr>
          <w:rFonts w:ascii="Times New Roman" w:eastAsia="Times New Roman" w:hAnsi="Times New Roman" w:cs="Times New Roman"/>
          <w:i/>
          <w:color w:val="222222"/>
          <w:sz w:val="24"/>
          <w:szCs w:val="24"/>
          <w:highlight w:val="white"/>
          <w:lang w:val="en-GB"/>
        </w:rPr>
        <w:t>et al.,</w:t>
      </w:r>
      <w:r w:rsidRPr="001467A5">
        <w:rPr>
          <w:rFonts w:ascii="Times New Roman" w:eastAsia="Times New Roman" w:hAnsi="Times New Roman" w:cs="Times New Roman"/>
          <w:color w:val="222222"/>
          <w:sz w:val="24"/>
          <w:szCs w:val="24"/>
          <w:highlight w:val="white"/>
          <w:lang w:val="en-GB"/>
        </w:rPr>
        <w:t xml:space="preserve"> 2021., p. 10019). The incorporation of renewable energy sources and substantial green spaces has established a standard for environmentally responsible business campuses. The dedication to sustainability of the Google Headquarters project in London coincides with these values, and continuing statistics on energy usage, waste reduction, and carbon footprint can provide insights into the project's progress in this regard. </w:t>
      </w:r>
    </w:p>
    <w:p w14:paraId="00000010" w14:textId="77777777" w:rsidR="004251F7" w:rsidRPr="001467A5" w:rsidRDefault="00000000">
      <w:pPr>
        <w:spacing w:after="240" w:line="360" w:lineRule="auto"/>
        <w:jc w:val="both"/>
        <w:rPr>
          <w:rFonts w:ascii="Times New Roman" w:eastAsia="Times New Roman" w:hAnsi="Times New Roman" w:cs="Times New Roman"/>
          <w:color w:val="222222"/>
          <w:sz w:val="24"/>
          <w:szCs w:val="24"/>
          <w:highlight w:val="white"/>
          <w:lang w:val="en-GB"/>
        </w:rPr>
      </w:pPr>
      <w:r w:rsidRPr="001467A5">
        <w:rPr>
          <w:rFonts w:ascii="Times New Roman" w:eastAsia="Times New Roman" w:hAnsi="Times New Roman" w:cs="Times New Roman"/>
          <w:color w:val="222222"/>
          <w:sz w:val="24"/>
          <w:szCs w:val="24"/>
          <w:highlight w:val="white"/>
          <w:lang w:val="en-GB"/>
        </w:rPr>
        <w:t>However, possible issues such as gentrification should not be neglected. Lessons from Berlin's tech environment development provide useful insights. Berlin's image as a European tech hub has grown as a result of the influx of tech companies and startups (</w:t>
      </w:r>
      <w:proofErr w:type="spellStart"/>
      <w:r w:rsidRPr="001467A5">
        <w:rPr>
          <w:rFonts w:ascii="Times New Roman" w:eastAsia="Times New Roman" w:hAnsi="Times New Roman" w:cs="Times New Roman"/>
          <w:color w:val="222222"/>
          <w:sz w:val="24"/>
          <w:szCs w:val="24"/>
          <w:highlight w:val="white"/>
          <w:lang w:val="en-GB"/>
        </w:rPr>
        <w:t>Lunnan</w:t>
      </w:r>
      <w:proofErr w:type="spellEnd"/>
      <w:r w:rsidRPr="001467A5">
        <w:rPr>
          <w:rFonts w:ascii="Times New Roman" w:eastAsia="Times New Roman" w:hAnsi="Times New Roman" w:cs="Times New Roman"/>
          <w:i/>
          <w:color w:val="222222"/>
          <w:sz w:val="24"/>
          <w:szCs w:val="24"/>
          <w:highlight w:val="white"/>
          <w:lang w:val="en-GB"/>
        </w:rPr>
        <w:t xml:space="preserve"> et al., </w:t>
      </w:r>
      <w:r w:rsidRPr="001467A5">
        <w:rPr>
          <w:rFonts w:ascii="Times New Roman" w:eastAsia="Times New Roman" w:hAnsi="Times New Roman" w:cs="Times New Roman"/>
          <w:color w:val="222222"/>
          <w:sz w:val="24"/>
          <w:szCs w:val="24"/>
          <w:highlight w:val="white"/>
          <w:lang w:val="en-GB"/>
        </w:rPr>
        <w:t>2019., p. 23). Concerns about rising living costs and social displacement, however, have driven the city to develop measures that strike a balance between expansion and social equality. London may learn from Berlin's mistakes by enacting policies to ensure that the benefits of the Google Headquarters project are dispersed equally throughout the local population. It can be summarised that the case for the Google Headquarters project in London as a beneficial influence for the future of the UK's IT sector is based on its ability to foster innovation, recruit talent, and set sustainability standards. Learning from global examples, particularly tech hotspots such as Silicon Valley, Seattle, and Cupertino, provides significant insights into best practises and potential problems. The aim is to strike a balance between growth and inclusivity, environmental responsibility, and community engagement. Ongoing monitoring using appropriate statistics will be critical for assessing the project's impact and drawing additional lessons for the future evolution of the UK's IT sector.</w:t>
      </w:r>
    </w:p>
    <w:p w14:paraId="00000011" w14:textId="77777777" w:rsidR="004251F7" w:rsidRPr="001467A5" w:rsidRDefault="00000000">
      <w:pPr>
        <w:spacing w:after="240" w:line="360" w:lineRule="auto"/>
        <w:jc w:val="both"/>
        <w:rPr>
          <w:rFonts w:ascii="Times New Roman" w:eastAsia="Times New Roman" w:hAnsi="Times New Roman" w:cs="Times New Roman"/>
          <w:b/>
          <w:color w:val="222222"/>
          <w:sz w:val="24"/>
          <w:szCs w:val="24"/>
          <w:highlight w:val="white"/>
          <w:lang w:val="en-GB"/>
        </w:rPr>
      </w:pPr>
      <w:r w:rsidRPr="001467A5">
        <w:rPr>
          <w:rFonts w:ascii="Times New Roman" w:eastAsia="Times New Roman" w:hAnsi="Times New Roman" w:cs="Times New Roman"/>
          <w:b/>
          <w:color w:val="222222"/>
          <w:sz w:val="24"/>
          <w:szCs w:val="24"/>
          <w:highlight w:val="white"/>
          <w:lang w:val="en-GB"/>
        </w:rPr>
        <w:t>Recommendations</w:t>
      </w:r>
    </w:p>
    <w:p w14:paraId="00000012" w14:textId="77777777" w:rsidR="004251F7" w:rsidRPr="001467A5" w:rsidRDefault="00000000">
      <w:pPr>
        <w:spacing w:after="240" w:line="360" w:lineRule="auto"/>
        <w:jc w:val="both"/>
        <w:rPr>
          <w:rFonts w:ascii="Times New Roman" w:eastAsia="Times New Roman" w:hAnsi="Times New Roman" w:cs="Times New Roman"/>
          <w:color w:val="222222"/>
          <w:sz w:val="24"/>
          <w:szCs w:val="24"/>
          <w:highlight w:val="white"/>
          <w:lang w:val="en-GB"/>
        </w:rPr>
      </w:pPr>
      <w:r w:rsidRPr="001467A5">
        <w:rPr>
          <w:rFonts w:ascii="Times New Roman" w:eastAsia="Times New Roman" w:hAnsi="Times New Roman" w:cs="Times New Roman"/>
          <w:color w:val="222222"/>
          <w:sz w:val="24"/>
          <w:szCs w:val="24"/>
          <w:highlight w:val="white"/>
          <w:lang w:val="en-GB"/>
        </w:rPr>
        <w:lastRenderedPageBreak/>
        <w:t xml:space="preserve">Recommendations for a similar project centre on the themes of innovation, inclusivity, sustainability, and community participation, based on the discussion on the Google Headquarters project in London and global examples. It can be </w:t>
      </w:r>
      <w:r w:rsidRPr="001467A5">
        <w:rPr>
          <w:rFonts w:ascii="Times New Roman" w:eastAsia="Times New Roman" w:hAnsi="Times New Roman" w:cs="Times New Roman"/>
          <w:b/>
          <w:color w:val="222222"/>
          <w:sz w:val="24"/>
          <w:szCs w:val="24"/>
          <w:highlight w:val="white"/>
          <w:lang w:val="en-GB"/>
        </w:rPr>
        <w:t>recommended</w:t>
      </w:r>
      <w:r w:rsidRPr="001467A5">
        <w:rPr>
          <w:rFonts w:ascii="Times New Roman" w:eastAsia="Times New Roman" w:hAnsi="Times New Roman" w:cs="Times New Roman"/>
          <w:color w:val="222222"/>
          <w:sz w:val="24"/>
          <w:szCs w:val="24"/>
          <w:highlight w:val="white"/>
          <w:lang w:val="en-GB"/>
        </w:rPr>
        <w:t xml:space="preserve"> that the project needs to prioritise </w:t>
      </w:r>
      <w:r w:rsidRPr="001467A5">
        <w:rPr>
          <w:rFonts w:ascii="Times New Roman" w:eastAsia="Times New Roman" w:hAnsi="Times New Roman" w:cs="Times New Roman"/>
          <w:b/>
          <w:i/>
          <w:color w:val="222222"/>
          <w:sz w:val="24"/>
          <w:szCs w:val="24"/>
          <w:highlight w:val="white"/>
          <w:lang w:val="en-GB"/>
        </w:rPr>
        <w:t>innovation</w:t>
      </w:r>
      <w:r w:rsidRPr="001467A5">
        <w:rPr>
          <w:rFonts w:ascii="Times New Roman" w:eastAsia="Times New Roman" w:hAnsi="Times New Roman" w:cs="Times New Roman"/>
          <w:color w:val="222222"/>
          <w:sz w:val="24"/>
          <w:szCs w:val="24"/>
          <w:highlight w:val="white"/>
          <w:lang w:val="en-GB"/>
        </w:rPr>
        <w:t xml:space="preserve"> as a driving factor. The project needs to create an ecosystem that encourages collaboration and innovation when designing the project (Ambos </w:t>
      </w:r>
      <w:r w:rsidRPr="001467A5">
        <w:rPr>
          <w:rFonts w:ascii="Times New Roman" w:eastAsia="Times New Roman" w:hAnsi="Times New Roman" w:cs="Times New Roman"/>
          <w:i/>
          <w:color w:val="222222"/>
          <w:sz w:val="24"/>
          <w:szCs w:val="24"/>
          <w:highlight w:val="white"/>
          <w:lang w:val="en-GB"/>
        </w:rPr>
        <w:t>et al.,</w:t>
      </w:r>
      <w:r w:rsidRPr="001467A5">
        <w:rPr>
          <w:rFonts w:ascii="Times New Roman" w:eastAsia="Times New Roman" w:hAnsi="Times New Roman" w:cs="Times New Roman"/>
          <w:color w:val="222222"/>
          <w:sz w:val="24"/>
          <w:szCs w:val="24"/>
          <w:highlight w:val="white"/>
          <w:lang w:val="en-GB"/>
        </w:rPr>
        <w:t xml:space="preserve"> 2020., p. 905). Open spaces, collaborative zones, and facilities that promote interdisciplinary interaction can help to spark invention. Building on the success of tech hubs such as </w:t>
      </w:r>
      <w:r w:rsidRPr="001467A5">
        <w:rPr>
          <w:rFonts w:ascii="Times New Roman" w:eastAsia="Times New Roman" w:hAnsi="Times New Roman" w:cs="Times New Roman"/>
          <w:b/>
          <w:color w:val="222222"/>
          <w:sz w:val="24"/>
          <w:szCs w:val="24"/>
          <w:highlight w:val="white"/>
          <w:lang w:val="en-GB"/>
        </w:rPr>
        <w:t>Silicon Valley,</w:t>
      </w:r>
      <w:r w:rsidRPr="001467A5">
        <w:rPr>
          <w:rFonts w:ascii="Times New Roman" w:eastAsia="Times New Roman" w:hAnsi="Times New Roman" w:cs="Times New Roman"/>
          <w:color w:val="222222"/>
          <w:sz w:val="24"/>
          <w:szCs w:val="24"/>
          <w:highlight w:val="white"/>
          <w:lang w:val="en-GB"/>
        </w:rPr>
        <w:t xml:space="preserve"> create an atmosphere that attracts top people, supports entrepreneurs, and fosters a culture of continual learning and experimentation. It can be further</w:t>
      </w:r>
      <w:r w:rsidRPr="001467A5">
        <w:rPr>
          <w:rFonts w:ascii="Times New Roman" w:eastAsia="Times New Roman" w:hAnsi="Times New Roman" w:cs="Times New Roman"/>
          <w:b/>
          <w:color w:val="222222"/>
          <w:sz w:val="24"/>
          <w:szCs w:val="24"/>
          <w:highlight w:val="white"/>
          <w:lang w:val="en-GB"/>
        </w:rPr>
        <w:t xml:space="preserve"> recommended </w:t>
      </w:r>
      <w:r w:rsidRPr="001467A5">
        <w:rPr>
          <w:rFonts w:ascii="Times New Roman" w:eastAsia="Times New Roman" w:hAnsi="Times New Roman" w:cs="Times New Roman"/>
          <w:color w:val="222222"/>
          <w:sz w:val="24"/>
          <w:szCs w:val="24"/>
          <w:highlight w:val="white"/>
          <w:lang w:val="en-GB"/>
        </w:rPr>
        <w:t xml:space="preserve">that to avoid gentrification and social displacement, inclusivity needs to be a guiding principle for the project. This project should implement policies and strategies to guarantee that the project's advantages are felt throughout the community. A more </w:t>
      </w:r>
      <w:r w:rsidRPr="001467A5">
        <w:rPr>
          <w:rFonts w:ascii="Times New Roman" w:eastAsia="Times New Roman" w:hAnsi="Times New Roman" w:cs="Times New Roman"/>
          <w:b/>
          <w:i/>
          <w:color w:val="222222"/>
          <w:sz w:val="24"/>
          <w:szCs w:val="24"/>
          <w:highlight w:val="white"/>
          <w:lang w:val="en-GB"/>
        </w:rPr>
        <w:t>inclusive growth strategy</w:t>
      </w:r>
      <w:r w:rsidRPr="001467A5">
        <w:rPr>
          <w:rFonts w:ascii="Times New Roman" w:eastAsia="Times New Roman" w:hAnsi="Times New Roman" w:cs="Times New Roman"/>
          <w:color w:val="222222"/>
          <w:sz w:val="24"/>
          <w:szCs w:val="24"/>
          <w:highlight w:val="white"/>
          <w:lang w:val="en-GB"/>
        </w:rPr>
        <w:t xml:space="preserve"> can be aided by affordable housing, educational programmes, and collaborations with local enterprises (Morgan and Webb, 2020., p. 85). Seattle's approach, in which tech titans actively engage with the local community, serves as a model for cultivating a symbiotic partnership.</w:t>
      </w:r>
    </w:p>
    <w:p w14:paraId="00000013" w14:textId="77777777" w:rsidR="004251F7" w:rsidRPr="001467A5" w:rsidRDefault="00000000">
      <w:pPr>
        <w:spacing w:after="240" w:line="360" w:lineRule="auto"/>
        <w:jc w:val="both"/>
        <w:rPr>
          <w:rFonts w:ascii="Times New Roman" w:eastAsia="Times New Roman" w:hAnsi="Times New Roman" w:cs="Times New Roman"/>
          <w:color w:val="222222"/>
          <w:sz w:val="24"/>
          <w:szCs w:val="24"/>
          <w:highlight w:val="white"/>
          <w:lang w:val="en-GB"/>
        </w:rPr>
      </w:pPr>
      <w:r w:rsidRPr="001467A5">
        <w:rPr>
          <w:rFonts w:ascii="Times New Roman" w:eastAsia="Times New Roman" w:hAnsi="Times New Roman" w:cs="Times New Roman"/>
          <w:color w:val="222222"/>
          <w:sz w:val="24"/>
          <w:szCs w:val="24"/>
          <w:highlight w:val="white"/>
          <w:lang w:val="en-GB"/>
        </w:rPr>
        <w:t xml:space="preserve">It can be </w:t>
      </w:r>
      <w:r w:rsidRPr="001467A5">
        <w:rPr>
          <w:rFonts w:ascii="Times New Roman" w:eastAsia="Times New Roman" w:hAnsi="Times New Roman" w:cs="Times New Roman"/>
          <w:b/>
          <w:color w:val="222222"/>
          <w:sz w:val="24"/>
          <w:szCs w:val="24"/>
          <w:highlight w:val="white"/>
          <w:lang w:val="en-GB"/>
        </w:rPr>
        <w:t>suggested</w:t>
      </w:r>
      <w:r w:rsidRPr="001467A5">
        <w:rPr>
          <w:rFonts w:ascii="Times New Roman" w:eastAsia="Times New Roman" w:hAnsi="Times New Roman" w:cs="Times New Roman"/>
          <w:color w:val="222222"/>
          <w:sz w:val="24"/>
          <w:szCs w:val="24"/>
          <w:highlight w:val="white"/>
          <w:lang w:val="en-GB"/>
        </w:rPr>
        <w:t xml:space="preserve"> that the project's needs be prioritised sustainability by incorporating energy-efficient designs, renewable energy sources, and wide green spaces, taking influence from ecologically concerned corporate campuses such as Apple Park (Cooke, 2020., p. 24). To demonstrate a commitment to sustainability, the project needs to track and publish statistics on the project's environmental impact regularly. It can be further </w:t>
      </w:r>
      <w:r w:rsidRPr="001467A5">
        <w:rPr>
          <w:rFonts w:ascii="Times New Roman" w:eastAsia="Times New Roman" w:hAnsi="Times New Roman" w:cs="Times New Roman"/>
          <w:b/>
          <w:color w:val="222222"/>
          <w:sz w:val="24"/>
          <w:szCs w:val="24"/>
          <w:highlight w:val="white"/>
          <w:lang w:val="en-GB"/>
        </w:rPr>
        <w:t>suggested</w:t>
      </w:r>
      <w:r w:rsidRPr="001467A5">
        <w:rPr>
          <w:rFonts w:ascii="Times New Roman" w:eastAsia="Times New Roman" w:hAnsi="Times New Roman" w:cs="Times New Roman"/>
          <w:color w:val="222222"/>
          <w:sz w:val="24"/>
          <w:szCs w:val="24"/>
          <w:highlight w:val="white"/>
          <w:lang w:val="en-GB"/>
        </w:rPr>
        <w:t xml:space="preserve"> that the project needs to prioritise community engagement from the start of the project. The project should learn from Berlin's experiences, where proactive policies have been introduced to alleviate socioeconomic inequities caused by tech-driven growth (Brill and Conte, V., 2020., p. 89). The project needs to establish debate forums, solicit input from residents, and engage with community organisations to ensure that the project is in line with the needs and ambitions of those who may be impacted.</w:t>
      </w:r>
    </w:p>
    <w:p w14:paraId="00000014" w14:textId="77777777" w:rsidR="004251F7" w:rsidRPr="001467A5" w:rsidRDefault="00000000" w:rsidP="00F87522">
      <w:pPr>
        <w:pStyle w:val="Heading1"/>
        <w:rPr>
          <w:highlight w:val="white"/>
          <w:lang w:val="en-GB"/>
        </w:rPr>
      </w:pPr>
      <w:bookmarkStart w:id="2" w:name="_Toc152189118"/>
      <w:r w:rsidRPr="001467A5">
        <w:rPr>
          <w:highlight w:val="white"/>
          <w:lang w:val="en-GB"/>
        </w:rPr>
        <w:t>Conclusion</w:t>
      </w:r>
      <w:bookmarkEnd w:id="2"/>
    </w:p>
    <w:p w14:paraId="00000015" w14:textId="77777777" w:rsidR="004251F7" w:rsidRPr="001467A5" w:rsidRDefault="00000000">
      <w:pPr>
        <w:spacing w:after="240" w:line="360" w:lineRule="auto"/>
        <w:jc w:val="both"/>
        <w:rPr>
          <w:rFonts w:ascii="Times New Roman" w:eastAsia="Times New Roman" w:hAnsi="Times New Roman" w:cs="Times New Roman"/>
          <w:color w:val="222222"/>
          <w:sz w:val="24"/>
          <w:szCs w:val="24"/>
          <w:highlight w:val="white"/>
          <w:lang w:val="en-GB"/>
        </w:rPr>
      </w:pPr>
      <w:r w:rsidRPr="001467A5">
        <w:rPr>
          <w:rFonts w:ascii="Times New Roman" w:eastAsia="Times New Roman" w:hAnsi="Times New Roman" w:cs="Times New Roman"/>
          <w:color w:val="222222"/>
          <w:sz w:val="24"/>
          <w:szCs w:val="24"/>
          <w:highlight w:val="white"/>
          <w:lang w:val="en-GB"/>
        </w:rPr>
        <w:t xml:space="preserve">It can be concluded that the Google Headquarters project in London stands out as a game-changing endeavour that combines architectural genius, technological innovation, and a dedication to sustainability. The project, which is located at the crossroads of innovation and community </w:t>
      </w:r>
      <w:r w:rsidRPr="001467A5">
        <w:rPr>
          <w:rFonts w:ascii="Times New Roman" w:eastAsia="Times New Roman" w:hAnsi="Times New Roman" w:cs="Times New Roman"/>
          <w:color w:val="222222"/>
          <w:sz w:val="24"/>
          <w:szCs w:val="24"/>
          <w:highlight w:val="white"/>
          <w:lang w:val="en-GB"/>
        </w:rPr>
        <w:lastRenderedPageBreak/>
        <w:t>development, has the potential to transform the landscape of the UK's IT sector and add to London's standing as a worldwide digital hub. The project's story emphasises its comprehensive approach, not simply as a physical extension but also as a cultural and environmental stimulus. The combination of architectural brilliance and Google's attitude of encouraging creativity and cooperation results in a workspace that goes beyond traditional boundaries, fostering a dynamic hub where varied talents converge for technological innovation.</w:t>
      </w:r>
    </w:p>
    <w:p w14:paraId="00000016" w14:textId="476B30D9" w:rsidR="00F87522" w:rsidRDefault="00000000">
      <w:pPr>
        <w:spacing w:after="240" w:line="360" w:lineRule="auto"/>
        <w:jc w:val="both"/>
        <w:rPr>
          <w:rFonts w:ascii="Times New Roman" w:eastAsia="Times New Roman" w:hAnsi="Times New Roman" w:cs="Times New Roman"/>
          <w:color w:val="222222"/>
          <w:sz w:val="24"/>
          <w:szCs w:val="24"/>
          <w:highlight w:val="white"/>
          <w:lang w:val="en-GB"/>
        </w:rPr>
      </w:pPr>
      <w:r w:rsidRPr="001467A5">
        <w:rPr>
          <w:rFonts w:ascii="Times New Roman" w:eastAsia="Times New Roman" w:hAnsi="Times New Roman" w:cs="Times New Roman"/>
          <w:color w:val="222222"/>
          <w:sz w:val="24"/>
          <w:szCs w:val="24"/>
          <w:highlight w:val="white"/>
          <w:lang w:val="en-GB"/>
        </w:rPr>
        <w:t>The project's dedication to sustainability shines out, harmonising with global trends that emphasise environmentally conscientious corporate practises. The Google Headquarters project establishes a precedent for responsible urban development by drawing influence from successful models such as Apple Park and its commitment to renewable energy and green spaces. The discussion regarding the project's possible success acknowledges difficulties, including concerns about gentrification. Learning from global examples, such as Berlin, highlights the importance of inclusive policies and community engagement in balancing growth and social equality. Striking this delicate balance is critical for the project to become a driver for positive urban development while remaining sensitive to the needs of the existing community. The Google Headquarters project in London represents the changing nature of employment, the impact of technology on urban landscapes, and the importance of corporate responsibility. Continuous monitoring and adaption will be critical as the project progresses to navigate the delicate dynamics of business expansion in a varied and dynamic metropolis. Finally, the success of this initiative will be assessed not just by its impact on the London skyline, but also by its lasting legacy as a beacon of innovation, collaboration, and sustainable urban expansion in the digital age.</w:t>
      </w:r>
    </w:p>
    <w:p w14:paraId="763DCDC5" w14:textId="77777777" w:rsidR="00F87522" w:rsidRDefault="00F87522">
      <w:pPr>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br w:type="page"/>
      </w:r>
    </w:p>
    <w:p w14:paraId="590C4977" w14:textId="21B1D8A6" w:rsidR="004251F7" w:rsidRDefault="00F87522" w:rsidP="00F87522">
      <w:pPr>
        <w:pStyle w:val="Heading1"/>
        <w:rPr>
          <w:highlight w:val="white"/>
          <w:lang w:val="en-GB"/>
        </w:rPr>
      </w:pPr>
      <w:bookmarkStart w:id="3" w:name="_Toc152189119"/>
      <w:r>
        <w:rPr>
          <w:highlight w:val="white"/>
          <w:lang w:val="en-GB"/>
        </w:rPr>
        <w:lastRenderedPageBreak/>
        <w:t>Reference List</w:t>
      </w:r>
      <w:bookmarkEnd w:id="3"/>
    </w:p>
    <w:p w14:paraId="31A9CE7D" w14:textId="77777777" w:rsidR="00F87522" w:rsidRDefault="00F87522" w:rsidP="00F87522">
      <w:pPr>
        <w:pStyle w:val="NormalWeb"/>
        <w:spacing w:before="240" w:beforeAutospacing="0" w:after="0" w:afterAutospacing="0" w:line="360" w:lineRule="auto"/>
        <w:jc w:val="both"/>
      </w:pPr>
      <w:r>
        <w:rPr>
          <w:color w:val="222222"/>
          <w:shd w:val="clear" w:color="auto" w:fill="FFFFFF"/>
        </w:rPr>
        <w:t xml:space="preserve">Ambos, T.C., Fuchs, S.H. and Zimmermann, A., (2020). Managing interrelated tensions in headquarters–subsidiary relationships: The case of a multinational hybrid organization. </w:t>
      </w:r>
      <w:r>
        <w:rPr>
          <w:i/>
          <w:iCs/>
          <w:color w:val="222222"/>
          <w:shd w:val="clear" w:color="auto" w:fill="FFFFFF"/>
        </w:rPr>
        <w:t>Journal of International Business Studies</w:t>
      </w:r>
      <w:r>
        <w:rPr>
          <w:color w:val="222222"/>
          <w:shd w:val="clear" w:color="auto" w:fill="FFFFFF"/>
        </w:rPr>
        <w:t xml:space="preserve">, </w:t>
      </w:r>
      <w:r>
        <w:rPr>
          <w:i/>
          <w:iCs/>
          <w:color w:val="222222"/>
          <w:shd w:val="clear" w:color="auto" w:fill="FFFFFF"/>
        </w:rPr>
        <w:t>51</w:t>
      </w:r>
      <w:r>
        <w:rPr>
          <w:color w:val="222222"/>
          <w:shd w:val="clear" w:color="auto" w:fill="FFFFFF"/>
        </w:rPr>
        <w:t xml:space="preserve">, pp.906-932. </w:t>
      </w:r>
      <w:hyperlink r:id="rId7" w:history="1">
        <w:r>
          <w:rPr>
            <w:rStyle w:val="Hyperlink"/>
            <w:color w:val="1155CC"/>
            <w:shd w:val="clear" w:color="auto" w:fill="FFFFFF"/>
          </w:rPr>
          <w:t>https://link.springer.com/article/10.1057/s41267-020-00307-z</w:t>
        </w:r>
      </w:hyperlink>
      <w:r>
        <w:rPr>
          <w:color w:val="222222"/>
          <w:shd w:val="clear" w:color="auto" w:fill="FFFFFF"/>
        </w:rPr>
        <w:t> </w:t>
      </w:r>
    </w:p>
    <w:p w14:paraId="5A636E52" w14:textId="77777777" w:rsidR="00F87522" w:rsidRDefault="00F87522" w:rsidP="00F87522">
      <w:pPr>
        <w:pStyle w:val="NormalWeb"/>
        <w:spacing w:before="240" w:beforeAutospacing="0" w:after="0" w:afterAutospacing="0" w:line="360" w:lineRule="auto"/>
        <w:jc w:val="both"/>
      </w:pPr>
      <w:r>
        <w:rPr>
          <w:color w:val="222222"/>
          <w:shd w:val="clear" w:color="auto" w:fill="FFFFFF"/>
        </w:rPr>
        <w:t xml:space="preserve">Brill, F. and Conte, V., (2020). Understanding project mobility: The movement of King’s Cross to Brussels and Johannesburg. </w:t>
      </w:r>
      <w:r>
        <w:rPr>
          <w:i/>
          <w:iCs/>
          <w:color w:val="222222"/>
          <w:shd w:val="clear" w:color="auto" w:fill="FFFFFF"/>
        </w:rPr>
        <w:t>Environment and Planning C: Politics and Space</w:t>
      </w:r>
      <w:r>
        <w:rPr>
          <w:color w:val="222222"/>
          <w:shd w:val="clear" w:color="auto" w:fill="FFFFFF"/>
        </w:rPr>
        <w:t xml:space="preserve">, </w:t>
      </w:r>
      <w:r>
        <w:rPr>
          <w:i/>
          <w:iCs/>
          <w:color w:val="222222"/>
          <w:shd w:val="clear" w:color="auto" w:fill="FFFFFF"/>
        </w:rPr>
        <w:t>38</w:t>
      </w:r>
      <w:r>
        <w:rPr>
          <w:color w:val="222222"/>
          <w:shd w:val="clear" w:color="auto" w:fill="FFFFFF"/>
        </w:rPr>
        <w:t xml:space="preserve">(1), pp.79-96. </w:t>
      </w:r>
      <w:hyperlink r:id="rId8" w:history="1">
        <w:r>
          <w:rPr>
            <w:rStyle w:val="Hyperlink"/>
            <w:color w:val="1155CC"/>
            <w:shd w:val="clear" w:color="auto" w:fill="FFFFFF"/>
          </w:rPr>
          <w:t>https://journals.sagepub.com/doi/abs/10.1177/2399654419854458</w:t>
        </w:r>
      </w:hyperlink>
      <w:r>
        <w:rPr>
          <w:color w:val="222222"/>
          <w:shd w:val="clear" w:color="auto" w:fill="FFFFFF"/>
        </w:rPr>
        <w:t> </w:t>
      </w:r>
    </w:p>
    <w:p w14:paraId="338C229F" w14:textId="77777777" w:rsidR="00F87522" w:rsidRDefault="00F87522" w:rsidP="00F87522">
      <w:pPr>
        <w:pStyle w:val="NormalWeb"/>
        <w:spacing w:before="240" w:beforeAutospacing="0" w:after="0" w:afterAutospacing="0" w:line="360" w:lineRule="auto"/>
        <w:jc w:val="both"/>
      </w:pPr>
      <w:r>
        <w:rPr>
          <w:color w:val="222222"/>
          <w:shd w:val="clear" w:color="auto" w:fill="FFFFFF"/>
        </w:rPr>
        <w:t xml:space="preserve">Cooke, P., (2020). Silicon Valley imperialists create new model villages as smart cities in their own image. </w:t>
      </w:r>
      <w:r>
        <w:rPr>
          <w:i/>
          <w:iCs/>
          <w:color w:val="222222"/>
          <w:shd w:val="clear" w:color="auto" w:fill="FFFFFF"/>
        </w:rPr>
        <w:t>Journal of Open Innovation: Technology, Market, and Complexity</w:t>
      </w:r>
      <w:r>
        <w:rPr>
          <w:color w:val="222222"/>
          <w:shd w:val="clear" w:color="auto" w:fill="FFFFFF"/>
        </w:rPr>
        <w:t xml:space="preserve">, </w:t>
      </w:r>
      <w:r>
        <w:rPr>
          <w:i/>
          <w:iCs/>
          <w:color w:val="222222"/>
          <w:shd w:val="clear" w:color="auto" w:fill="FFFFFF"/>
        </w:rPr>
        <w:t>6</w:t>
      </w:r>
      <w:r>
        <w:rPr>
          <w:color w:val="222222"/>
          <w:shd w:val="clear" w:color="auto" w:fill="FFFFFF"/>
        </w:rPr>
        <w:t xml:space="preserve">(2), p.24. </w:t>
      </w:r>
      <w:hyperlink r:id="rId9" w:history="1">
        <w:r>
          <w:rPr>
            <w:rStyle w:val="Hyperlink"/>
            <w:color w:val="1155CC"/>
            <w:shd w:val="clear" w:color="auto" w:fill="FFFFFF"/>
          </w:rPr>
          <w:t>https://www.mdpi.com/2199-8531/6/2/24</w:t>
        </w:r>
      </w:hyperlink>
      <w:r>
        <w:rPr>
          <w:color w:val="222222"/>
          <w:shd w:val="clear" w:color="auto" w:fill="FFFFFF"/>
        </w:rPr>
        <w:t> </w:t>
      </w:r>
    </w:p>
    <w:p w14:paraId="2218F7A5" w14:textId="77777777" w:rsidR="00F87522" w:rsidRDefault="00F87522" w:rsidP="00F87522">
      <w:pPr>
        <w:pStyle w:val="NormalWeb"/>
        <w:spacing w:before="240" w:beforeAutospacing="0" w:after="0" w:afterAutospacing="0" w:line="360" w:lineRule="auto"/>
        <w:jc w:val="both"/>
      </w:pPr>
      <w:r>
        <w:rPr>
          <w:color w:val="222222"/>
          <w:shd w:val="clear" w:color="auto" w:fill="FFFFFF"/>
        </w:rPr>
        <w:t xml:space="preserve">Cooke, P., (2021). Three disruptive models of new spatial </w:t>
      </w:r>
      <w:proofErr w:type="spellStart"/>
      <w:proofErr w:type="gramStart"/>
      <w:r>
        <w:rPr>
          <w:color w:val="222222"/>
          <w:shd w:val="clear" w:color="auto" w:fill="FFFFFF"/>
        </w:rPr>
        <w:t>planning:“</w:t>
      </w:r>
      <w:proofErr w:type="gramEnd"/>
      <w:r>
        <w:rPr>
          <w:color w:val="222222"/>
          <w:shd w:val="clear" w:color="auto" w:fill="FFFFFF"/>
        </w:rPr>
        <w:t>attention”,“surveillance</w:t>
      </w:r>
      <w:proofErr w:type="spellEnd"/>
      <w:r>
        <w:rPr>
          <w:color w:val="222222"/>
          <w:shd w:val="clear" w:color="auto" w:fill="FFFFFF"/>
        </w:rPr>
        <w:t xml:space="preserve">” or “sustainable” capitalisms?. </w:t>
      </w:r>
      <w:r>
        <w:rPr>
          <w:i/>
          <w:iCs/>
          <w:color w:val="222222"/>
          <w:shd w:val="clear" w:color="auto" w:fill="FFFFFF"/>
        </w:rPr>
        <w:t>Journal of Open Innovation: Technology, Market, and Complexity</w:t>
      </w:r>
      <w:r>
        <w:rPr>
          <w:color w:val="222222"/>
          <w:shd w:val="clear" w:color="auto" w:fill="FFFFFF"/>
        </w:rPr>
        <w:t xml:space="preserve">, </w:t>
      </w:r>
      <w:r>
        <w:rPr>
          <w:i/>
          <w:iCs/>
          <w:color w:val="222222"/>
          <w:shd w:val="clear" w:color="auto" w:fill="FFFFFF"/>
        </w:rPr>
        <w:t>7</w:t>
      </w:r>
      <w:r>
        <w:rPr>
          <w:color w:val="222222"/>
          <w:shd w:val="clear" w:color="auto" w:fill="FFFFFF"/>
        </w:rPr>
        <w:t xml:space="preserve">(1), p.46. </w:t>
      </w:r>
      <w:hyperlink r:id="rId10" w:history="1">
        <w:r>
          <w:rPr>
            <w:rStyle w:val="Hyperlink"/>
            <w:color w:val="1155CC"/>
            <w:shd w:val="clear" w:color="auto" w:fill="FFFFFF"/>
          </w:rPr>
          <w:t>https://www.mdpi.com/2199-8531/7/1/46</w:t>
        </w:r>
      </w:hyperlink>
      <w:r>
        <w:rPr>
          <w:color w:val="222222"/>
          <w:shd w:val="clear" w:color="auto" w:fill="FFFFFF"/>
        </w:rPr>
        <w:t> </w:t>
      </w:r>
    </w:p>
    <w:p w14:paraId="32E12C2A" w14:textId="77777777" w:rsidR="00F87522" w:rsidRDefault="00F87522" w:rsidP="00F87522">
      <w:pPr>
        <w:pStyle w:val="NormalWeb"/>
        <w:spacing w:before="240" w:beforeAutospacing="0" w:after="0" w:afterAutospacing="0" w:line="360" w:lineRule="auto"/>
        <w:jc w:val="both"/>
      </w:pPr>
      <w:proofErr w:type="spellStart"/>
      <w:r>
        <w:rPr>
          <w:color w:val="222222"/>
          <w:shd w:val="clear" w:color="auto" w:fill="FFFFFF"/>
        </w:rPr>
        <w:t>Geradin</w:t>
      </w:r>
      <w:proofErr w:type="spellEnd"/>
      <w:r>
        <w:rPr>
          <w:color w:val="222222"/>
          <w:shd w:val="clear" w:color="auto" w:fill="FFFFFF"/>
        </w:rPr>
        <w:t xml:space="preserve">, D., </w:t>
      </w:r>
      <w:proofErr w:type="spellStart"/>
      <w:r>
        <w:rPr>
          <w:color w:val="222222"/>
          <w:shd w:val="clear" w:color="auto" w:fill="FFFFFF"/>
        </w:rPr>
        <w:t>Katsifis</w:t>
      </w:r>
      <w:proofErr w:type="spellEnd"/>
      <w:r>
        <w:rPr>
          <w:color w:val="222222"/>
          <w:shd w:val="clear" w:color="auto" w:fill="FFFFFF"/>
        </w:rPr>
        <w:t xml:space="preserve">, D. and </w:t>
      </w:r>
      <w:proofErr w:type="spellStart"/>
      <w:r>
        <w:rPr>
          <w:color w:val="222222"/>
          <w:shd w:val="clear" w:color="auto" w:fill="FFFFFF"/>
        </w:rPr>
        <w:t>Karanikioti</w:t>
      </w:r>
      <w:proofErr w:type="spellEnd"/>
      <w:r>
        <w:rPr>
          <w:color w:val="222222"/>
          <w:shd w:val="clear" w:color="auto" w:fill="FFFFFF"/>
        </w:rPr>
        <w:t xml:space="preserve">, T., (2020). GDPR Myopia: How a well-intended regulation ended up </w:t>
      </w:r>
      <w:proofErr w:type="spellStart"/>
      <w:r>
        <w:rPr>
          <w:color w:val="222222"/>
          <w:shd w:val="clear" w:color="auto" w:fill="FFFFFF"/>
        </w:rPr>
        <w:t>favoring</w:t>
      </w:r>
      <w:proofErr w:type="spellEnd"/>
      <w:r>
        <w:rPr>
          <w:color w:val="222222"/>
          <w:shd w:val="clear" w:color="auto" w:fill="FFFFFF"/>
        </w:rPr>
        <w:t xml:space="preserve"> Google in Ad Tech. </w:t>
      </w:r>
      <w:hyperlink r:id="rId11" w:history="1">
        <w:r>
          <w:rPr>
            <w:rStyle w:val="Hyperlink"/>
            <w:color w:val="1155CC"/>
            <w:shd w:val="clear" w:color="auto" w:fill="FFFFFF"/>
          </w:rPr>
          <w:t>https://papers.ssrn.com/sol3/papers.cfm?abstract_id=3598130</w:t>
        </w:r>
      </w:hyperlink>
      <w:r>
        <w:rPr>
          <w:color w:val="222222"/>
          <w:shd w:val="clear" w:color="auto" w:fill="FFFFFF"/>
        </w:rPr>
        <w:t> </w:t>
      </w:r>
    </w:p>
    <w:p w14:paraId="03681C15" w14:textId="77777777" w:rsidR="00F87522" w:rsidRDefault="00F87522" w:rsidP="00F87522">
      <w:pPr>
        <w:pStyle w:val="NormalWeb"/>
        <w:spacing w:before="240" w:beforeAutospacing="0" w:after="0" w:afterAutospacing="0" w:line="360" w:lineRule="auto"/>
        <w:jc w:val="both"/>
      </w:pPr>
      <w:r>
        <w:rPr>
          <w:color w:val="222222"/>
          <w:shd w:val="clear" w:color="auto" w:fill="FFFFFF"/>
        </w:rPr>
        <w:t xml:space="preserve">Harris, R., (2021). </w:t>
      </w:r>
      <w:r>
        <w:rPr>
          <w:i/>
          <w:iCs/>
          <w:color w:val="222222"/>
          <w:shd w:val="clear" w:color="auto" w:fill="FFFFFF"/>
        </w:rPr>
        <w:t>London’s Global Office Economy: From Clerical Factory to Digital Hub</w:t>
      </w:r>
      <w:r>
        <w:rPr>
          <w:color w:val="222222"/>
          <w:shd w:val="clear" w:color="auto" w:fill="FFFFFF"/>
        </w:rPr>
        <w:t xml:space="preserve">. Routledge. </w:t>
      </w:r>
      <w:hyperlink r:id="rId12" w:history="1">
        <w:r>
          <w:rPr>
            <w:rStyle w:val="Hyperlink"/>
            <w:color w:val="1155CC"/>
            <w:shd w:val="clear" w:color="auto" w:fill="FFFFFF"/>
          </w:rPr>
          <w:t>https://books.google.com/books?hl=en&amp;lr=&amp;id=fYQfEAAAQBAJ&amp;oi=fnd&amp;pg=PP1&amp;dq=+Google+Headquarters+project+in+London&amp;ots=mmTW8UU6nr&amp;sig=J3BFPiA0BdjARK3PgmGQt_dcDHU</w:t>
        </w:r>
      </w:hyperlink>
      <w:r>
        <w:rPr>
          <w:color w:val="222222"/>
          <w:shd w:val="clear" w:color="auto" w:fill="FFFFFF"/>
        </w:rPr>
        <w:t> </w:t>
      </w:r>
    </w:p>
    <w:p w14:paraId="4C09F66B" w14:textId="77777777" w:rsidR="00F87522" w:rsidRDefault="00F87522" w:rsidP="00F87522">
      <w:pPr>
        <w:pStyle w:val="NormalWeb"/>
        <w:spacing w:before="240" w:beforeAutospacing="0" w:after="0" w:afterAutospacing="0" w:line="360" w:lineRule="auto"/>
        <w:jc w:val="both"/>
      </w:pPr>
      <w:r>
        <w:rPr>
          <w:color w:val="222222"/>
          <w:shd w:val="clear" w:color="auto" w:fill="FFFFFF"/>
        </w:rPr>
        <w:t xml:space="preserve">Joubert, T., (2023). Bridging bureaucracy and activism: Challenges of activist state-work in the 1980s Greater London Council. </w:t>
      </w:r>
      <w:r>
        <w:rPr>
          <w:i/>
          <w:iCs/>
          <w:color w:val="222222"/>
          <w:shd w:val="clear" w:color="auto" w:fill="FFFFFF"/>
        </w:rPr>
        <w:t>Urban Studies</w:t>
      </w:r>
      <w:r>
        <w:rPr>
          <w:color w:val="222222"/>
          <w:shd w:val="clear" w:color="auto" w:fill="FFFFFF"/>
        </w:rPr>
        <w:t xml:space="preserve">, </w:t>
      </w:r>
      <w:r>
        <w:rPr>
          <w:i/>
          <w:iCs/>
          <w:color w:val="222222"/>
          <w:shd w:val="clear" w:color="auto" w:fill="FFFFFF"/>
        </w:rPr>
        <w:t>60</w:t>
      </w:r>
      <w:r>
        <w:rPr>
          <w:color w:val="222222"/>
          <w:shd w:val="clear" w:color="auto" w:fill="FFFFFF"/>
        </w:rPr>
        <w:t xml:space="preserve">(11), pp.2251-2270. </w:t>
      </w:r>
      <w:hyperlink r:id="rId13" w:history="1">
        <w:r>
          <w:rPr>
            <w:rStyle w:val="Hyperlink"/>
            <w:color w:val="1155CC"/>
            <w:shd w:val="clear" w:color="auto" w:fill="FFFFFF"/>
          </w:rPr>
          <w:t>https://journals.sagepub.com/doi/abs/10.1177/00420980221104594</w:t>
        </w:r>
      </w:hyperlink>
      <w:r>
        <w:rPr>
          <w:color w:val="222222"/>
          <w:shd w:val="clear" w:color="auto" w:fill="FFFFFF"/>
        </w:rPr>
        <w:t> </w:t>
      </w:r>
    </w:p>
    <w:p w14:paraId="353F47D4" w14:textId="77777777" w:rsidR="00F87522" w:rsidRDefault="00F87522" w:rsidP="00F87522">
      <w:pPr>
        <w:pStyle w:val="NormalWeb"/>
        <w:spacing w:before="240" w:beforeAutospacing="0" w:after="0" w:afterAutospacing="0" w:line="360" w:lineRule="auto"/>
        <w:jc w:val="both"/>
      </w:pPr>
      <w:proofErr w:type="spellStart"/>
      <w:r>
        <w:rPr>
          <w:color w:val="222222"/>
          <w:shd w:val="clear" w:color="auto" w:fill="FFFFFF"/>
        </w:rPr>
        <w:lastRenderedPageBreak/>
        <w:t>Krasnokutska</w:t>
      </w:r>
      <w:proofErr w:type="spellEnd"/>
      <w:r>
        <w:rPr>
          <w:color w:val="222222"/>
          <w:shd w:val="clear" w:color="auto" w:fill="FFFFFF"/>
        </w:rPr>
        <w:t xml:space="preserve">, N. and </w:t>
      </w:r>
      <w:proofErr w:type="spellStart"/>
      <w:r>
        <w:rPr>
          <w:color w:val="222222"/>
          <w:shd w:val="clear" w:color="auto" w:fill="FFFFFF"/>
        </w:rPr>
        <w:t>Podoprykhina</w:t>
      </w:r>
      <w:proofErr w:type="spellEnd"/>
      <w:r>
        <w:rPr>
          <w:color w:val="222222"/>
          <w:shd w:val="clear" w:color="auto" w:fill="FFFFFF"/>
        </w:rPr>
        <w:t xml:space="preserve">, T., (2020). Types and terminology of remote project teams. </w:t>
      </w:r>
      <w:r>
        <w:rPr>
          <w:i/>
          <w:iCs/>
          <w:color w:val="222222"/>
          <w:shd w:val="clear" w:color="auto" w:fill="FFFFFF"/>
        </w:rPr>
        <w:t>European Journal of Management Issues</w:t>
      </w:r>
      <w:r>
        <w:rPr>
          <w:color w:val="222222"/>
          <w:shd w:val="clear" w:color="auto" w:fill="FFFFFF"/>
        </w:rPr>
        <w:t xml:space="preserve">, </w:t>
      </w:r>
      <w:r>
        <w:rPr>
          <w:i/>
          <w:iCs/>
          <w:color w:val="222222"/>
          <w:shd w:val="clear" w:color="auto" w:fill="FFFFFF"/>
        </w:rPr>
        <w:t>28</w:t>
      </w:r>
      <w:r>
        <w:rPr>
          <w:color w:val="222222"/>
          <w:shd w:val="clear" w:color="auto" w:fill="FFFFFF"/>
        </w:rPr>
        <w:t xml:space="preserve">(1-2), pp.34-40. </w:t>
      </w:r>
      <w:hyperlink r:id="rId14" w:history="1">
        <w:r>
          <w:rPr>
            <w:rStyle w:val="Hyperlink"/>
            <w:color w:val="1155CC"/>
            <w:shd w:val="clear" w:color="auto" w:fill="FFFFFF"/>
          </w:rPr>
          <w:t>https://www.tandfonline.com/doi/abs/10.1080/01576895.2019.1640753</w:t>
        </w:r>
      </w:hyperlink>
      <w:r>
        <w:rPr>
          <w:color w:val="222222"/>
          <w:shd w:val="clear" w:color="auto" w:fill="FFFFFF"/>
        </w:rPr>
        <w:t> </w:t>
      </w:r>
    </w:p>
    <w:p w14:paraId="57B36B80" w14:textId="77777777" w:rsidR="00F87522" w:rsidRDefault="00F87522" w:rsidP="00F87522">
      <w:pPr>
        <w:pStyle w:val="NormalWeb"/>
        <w:spacing w:before="240" w:beforeAutospacing="0" w:after="0" w:afterAutospacing="0" w:line="360" w:lineRule="auto"/>
        <w:jc w:val="both"/>
      </w:pPr>
      <w:r>
        <w:rPr>
          <w:color w:val="222222"/>
          <w:shd w:val="clear" w:color="auto" w:fill="FFFFFF"/>
        </w:rPr>
        <w:t xml:space="preserve">Levy, S., (2021). </w:t>
      </w:r>
      <w:r>
        <w:rPr>
          <w:i/>
          <w:iCs/>
          <w:color w:val="222222"/>
          <w:shd w:val="clear" w:color="auto" w:fill="FFFFFF"/>
        </w:rPr>
        <w:t>In the plex: How Google thinks, works, and shapes our lives</w:t>
      </w:r>
      <w:r>
        <w:rPr>
          <w:color w:val="222222"/>
          <w:shd w:val="clear" w:color="auto" w:fill="FFFFFF"/>
        </w:rPr>
        <w:t xml:space="preserve">. Simon &amp; Schuster. </w:t>
      </w:r>
      <w:hyperlink r:id="rId15" w:history="1">
        <w:r>
          <w:rPr>
            <w:rStyle w:val="Hyperlink"/>
            <w:color w:val="1155CC"/>
            <w:shd w:val="clear" w:color="auto" w:fill="FFFFFF"/>
          </w:rPr>
          <w:t>https://books.google.com/books?hl=en&amp;lr=&amp;id=RS8SEAAAQBAJ&amp;oi=fnd&amp;pg=PA1&amp;dq=+Google+Headquarters+project+in+London&amp;ots=oFwIqN_hsU&amp;sig=nVI5v-tSVzx3uDmMSWGgCeKy0co</w:t>
        </w:r>
      </w:hyperlink>
      <w:r>
        <w:rPr>
          <w:color w:val="222222"/>
          <w:shd w:val="clear" w:color="auto" w:fill="FFFFFF"/>
        </w:rPr>
        <w:t> </w:t>
      </w:r>
    </w:p>
    <w:p w14:paraId="19300563" w14:textId="77777777" w:rsidR="00F87522" w:rsidRDefault="00F87522" w:rsidP="00F87522">
      <w:pPr>
        <w:pStyle w:val="NormalWeb"/>
        <w:spacing w:before="240" w:beforeAutospacing="0" w:after="0" w:afterAutospacing="0" w:line="360" w:lineRule="auto"/>
        <w:jc w:val="both"/>
      </w:pPr>
      <w:proofErr w:type="spellStart"/>
      <w:r>
        <w:rPr>
          <w:color w:val="222222"/>
          <w:shd w:val="clear" w:color="auto" w:fill="FFFFFF"/>
        </w:rPr>
        <w:t>Lunnan</w:t>
      </w:r>
      <w:proofErr w:type="spellEnd"/>
      <w:r>
        <w:rPr>
          <w:color w:val="222222"/>
          <w:shd w:val="clear" w:color="auto" w:fill="FFFFFF"/>
        </w:rPr>
        <w:t xml:space="preserve">, R., </w:t>
      </w:r>
      <w:proofErr w:type="spellStart"/>
      <w:r>
        <w:rPr>
          <w:color w:val="222222"/>
          <w:shd w:val="clear" w:color="auto" w:fill="FFFFFF"/>
        </w:rPr>
        <w:t>Tomassen</w:t>
      </w:r>
      <w:proofErr w:type="spellEnd"/>
      <w:r>
        <w:rPr>
          <w:color w:val="222222"/>
          <w:shd w:val="clear" w:color="auto" w:fill="FFFFFF"/>
        </w:rPr>
        <w:t xml:space="preserve">, S., Andersson, U. and Benito, G.R., (2019). Dealing with headquarters in the multinational corporation: A subsidiary perspective on organizing costs. </w:t>
      </w:r>
      <w:r>
        <w:rPr>
          <w:i/>
          <w:iCs/>
          <w:color w:val="222222"/>
          <w:shd w:val="clear" w:color="auto" w:fill="FFFFFF"/>
        </w:rPr>
        <w:t>Journal of Organization Design</w:t>
      </w:r>
      <w:r>
        <w:rPr>
          <w:color w:val="222222"/>
          <w:shd w:val="clear" w:color="auto" w:fill="FFFFFF"/>
        </w:rPr>
        <w:t xml:space="preserve">, </w:t>
      </w:r>
      <w:r>
        <w:rPr>
          <w:i/>
          <w:iCs/>
          <w:color w:val="222222"/>
          <w:shd w:val="clear" w:color="auto" w:fill="FFFFFF"/>
        </w:rPr>
        <w:t>8</w:t>
      </w:r>
      <w:r>
        <w:rPr>
          <w:color w:val="222222"/>
          <w:shd w:val="clear" w:color="auto" w:fill="FFFFFF"/>
        </w:rPr>
        <w:t xml:space="preserve">, pp.1-24. </w:t>
      </w:r>
      <w:hyperlink r:id="rId16" w:history="1">
        <w:r>
          <w:rPr>
            <w:rStyle w:val="Hyperlink"/>
            <w:color w:val="1155CC"/>
            <w:shd w:val="clear" w:color="auto" w:fill="FFFFFF"/>
          </w:rPr>
          <w:t>https://link.springer.com/article/10.1186/s41469-019-0052-y</w:t>
        </w:r>
      </w:hyperlink>
      <w:r>
        <w:rPr>
          <w:color w:val="222222"/>
          <w:shd w:val="clear" w:color="auto" w:fill="FFFFFF"/>
        </w:rPr>
        <w:t> </w:t>
      </w:r>
    </w:p>
    <w:p w14:paraId="624B726A" w14:textId="77777777" w:rsidR="00F87522" w:rsidRDefault="00F87522" w:rsidP="00F87522">
      <w:pPr>
        <w:pStyle w:val="NormalWeb"/>
        <w:spacing w:before="240" w:beforeAutospacing="0" w:after="0" w:afterAutospacing="0" w:line="360" w:lineRule="auto"/>
        <w:jc w:val="both"/>
      </w:pPr>
      <w:r>
        <w:rPr>
          <w:color w:val="222222"/>
          <w:shd w:val="clear" w:color="auto" w:fill="FFFFFF"/>
        </w:rPr>
        <w:t xml:space="preserve">Morgan, K. and Webb, B., (2020). Googling the city: in search of the public interest on Toronto's' </w:t>
      </w:r>
      <w:proofErr w:type="spellStart"/>
      <w:r>
        <w:rPr>
          <w:color w:val="222222"/>
          <w:shd w:val="clear" w:color="auto" w:fill="FFFFFF"/>
        </w:rPr>
        <w:t>Smart'waterfront</w:t>
      </w:r>
      <w:proofErr w:type="spellEnd"/>
      <w:r>
        <w:rPr>
          <w:color w:val="222222"/>
          <w:shd w:val="clear" w:color="auto" w:fill="FFFFFF"/>
        </w:rPr>
        <w:t xml:space="preserve">. </w:t>
      </w:r>
      <w:r>
        <w:rPr>
          <w:i/>
          <w:iCs/>
          <w:color w:val="222222"/>
          <w:shd w:val="clear" w:color="auto" w:fill="FFFFFF"/>
        </w:rPr>
        <w:t>Urban Planning</w:t>
      </w:r>
      <w:r>
        <w:rPr>
          <w:color w:val="222222"/>
          <w:shd w:val="clear" w:color="auto" w:fill="FFFFFF"/>
        </w:rPr>
        <w:t xml:space="preserve">, </w:t>
      </w:r>
      <w:r>
        <w:rPr>
          <w:i/>
          <w:iCs/>
          <w:color w:val="222222"/>
          <w:shd w:val="clear" w:color="auto" w:fill="FFFFFF"/>
        </w:rPr>
        <w:t>5</w:t>
      </w:r>
      <w:r>
        <w:rPr>
          <w:color w:val="222222"/>
          <w:shd w:val="clear" w:color="auto" w:fill="FFFFFF"/>
        </w:rPr>
        <w:t xml:space="preserve">(1), pp.84-95. </w:t>
      </w:r>
      <w:hyperlink r:id="rId17" w:history="1">
        <w:r>
          <w:rPr>
            <w:rStyle w:val="Hyperlink"/>
            <w:color w:val="1155CC"/>
            <w:shd w:val="clear" w:color="auto" w:fill="FFFFFF"/>
          </w:rPr>
          <w:t>https://www.ssoar.info/ssoar/handle/document/66859</w:t>
        </w:r>
      </w:hyperlink>
      <w:r>
        <w:rPr>
          <w:color w:val="222222"/>
          <w:shd w:val="clear" w:color="auto" w:fill="FFFFFF"/>
        </w:rPr>
        <w:t> </w:t>
      </w:r>
    </w:p>
    <w:p w14:paraId="03714958" w14:textId="77777777" w:rsidR="00F87522" w:rsidRDefault="00F87522" w:rsidP="00F87522">
      <w:pPr>
        <w:pStyle w:val="NormalWeb"/>
        <w:spacing w:before="240" w:beforeAutospacing="0" w:after="0" w:afterAutospacing="0" w:line="360" w:lineRule="auto"/>
        <w:jc w:val="both"/>
      </w:pPr>
      <w:r>
        <w:rPr>
          <w:color w:val="222222"/>
          <w:shd w:val="clear" w:color="auto" w:fill="FFFFFF"/>
        </w:rPr>
        <w:t xml:space="preserve">Sailer, K., </w:t>
      </w:r>
      <w:proofErr w:type="spellStart"/>
      <w:r>
        <w:rPr>
          <w:color w:val="222222"/>
          <w:shd w:val="clear" w:color="auto" w:fill="FFFFFF"/>
        </w:rPr>
        <w:t>Koutsolampros</w:t>
      </w:r>
      <w:proofErr w:type="spellEnd"/>
      <w:r>
        <w:rPr>
          <w:color w:val="222222"/>
          <w:shd w:val="clear" w:color="auto" w:fill="FFFFFF"/>
        </w:rPr>
        <w:t xml:space="preserve">, P. and </w:t>
      </w:r>
      <w:proofErr w:type="spellStart"/>
      <w:r>
        <w:rPr>
          <w:color w:val="222222"/>
          <w:shd w:val="clear" w:color="auto" w:fill="FFFFFF"/>
        </w:rPr>
        <w:t>Pachilova</w:t>
      </w:r>
      <w:proofErr w:type="spellEnd"/>
      <w:r>
        <w:rPr>
          <w:color w:val="222222"/>
          <w:shd w:val="clear" w:color="auto" w:fill="FFFFFF"/>
        </w:rPr>
        <w:t xml:space="preserve">, R., (2021). Differential perceptions of teamwork, focused work and perceived productivity as an effect of desk characteristics within a workplace layout. </w:t>
      </w:r>
      <w:proofErr w:type="spellStart"/>
      <w:r>
        <w:rPr>
          <w:i/>
          <w:iCs/>
          <w:color w:val="222222"/>
          <w:shd w:val="clear" w:color="auto" w:fill="FFFFFF"/>
        </w:rPr>
        <w:t>PloS</w:t>
      </w:r>
      <w:proofErr w:type="spellEnd"/>
      <w:r>
        <w:rPr>
          <w:i/>
          <w:iCs/>
          <w:color w:val="222222"/>
          <w:shd w:val="clear" w:color="auto" w:fill="FFFFFF"/>
        </w:rPr>
        <w:t xml:space="preserve"> one</w:t>
      </w:r>
      <w:r>
        <w:rPr>
          <w:color w:val="222222"/>
          <w:shd w:val="clear" w:color="auto" w:fill="FFFFFF"/>
        </w:rPr>
        <w:t xml:space="preserve">, </w:t>
      </w:r>
      <w:r>
        <w:rPr>
          <w:i/>
          <w:iCs/>
          <w:color w:val="222222"/>
          <w:shd w:val="clear" w:color="auto" w:fill="FFFFFF"/>
        </w:rPr>
        <w:t>16</w:t>
      </w:r>
      <w:r>
        <w:rPr>
          <w:color w:val="222222"/>
          <w:shd w:val="clear" w:color="auto" w:fill="FFFFFF"/>
        </w:rPr>
        <w:t xml:space="preserve">(4), p.e0250058. </w:t>
      </w:r>
      <w:hyperlink r:id="rId18" w:history="1">
        <w:r>
          <w:rPr>
            <w:rStyle w:val="Hyperlink"/>
            <w:color w:val="1155CC"/>
            <w:shd w:val="clear" w:color="auto" w:fill="FFFFFF"/>
          </w:rPr>
          <w:t>https://journals.plos.org/plosone/article?id=10.1371/journal.pone.0250058</w:t>
        </w:r>
      </w:hyperlink>
      <w:r>
        <w:rPr>
          <w:color w:val="222222"/>
          <w:shd w:val="clear" w:color="auto" w:fill="FFFFFF"/>
        </w:rPr>
        <w:t> </w:t>
      </w:r>
    </w:p>
    <w:p w14:paraId="2C17599C" w14:textId="77777777" w:rsidR="00F87522" w:rsidRDefault="00F87522" w:rsidP="00F87522">
      <w:pPr>
        <w:pStyle w:val="NormalWeb"/>
        <w:spacing w:before="240" w:beforeAutospacing="0" w:after="0" w:afterAutospacing="0" w:line="360" w:lineRule="auto"/>
        <w:jc w:val="both"/>
      </w:pPr>
      <w:r>
        <w:rPr>
          <w:color w:val="222222"/>
          <w:shd w:val="clear" w:color="auto" w:fill="FFFFFF"/>
        </w:rPr>
        <w:t xml:space="preserve">Sujon, Z., (2021). Disruptive play or platform colonialism? The contradictory dynamics of Google expeditions and educational virtual reality. </w:t>
      </w:r>
      <w:hyperlink r:id="rId19" w:history="1">
        <w:r>
          <w:rPr>
            <w:rStyle w:val="Hyperlink"/>
            <w:color w:val="1155CC"/>
            <w:shd w:val="clear" w:color="auto" w:fill="FFFFFF"/>
          </w:rPr>
          <w:t>https://ualresearchonline.arts.ac.uk/id/eprint/19221/1/Sujon_Chapter%2017_2021.pdf</w:t>
        </w:r>
      </w:hyperlink>
      <w:r>
        <w:rPr>
          <w:color w:val="222222"/>
          <w:shd w:val="clear" w:color="auto" w:fill="FFFFFF"/>
        </w:rPr>
        <w:t> </w:t>
      </w:r>
    </w:p>
    <w:p w14:paraId="16D588B2" w14:textId="77777777" w:rsidR="00F87522" w:rsidRDefault="00F87522" w:rsidP="00F87522">
      <w:pPr>
        <w:pStyle w:val="NormalWeb"/>
        <w:spacing w:before="240" w:beforeAutospacing="0" w:after="0" w:afterAutospacing="0" w:line="360" w:lineRule="auto"/>
        <w:jc w:val="both"/>
      </w:pPr>
      <w:r>
        <w:rPr>
          <w:color w:val="222222"/>
          <w:shd w:val="clear" w:color="auto" w:fill="FFFFFF"/>
        </w:rPr>
        <w:t xml:space="preserve">Verbeke, A. and Yuan, W., (2020). The tyranny of the head office? Revisiting corporate headquarters’(CHQs) role in MNE subsidiary initiatives. </w:t>
      </w:r>
      <w:r>
        <w:rPr>
          <w:i/>
          <w:iCs/>
          <w:color w:val="222222"/>
          <w:shd w:val="clear" w:color="auto" w:fill="FFFFFF"/>
        </w:rPr>
        <w:t>Journal of Organization Design</w:t>
      </w:r>
      <w:r>
        <w:rPr>
          <w:color w:val="222222"/>
          <w:shd w:val="clear" w:color="auto" w:fill="FFFFFF"/>
        </w:rPr>
        <w:t xml:space="preserve">, </w:t>
      </w:r>
      <w:r>
        <w:rPr>
          <w:i/>
          <w:iCs/>
          <w:color w:val="222222"/>
          <w:shd w:val="clear" w:color="auto" w:fill="FFFFFF"/>
        </w:rPr>
        <w:t>9</w:t>
      </w:r>
      <w:r>
        <w:rPr>
          <w:color w:val="222222"/>
          <w:shd w:val="clear" w:color="auto" w:fill="FFFFFF"/>
        </w:rPr>
        <w:t xml:space="preserve">, pp.1-11. </w:t>
      </w:r>
      <w:hyperlink r:id="rId20" w:history="1">
        <w:r>
          <w:rPr>
            <w:rStyle w:val="Hyperlink"/>
            <w:color w:val="1155CC"/>
            <w:shd w:val="clear" w:color="auto" w:fill="FFFFFF"/>
          </w:rPr>
          <w:t>https://link.springer.com/article/10.1186/s41469-020-0065-6</w:t>
        </w:r>
      </w:hyperlink>
      <w:r>
        <w:rPr>
          <w:color w:val="222222"/>
          <w:shd w:val="clear" w:color="auto" w:fill="FFFFFF"/>
        </w:rPr>
        <w:t> </w:t>
      </w:r>
    </w:p>
    <w:p w14:paraId="18E9D208" w14:textId="77777777" w:rsidR="00F87522" w:rsidRDefault="00F87522" w:rsidP="00F87522">
      <w:pPr>
        <w:pStyle w:val="NormalWeb"/>
        <w:spacing w:before="240" w:beforeAutospacing="0" w:after="0" w:afterAutospacing="0" w:line="360" w:lineRule="auto"/>
        <w:jc w:val="both"/>
      </w:pPr>
      <w:r>
        <w:rPr>
          <w:color w:val="222222"/>
          <w:shd w:val="clear" w:color="auto" w:fill="FFFFFF"/>
        </w:rPr>
        <w:t xml:space="preserve">Winch, G.M., Cao, D., Maytorena-Sanchez, E., Pinto, J., Sergeeva, N. and Zhang, S., (2021). Operation Warp Speed: Projects responding to the COVID-19 pandemic. </w:t>
      </w:r>
      <w:r>
        <w:rPr>
          <w:i/>
          <w:iCs/>
          <w:color w:val="222222"/>
          <w:shd w:val="clear" w:color="auto" w:fill="FFFFFF"/>
        </w:rPr>
        <w:t>Project leadership and society</w:t>
      </w:r>
      <w:r>
        <w:rPr>
          <w:color w:val="222222"/>
          <w:shd w:val="clear" w:color="auto" w:fill="FFFFFF"/>
        </w:rPr>
        <w:t xml:space="preserve">, </w:t>
      </w:r>
      <w:r>
        <w:rPr>
          <w:i/>
          <w:iCs/>
          <w:color w:val="222222"/>
          <w:shd w:val="clear" w:color="auto" w:fill="FFFFFF"/>
        </w:rPr>
        <w:t>2</w:t>
      </w:r>
      <w:r>
        <w:rPr>
          <w:color w:val="222222"/>
          <w:shd w:val="clear" w:color="auto" w:fill="FFFFFF"/>
        </w:rPr>
        <w:t xml:space="preserve">, p.100019. </w:t>
      </w:r>
      <w:hyperlink r:id="rId21" w:history="1">
        <w:r>
          <w:rPr>
            <w:rStyle w:val="Hyperlink"/>
            <w:color w:val="1155CC"/>
            <w:shd w:val="clear" w:color="auto" w:fill="FFFFFF"/>
          </w:rPr>
          <w:t>https://www.sciencedirect.com/science/article/pii/S2666721521000132</w:t>
        </w:r>
      </w:hyperlink>
      <w:r>
        <w:rPr>
          <w:color w:val="222222"/>
          <w:shd w:val="clear" w:color="auto" w:fill="FFFFFF"/>
        </w:rPr>
        <w:t> </w:t>
      </w:r>
    </w:p>
    <w:p w14:paraId="00000017" w14:textId="77777777" w:rsidR="004251F7" w:rsidRPr="001467A5" w:rsidRDefault="004251F7">
      <w:pPr>
        <w:spacing w:after="240" w:line="360" w:lineRule="auto"/>
        <w:jc w:val="both"/>
        <w:rPr>
          <w:rFonts w:ascii="Times New Roman" w:eastAsia="Times New Roman" w:hAnsi="Times New Roman" w:cs="Times New Roman"/>
          <w:color w:val="222222"/>
          <w:sz w:val="24"/>
          <w:szCs w:val="24"/>
          <w:highlight w:val="white"/>
          <w:lang w:val="en-GB"/>
        </w:rPr>
      </w:pPr>
    </w:p>
    <w:sectPr w:rsidR="004251F7" w:rsidRPr="001467A5" w:rsidSect="00F87522">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92026" w14:textId="77777777" w:rsidR="00147853" w:rsidRDefault="00147853" w:rsidP="00F87522">
      <w:pPr>
        <w:spacing w:line="240" w:lineRule="auto"/>
      </w:pPr>
      <w:r>
        <w:separator/>
      </w:r>
    </w:p>
  </w:endnote>
  <w:endnote w:type="continuationSeparator" w:id="0">
    <w:p w14:paraId="60384BAA" w14:textId="77777777" w:rsidR="00147853" w:rsidRDefault="00147853" w:rsidP="00F875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290051296"/>
      <w:docPartObj>
        <w:docPartGallery w:val="Page Numbers (Bottom of Page)"/>
        <w:docPartUnique/>
      </w:docPartObj>
    </w:sdtPr>
    <w:sdtEndPr>
      <w:rPr>
        <w:noProof/>
      </w:rPr>
    </w:sdtEndPr>
    <w:sdtContent>
      <w:p w14:paraId="331445AB" w14:textId="369323DD" w:rsidR="00F87522" w:rsidRPr="00F87522" w:rsidRDefault="00F87522">
        <w:pPr>
          <w:pStyle w:val="Footer"/>
          <w:jc w:val="right"/>
          <w:rPr>
            <w:rFonts w:ascii="Times New Roman" w:hAnsi="Times New Roman" w:cs="Times New Roman"/>
            <w:sz w:val="20"/>
            <w:szCs w:val="20"/>
          </w:rPr>
        </w:pPr>
        <w:r w:rsidRPr="00F87522">
          <w:rPr>
            <w:rFonts w:ascii="Times New Roman" w:hAnsi="Times New Roman" w:cs="Times New Roman"/>
            <w:sz w:val="20"/>
            <w:szCs w:val="20"/>
          </w:rPr>
          <w:fldChar w:fldCharType="begin"/>
        </w:r>
        <w:r w:rsidRPr="00F87522">
          <w:rPr>
            <w:rFonts w:ascii="Times New Roman" w:hAnsi="Times New Roman" w:cs="Times New Roman"/>
            <w:sz w:val="20"/>
            <w:szCs w:val="20"/>
          </w:rPr>
          <w:instrText xml:space="preserve"> PAGE   \* MERGEFORMAT </w:instrText>
        </w:r>
        <w:r w:rsidRPr="00F87522">
          <w:rPr>
            <w:rFonts w:ascii="Times New Roman" w:hAnsi="Times New Roman" w:cs="Times New Roman"/>
            <w:sz w:val="20"/>
            <w:szCs w:val="20"/>
          </w:rPr>
          <w:fldChar w:fldCharType="separate"/>
        </w:r>
        <w:r w:rsidRPr="00F87522">
          <w:rPr>
            <w:rFonts w:ascii="Times New Roman" w:hAnsi="Times New Roman" w:cs="Times New Roman"/>
            <w:noProof/>
            <w:sz w:val="20"/>
            <w:szCs w:val="20"/>
          </w:rPr>
          <w:t>2</w:t>
        </w:r>
        <w:r w:rsidRPr="00F87522">
          <w:rPr>
            <w:rFonts w:ascii="Times New Roman" w:hAnsi="Times New Roman" w:cs="Times New Roman"/>
            <w:noProof/>
            <w:sz w:val="20"/>
            <w:szCs w:val="20"/>
          </w:rPr>
          <w:fldChar w:fldCharType="end"/>
        </w:r>
      </w:p>
    </w:sdtContent>
  </w:sdt>
  <w:p w14:paraId="018A8EC6" w14:textId="77777777" w:rsidR="00F87522" w:rsidRPr="00F87522" w:rsidRDefault="00F87522">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7C346" w14:textId="77777777" w:rsidR="00147853" w:rsidRDefault="00147853" w:rsidP="00F87522">
      <w:pPr>
        <w:spacing w:line="240" w:lineRule="auto"/>
      </w:pPr>
      <w:r>
        <w:separator/>
      </w:r>
    </w:p>
  </w:footnote>
  <w:footnote w:type="continuationSeparator" w:id="0">
    <w:p w14:paraId="59E4D888" w14:textId="77777777" w:rsidR="00147853" w:rsidRDefault="00147853" w:rsidP="00F8752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1F7"/>
    <w:rsid w:val="001467A5"/>
    <w:rsid w:val="00147853"/>
    <w:rsid w:val="004251F7"/>
    <w:rsid w:val="00517DF0"/>
    <w:rsid w:val="00F738D8"/>
    <w:rsid w:val="00F8752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B8F05"/>
  <w15:docId w15:val="{ADA5C3C0-4727-49D5-A9E9-25C4E96FC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87522"/>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F87522"/>
    <w:pPr>
      <w:spacing w:before="100" w:beforeAutospacing="1" w:after="100" w:afterAutospacing="1" w:line="240" w:lineRule="auto"/>
    </w:pPr>
    <w:rPr>
      <w:rFonts w:ascii="Times New Roman" w:eastAsia="Times New Roman" w:hAnsi="Times New Roman" w:cs="Times New Roman"/>
      <w:sz w:val="24"/>
      <w:szCs w:val="24"/>
      <w:lang w:val="en-IN"/>
    </w:rPr>
  </w:style>
  <w:style w:type="character" w:styleId="Hyperlink">
    <w:name w:val="Hyperlink"/>
    <w:basedOn w:val="DefaultParagraphFont"/>
    <w:uiPriority w:val="99"/>
    <w:unhideWhenUsed/>
    <w:rsid w:val="00F87522"/>
    <w:rPr>
      <w:color w:val="0000FF"/>
      <w:u w:val="single"/>
    </w:rPr>
  </w:style>
  <w:style w:type="paragraph" w:styleId="Header">
    <w:name w:val="header"/>
    <w:basedOn w:val="Normal"/>
    <w:link w:val="HeaderChar"/>
    <w:uiPriority w:val="99"/>
    <w:unhideWhenUsed/>
    <w:rsid w:val="00F87522"/>
    <w:pPr>
      <w:tabs>
        <w:tab w:val="center" w:pos="4513"/>
        <w:tab w:val="right" w:pos="9026"/>
      </w:tabs>
      <w:spacing w:line="240" w:lineRule="auto"/>
    </w:pPr>
  </w:style>
  <w:style w:type="character" w:customStyle="1" w:styleId="HeaderChar">
    <w:name w:val="Header Char"/>
    <w:basedOn w:val="DefaultParagraphFont"/>
    <w:link w:val="Header"/>
    <w:uiPriority w:val="99"/>
    <w:rsid w:val="00F87522"/>
  </w:style>
  <w:style w:type="paragraph" w:styleId="Footer">
    <w:name w:val="footer"/>
    <w:basedOn w:val="Normal"/>
    <w:link w:val="FooterChar"/>
    <w:uiPriority w:val="99"/>
    <w:unhideWhenUsed/>
    <w:rsid w:val="00F87522"/>
    <w:pPr>
      <w:tabs>
        <w:tab w:val="center" w:pos="4513"/>
        <w:tab w:val="right" w:pos="9026"/>
      </w:tabs>
      <w:spacing w:line="240" w:lineRule="auto"/>
    </w:pPr>
  </w:style>
  <w:style w:type="character" w:customStyle="1" w:styleId="FooterChar">
    <w:name w:val="Footer Char"/>
    <w:basedOn w:val="DefaultParagraphFont"/>
    <w:link w:val="Footer"/>
    <w:uiPriority w:val="99"/>
    <w:rsid w:val="00F87522"/>
  </w:style>
  <w:style w:type="paragraph" w:styleId="TOCHeading">
    <w:name w:val="TOC Heading"/>
    <w:basedOn w:val="Heading1"/>
    <w:next w:val="Normal"/>
    <w:uiPriority w:val="39"/>
    <w:unhideWhenUsed/>
    <w:qFormat/>
    <w:rsid w:val="00F8752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8752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51721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abs/10.1177/2399654419854458" TargetMode="External"/><Relationship Id="rId13" Type="http://schemas.openxmlformats.org/officeDocument/2006/relationships/hyperlink" Target="https://journals.sagepub.com/doi/abs/10.1177/00420980221104594" TargetMode="External"/><Relationship Id="rId18" Type="http://schemas.openxmlformats.org/officeDocument/2006/relationships/hyperlink" Target="https://journals.plos.org/plosone/article?id=10.1371/journal.pone.0250058" TargetMode="External"/><Relationship Id="rId3" Type="http://schemas.openxmlformats.org/officeDocument/2006/relationships/settings" Target="settings.xml"/><Relationship Id="rId21" Type="http://schemas.openxmlformats.org/officeDocument/2006/relationships/hyperlink" Target="https://www.sciencedirect.com/science/article/pii/S2666721521000132" TargetMode="External"/><Relationship Id="rId7" Type="http://schemas.openxmlformats.org/officeDocument/2006/relationships/hyperlink" Target="https://link.springer.com/article/10.1057/s41267-020-00307-z" TargetMode="External"/><Relationship Id="rId12" Type="http://schemas.openxmlformats.org/officeDocument/2006/relationships/hyperlink" Target="https://books.google.com/books?hl=en&amp;lr=&amp;id=fYQfEAAAQBAJ&amp;oi=fnd&amp;pg=PP1&amp;dq=+Google+Headquarters+project+in+London&amp;ots=mmTW8UU6nr&amp;sig=J3BFPiA0BdjARK3PgmGQt_dcDHU" TargetMode="External"/><Relationship Id="rId17" Type="http://schemas.openxmlformats.org/officeDocument/2006/relationships/hyperlink" Target="https://www.ssoar.info/ssoar/handle/document/66859" TargetMode="External"/><Relationship Id="rId2" Type="http://schemas.openxmlformats.org/officeDocument/2006/relationships/styles" Target="styles.xml"/><Relationship Id="rId16" Type="http://schemas.openxmlformats.org/officeDocument/2006/relationships/hyperlink" Target="https://link.springer.com/article/10.1186/s41469-019-0052-y" TargetMode="External"/><Relationship Id="rId20" Type="http://schemas.openxmlformats.org/officeDocument/2006/relationships/hyperlink" Target="https://link.springer.com/article/10.1186/s41469-020-0065-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apers.ssrn.com/sol3/papers.cfm?abstract_id=359813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books.google.com/books?hl=en&amp;lr=&amp;id=RS8SEAAAQBAJ&amp;oi=fnd&amp;pg=PA1&amp;dq=+Google+Headquarters+project+in+London&amp;ots=oFwIqN_hsU&amp;sig=nVI5v-tSVzx3uDmMSWGgCeKy0co" TargetMode="External"/><Relationship Id="rId23" Type="http://schemas.openxmlformats.org/officeDocument/2006/relationships/fontTable" Target="fontTable.xml"/><Relationship Id="rId10" Type="http://schemas.openxmlformats.org/officeDocument/2006/relationships/hyperlink" Target="https://www.mdpi.com/2199-8531/7/1/46" TargetMode="External"/><Relationship Id="rId19" Type="http://schemas.openxmlformats.org/officeDocument/2006/relationships/hyperlink" Target="https://ualresearchonline.arts.ac.uk/id/eprint/19221/1/Sujon_Chapter%2017_2021.pdf" TargetMode="External"/><Relationship Id="rId4" Type="http://schemas.openxmlformats.org/officeDocument/2006/relationships/webSettings" Target="webSettings.xml"/><Relationship Id="rId9" Type="http://schemas.openxmlformats.org/officeDocument/2006/relationships/hyperlink" Target="https://www.mdpi.com/2199-8531/6/2/24" TargetMode="External"/><Relationship Id="rId14" Type="http://schemas.openxmlformats.org/officeDocument/2006/relationships/hyperlink" Target="https://www.tandfonline.com/doi/abs/10.1080/01576895.2019.1640753"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29DF3C-2718-424A-B8E4-26DF489E5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3430</Words>
  <Characters>19552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DAYEETA CHOWDHURY</dc:creator>
  <cp:lastModifiedBy>Dayeeta Chowdhury</cp:lastModifiedBy>
  <cp:revision>2</cp:revision>
  <dcterms:created xsi:type="dcterms:W3CDTF">2023-11-29T16:57:00Z</dcterms:created>
  <dcterms:modified xsi:type="dcterms:W3CDTF">2023-11-29T16:57:00Z</dcterms:modified>
</cp:coreProperties>
</file>