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9002E" w14:textId="77777777" w:rsidR="00B61AF6" w:rsidRPr="00C16BF8" w:rsidRDefault="00B61AF6" w:rsidP="00B61AF6">
      <w:pPr>
        <w:pStyle w:val="Heading1"/>
      </w:pPr>
      <w:bookmarkStart w:id="0" w:name="_Toc209387757"/>
      <w:r w:rsidRPr="00C16BF8">
        <w:t>CHAPTER 4 – Findings and Discussion</w:t>
      </w:r>
      <w:bookmarkEnd w:id="0"/>
    </w:p>
    <w:p w14:paraId="7C88B9C0" w14:textId="77777777" w:rsidR="00B61AF6" w:rsidRPr="00C16BF8" w:rsidRDefault="00B61AF6" w:rsidP="00B61AF6">
      <w:pPr>
        <w:pStyle w:val="Heading2"/>
        <w:spacing w:line="360" w:lineRule="auto"/>
        <w:jc w:val="both"/>
        <w:rPr>
          <w:rFonts w:ascii="Arial" w:hAnsi="Arial" w:cs="Arial"/>
          <w:b/>
          <w:color w:val="000000" w:themeColor="text1"/>
        </w:rPr>
      </w:pPr>
      <w:bookmarkStart w:id="1" w:name="_Toc209387758"/>
      <w:r w:rsidRPr="00C16BF8">
        <w:rPr>
          <w:rFonts w:ascii="Arial" w:hAnsi="Arial" w:cs="Arial"/>
          <w:b/>
          <w:color w:val="000000" w:themeColor="text1"/>
        </w:rPr>
        <w:t>4.1 Introduction</w:t>
      </w:r>
      <w:bookmarkEnd w:id="1"/>
      <w:r w:rsidRPr="00C16BF8">
        <w:rPr>
          <w:rFonts w:ascii="Arial" w:hAnsi="Arial" w:cs="Arial"/>
          <w:b/>
          <w:color w:val="000000" w:themeColor="text1"/>
        </w:rPr>
        <w:t xml:space="preserve"> </w:t>
      </w:r>
    </w:p>
    <w:p w14:paraId="244B012C"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chapter presents and discusses the findings from the thematic synthesis of qualitative literature on how the COVID-19 pandemic affected healthcare workers (HCWs) in the UK. After outlining the analytic approach, four themes, mapped to the study objectives, are examined: (1) psychological burden (stress, anxiety, depression, sleep disturbance, PTSD-type symptoms, burnout, moral distress), (2) lived experience across UK settings, (3) coping strategies and their perceived strengths/limitations, and (4) implications for policy, services and future crisis planning. Each theme integrates evidence across studies, relates observations to theory (e.g., JD-R, COR, ERI, moral injury), and considers convergences/divergences, before drawing practice-relevant implications.</w:t>
      </w:r>
    </w:p>
    <w:p w14:paraId="6C78C993" w14:textId="77777777" w:rsidR="00B61AF6" w:rsidRPr="00C16BF8" w:rsidRDefault="00B61AF6" w:rsidP="00B61AF6">
      <w:pPr>
        <w:pStyle w:val="Heading2"/>
        <w:spacing w:line="360" w:lineRule="auto"/>
        <w:jc w:val="both"/>
        <w:rPr>
          <w:rFonts w:ascii="Arial" w:hAnsi="Arial" w:cs="Arial"/>
          <w:b/>
          <w:color w:val="000000" w:themeColor="text1"/>
        </w:rPr>
      </w:pPr>
      <w:bookmarkStart w:id="2" w:name="_Toc209387759"/>
      <w:r w:rsidRPr="00C16BF8">
        <w:rPr>
          <w:rFonts w:ascii="Arial" w:hAnsi="Arial" w:cs="Arial"/>
          <w:b/>
          <w:color w:val="000000" w:themeColor="text1"/>
        </w:rPr>
        <w:t>4.2 Thematic Analysis</w:t>
      </w:r>
      <w:bookmarkEnd w:id="2"/>
      <w:r w:rsidRPr="00C16BF8">
        <w:rPr>
          <w:rFonts w:ascii="Arial" w:hAnsi="Arial" w:cs="Arial"/>
          <w:b/>
          <w:color w:val="000000" w:themeColor="text1"/>
        </w:rPr>
        <w:t xml:space="preserve"> </w:t>
      </w:r>
    </w:p>
    <w:p w14:paraId="70DA0F60"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synthesis followed a thematic analysis approach suited to secondary evidence: inductive line-by-line coding of the “findings” sections of included qualitative studies (participant quotations and authors’ interpretations), grouping codes into descriptive categories, and developing higher-order analytic themes that answer the review question (Thomas and Harden, 2008; Braun and Clarke, 2006). Trustworthiness was supported through an audit trail, reflexive memos, attention to disconfirming cases, and peer debrief on code/theme stability (Nowell et al., 2017).</w:t>
      </w:r>
    </w:p>
    <w:p w14:paraId="788CC331"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Following the search and screening process described in Chapter 3, included UK-relevant qualitative studies were imported into a coding spreadsheet. Initial codes (e.g., “fear of infecting family”, “moral conflict at end-of-life”, “redeployment strain”, “peer solidarity”, “time barrier to support”, “rest space helps”, “rota instability”) were iteratively clustered. The resulting analytic structure comprised four themes aligned with the dissertation objectives:</w:t>
      </w:r>
    </w:p>
    <w:p w14:paraId="4B292F9A" w14:textId="77777777" w:rsidR="00B61AF6" w:rsidRPr="00453378" w:rsidRDefault="00B61AF6" w:rsidP="00B61AF6">
      <w:pPr>
        <w:pStyle w:val="NormalWeb"/>
        <w:numPr>
          <w:ilvl w:val="0"/>
          <w:numId w:val="1"/>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1: Psychological burden during COVID-19 (stress, anxiety, depression, sleep disturbance, PTSD-type symptoms, burnout, moral distress/moral injury).</w:t>
      </w:r>
    </w:p>
    <w:p w14:paraId="06140A14" w14:textId="77777777" w:rsidR="00B61AF6" w:rsidRPr="00453378" w:rsidRDefault="00B61AF6" w:rsidP="00B61AF6">
      <w:pPr>
        <w:pStyle w:val="NormalWeb"/>
        <w:numPr>
          <w:ilvl w:val="0"/>
          <w:numId w:val="1"/>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2: Lived experience across UK settings (acute, critical care, emergency/ambulance, primary/community care, care homes).</w:t>
      </w:r>
    </w:p>
    <w:p w14:paraId="49D360A8" w14:textId="77777777" w:rsidR="00B61AF6" w:rsidRPr="00453378" w:rsidRDefault="00B61AF6" w:rsidP="00B61AF6">
      <w:pPr>
        <w:pStyle w:val="NormalWeb"/>
        <w:numPr>
          <w:ilvl w:val="0"/>
          <w:numId w:val="1"/>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3: Coping strategies, strengths and limitations (individual, social, organisational).</w:t>
      </w:r>
    </w:p>
    <w:p w14:paraId="4D2FDA22" w14:textId="77777777" w:rsidR="00B61AF6" w:rsidRPr="00453378" w:rsidRDefault="00B61AF6" w:rsidP="00B61AF6">
      <w:pPr>
        <w:pStyle w:val="NormalWeb"/>
        <w:numPr>
          <w:ilvl w:val="0"/>
          <w:numId w:val="1"/>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4: Recommendations for support systems, policies, and future crisis planning.</w:t>
      </w:r>
    </w:p>
    <w:p w14:paraId="3FD020AB"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lastRenderedPageBreak/>
        <w:t>These themes are explored below with reference to theoretical frames.</w:t>
      </w:r>
    </w:p>
    <w:p w14:paraId="2E82238D" w14:textId="77777777" w:rsidR="00B61AF6" w:rsidRPr="00C16BF8" w:rsidRDefault="00B61AF6" w:rsidP="00B61AF6">
      <w:pPr>
        <w:pStyle w:val="Heading2"/>
        <w:spacing w:line="360" w:lineRule="auto"/>
        <w:jc w:val="both"/>
        <w:rPr>
          <w:rFonts w:ascii="Arial" w:hAnsi="Arial" w:cs="Arial"/>
          <w:b/>
          <w:color w:val="000000" w:themeColor="text1"/>
        </w:rPr>
      </w:pPr>
      <w:bookmarkStart w:id="3" w:name="_Toc209387760"/>
      <w:r w:rsidRPr="00C16BF8">
        <w:rPr>
          <w:rFonts w:ascii="Arial" w:hAnsi="Arial" w:cs="Arial"/>
          <w:b/>
          <w:color w:val="000000" w:themeColor="text1"/>
        </w:rPr>
        <w:t>4.3 Theme 1 - Psychological Burden: Stress, Anxiety, Depression, Burnout and Moral Distress</w:t>
      </w:r>
      <w:bookmarkEnd w:id="3"/>
      <w:r w:rsidRPr="00C16BF8">
        <w:rPr>
          <w:rFonts w:ascii="Arial" w:hAnsi="Arial" w:cs="Arial"/>
          <w:b/>
          <w:color w:val="000000" w:themeColor="text1"/>
        </w:rPr>
        <w:t xml:space="preserve"> </w:t>
      </w:r>
    </w:p>
    <w:p w14:paraId="519AB37C" w14:textId="77777777" w:rsidR="00B61AF6" w:rsidRPr="00C16BF8" w:rsidRDefault="00B61AF6" w:rsidP="00B61AF6">
      <w:pPr>
        <w:pStyle w:val="Heading3"/>
        <w:spacing w:line="360" w:lineRule="auto"/>
        <w:jc w:val="both"/>
        <w:rPr>
          <w:rFonts w:ascii="Arial" w:hAnsi="Arial" w:cs="Arial"/>
          <w:b/>
          <w:color w:val="000000" w:themeColor="text1"/>
        </w:rPr>
      </w:pPr>
      <w:bookmarkStart w:id="4" w:name="_Toc209387761"/>
      <w:r w:rsidRPr="00C16BF8">
        <w:rPr>
          <w:rFonts w:ascii="Arial" w:hAnsi="Arial" w:cs="Arial"/>
          <w:b/>
          <w:color w:val="000000" w:themeColor="text1"/>
        </w:rPr>
        <w:t>4.3.1 Definition, scope and Context</w:t>
      </w:r>
      <w:bookmarkEnd w:id="4"/>
    </w:p>
    <w:p w14:paraId="36E47F07"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For this synthesis, psychological burden encompasses the spectrum of adverse mental health outcomes repor</w:t>
      </w:r>
      <w:r>
        <w:rPr>
          <w:rFonts w:ascii="Arial" w:hAnsi="Arial" w:cs="Arial"/>
          <w:color w:val="000000" w:themeColor="text1"/>
          <w:sz w:val="22"/>
        </w:rPr>
        <w:t xml:space="preserve">ted by HCWs during the pandemic </w:t>
      </w:r>
      <w:r w:rsidRPr="00453378">
        <w:rPr>
          <w:rFonts w:ascii="Arial" w:hAnsi="Arial" w:cs="Arial"/>
          <w:color w:val="000000" w:themeColor="text1"/>
          <w:sz w:val="22"/>
        </w:rPr>
        <w:t>stress, anxiety, depressive symptoms, insomnia, post-</w:t>
      </w:r>
      <w:r>
        <w:rPr>
          <w:rFonts w:ascii="Arial" w:hAnsi="Arial" w:cs="Arial"/>
          <w:color w:val="000000" w:themeColor="text1"/>
          <w:sz w:val="22"/>
        </w:rPr>
        <w:t xml:space="preserve">traumatic stress-type reactions </w:t>
      </w:r>
      <w:r w:rsidRPr="00453378">
        <w:rPr>
          <w:rFonts w:ascii="Arial" w:hAnsi="Arial" w:cs="Arial"/>
          <w:color w:val="000000" w:themeColor="text1"/>
          <w:sz w:val="22"/>
        </w:rPr>
        <w:t>and the work-related syndrome of burnout (emotional exhaustion, depersonalisation, reduced professional efficacy) alongside moral distress/moral injury, i.e., sustained distress rooted in perceived violations of core values under constrained conditions (Maslach and Jackson, 1981; Maslach and Leiter, 2016; Litz et al., 2009; Greenberg et al., 2020).</w:t>
      </w:r>
    </w:p>
    <w:p w14:paraId="76EA075B"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Historically, caring professions have been vulnerable to burnout and stress from high demands and emotional labour (Karasek, 1979; Maslach and Jackson, 1981). Pre-pandemic UK indicators already signalled workload pressures and rising stress (NHS Staff Survey, 2019). COVID-19 intensified these through high mortality, rapidly changing protocols, PPE uncertainty, redeployment, and isolation from usual supports (Hall, 2020; Ornell et al., 2020; Wu, Styra and Gold, 2020).</w:t>
      </w:r>
    </w:p>
    <w:p w14:paraId="0B2929C5"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dissertation asks how the pandemic affected UK HCWs’ mental health and how staff coped. Understanding the burden is foundational to interpreting coping responses and designing feasible supports.</w:t>
      </w:r>
    </w:p>
    <w:p w14:paraId="453419D9" w14:textId="77777777" w:rsidR="00B61AF6" w:rsidRPr="00C16BF8" w:rsidRDefault="00B61AF6" w:rsidP="00B61AF6">
      <w:pPr>
        <w:pStyle w:val="Heading3"/>
        <w:spacing w:line="360" w:lineRule="auto"/>
        <w:jc w:val="both"/>
        <w:rPr>
          <w:rFonts w:ascii="Arial" w:eastAsia="Times New Roman" w:hAnsi="Arial" w:cs="Arial"/>
          <w:b/>
          <w:color w:val="000000" w:themeColor="text1"/>
        </w:rPr>
      </w:pPr>
      <w:bookmarkStart w:id="5" w:name="_Toc209387762"/>
      <w:r w:rsidRPr="00C16BF8">
        <w:rPr>
          <w:rFonts w:ascii="Arial" w:eastAsia="Times New Roman" w:hAnsi="Arial" w:cs="Arial"/>
          <w:b/>
          <w:color w:val="000000" w:themeColor="text1"/>
        </w:rPr>
        <w:t>4.3.2 Link to Objective 1</w:t>
      </w:r>
      <w:bookmarkEnd w:id="5"/>
      <w:r w:rsidRPr="00C16BF8">
        <w:rPr>
          <w:rFonts w:ascii="Arial" w:eastAsia="Times New Roman" w:hAnsi="Arial" w:cs="Arial"/>
          <w:b/>
          <w:color w:val="000000" w:themeColor="text1"/>
        </w:rPr>
        <w:t xml:space="preserve"> </w:t>
      </w:r>
    </w:p>
    <w:p w14:paraId="7AD064E8"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directly fulfils Objective 1 by outlining the principal psychological sequelae among UK HCWs during COVID-19, stress, anxiety, depression, insomnia/PTSD-type symptoms, burnout and moral distress, as evidenced across qualitative accounts (Billings et al., 2021; De Kock et al., 2021; Greenberg et al., 2020; Maslach and Leiter, 2016). It also clarifies how organisational conditions amplified or buffered these outcomes, framing the burden through JD-R, COR, ERI and moral-injury lenses (Demerouti et al., 2001; Hobfoll, 2018; Siegrist, 1996; Litz et al., 2009). This mapping establishes the baseline problem that Themes 3–4 aim to address via coping supports and policy/system design.</w:t>
      </w:r>
    </w:p>
    <w:p w14:paraId="27BC18A3" w14:textId="77777777" w:rsidR="00B61AF6" w:rsidRPr="00C16BF8" w:rsidRDefault="00B61AF6" w:rsidP="00B61AF6">
      <w:pPr>
        <w:pStyle w:val="Heading3"/>
        <w:spacing w:line="360" w:lineRule="auto"/>
        <w:jc w:val="both"/>
        <w:rPr>
          <w:rFonts w:ascii="Arial" w:hAnsi="Arial" w:cs="Arial"/>
          <w:b/>
          <w:color w:val="000000" w:themeColor="text1"/>
        </w:rPr>
      </w:pPr>
      <w:bookmarkStart w:id="6" w:name="_Toc209387763"/>
      <w:r w:rsidRPr="00C16BF8">
        <w:rPr>
          <w:rFonts w:ascii="Arial" w:hAnsi="Arial" w:cs="Arial"/>
          <w:b/>
          <w:color w:val="000000" w:themeColor="text1"/>
        </w:rPr>
        <w:lastRenderedPageBreak/>
        <w:t>4.3.3 What Qualitative Studies Report?</w:t>
      </w:r>
      <w:bookmarkEnd w:id="6"/>
    </w:p>
    <w:p w14:paraId="7609DE88"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Across UK-relevant qualitative accounts, participants described pervasive fear, both of personal infection and, more acutely, of transmitting the virus to vulnerable family, accompanied by hypervigilance, sleep problems, guilt and grief linked to frequent deaths and visiting restrictions (Billings et al., 2021; De Kock et al., 2021). Frontline narratives often referenced moral distress: rationing of care, communication via PPE, facilitating good deaths without family present, and perceived gaps between professional standards and what was possible (Greenberg et al., 2020; Billings et al., 2021). Emotional exhaustion and numbness (depersonalisation) were common descriptors after repeated surges, with some noting blunted empathy or irritability as defence mechanisms, classic burnout features (Maslach and Leiter, 2016; Billings et al., 2021).</w:t>
      </w:r>
    </w:p>
    <w:p w14:paraId="73AB05E2"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Several studies (and UK practitioner reflections) described cumulative strain: even when acute fear subsided, backlogs, chronic vacancies and sustained “winter in summer” demand prolonged stressors into 2022–2023 (Kinman, Teoh and Harriss, 2020; NHS Staff Survey, 2021; Samarasekera, Horton and Bird, 2021). Distress was not uniform: nurses, women, ethnic minority staff, ICU and emergency personnel, and those with prior vulnerabilities reported higher risk (Pappa et al., 2020; Sanghera et al., 2020; De Kock et al., 2021). Some qualitative accounts from care homes emphasised traumatic loss, stigma in communities, and feelings of abandonment compared with hospital-based resources (Rajan et al., 2020).</w:t>
      </w:r>
    </w:p>
    <w:p w14:paraId="030DA052" w14:textId="77777777" w:rsidR="00B61AF6" w:rsidRPr="00C16BF8" w:rsidRDefault="00B61AF6" w:rsidP="00B61AF6">
      <w:pPr>
        <w:pStyle w:val="Heading3"/>
        <w:spacing w:line="360" w:lineRule="auto"/>
        <w:jc w:val="both"/>
        <w:rPr>
          <w:rFonts w:ascii="Arial" w:hAnsi="Arial" w:cs="Arial"/>
          <w:b/>
          <w:color w:val="000000" w:themeColor="text1"/>
        </w:rPr>
      </w:pPr>
      <w:bookmarkStart w:id="7" w:name="_Toc209387764"/>
      <w:r w:rsidRPr="00C16BF8">
        <w:rPr>
          <w:rFonts w:ascii="Arial" w:hAnsi="Arial" w:cs="Arial"/>
          <w:b/>
          <w:color w:val="000000" w:themeColor="text1"/>
        </w:rPr>
        <w:t>4.3.4 Theoretical Interpretation</w:t>
      </w:r>
      <w:bookmarkEnd w:id="7"/>
    </w:p>
    <w:p w14:paraId="3CCC2EF3"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Findings cohere with JD-R: exceptionally high job demands (workload, emotional labour, time pressure, mortality) combined with constrained resources (staffing, rest, autonomy, predictable rotas) predicted strain and burnout; where resources were bolstered (clear communication, supportive leadership, adequate PPE, rest spaces) distress was attenuated (Demerouti et al., 2001; Bakker and Demerouti, 2007; West et al., 2014). COR dynamics were visible in “loss spirals”, sleep erosion, reduced social contact, cancelled leave, and “gain spirals” where small wins (peer support, safe spaces) built resilience (Hobfoll, 2018). ERI offered another lens where perceived effort (risk, hours, role stretch) outstripped rewards (esteem, security, control), fuelling distress (Siegrist, 1996). Moral injury frames captured value conflicts around safety, end-of-life care and fairness, which are less explicit in JD-R or ERI (Litz et al., 2009; Greenberg et al., 2020).</w:t>
      </w:r>
    </w:p>
    <w:p w14:paraId="0031ECDC" w14:textId="77777777" w:rsidR="00B61AF6" w:rsidRPr="00C16BF8" w:rsidRDefault="00B61AF6" w:rsidP="00B61AF6">
      <w:pPr>
        <w:pStyle w:val="Heading3"/>
        <w:spacing w:line="360" w:lineRule="auto"/>
        <w:jc w:val="both"/>
        <w:rPr>
          <w:rFonts w:ascii="Arial" w:hAnsi="Arial" w:cs="Arial"/>
          <w:b/>
          <w:color w:val="000000" w:themeColor="text1"/>
        </w:rPr>
      </w:pPr>
      <w:bookmarkStart w:id="8" w:name="_Toc209387765"/>
      <w:r w:rsidRPr="00C16BF8">
        <w:rPr>
          <w:rFonts w:ascii="Arial" w:hAnsi="Arial" w:cs="Arial"/>
          <w:b/>
          <w:color w:val="000000" w:themeColor="text1"/>
        </w:rPr>
        <w:lastRenderedPageBreak/>
        <w:t>4.3.5 Illustrative articles</w:t>
      </w:r>
      <w:bookmarkEnd w:id="8"/>
    </w:p>
    <w:p w14:paraId="16587078"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Billings et al. (2021) meta-synthesised frontline experiences (COVID-19 and prior outbreaks), identifying fear, stigma, moral distress, exhaustion, and the conditional value of supports (e.g., peer solidarity helps, but time/access barriers persist). De Kock et al. (2021) highlighted psychological impacts (anxiety, depression, trauma symptoms) and underscored organisational drivers, staffing, communication, PPE confidence—reinforcing JD-R interpretations. Sanghera et al. (2020) and Greenberg et al. (2020) emphasised ICU/emergency contexts and moral injury risk, pairing descriptive insights with practical recommendations (psychological PPE, just culture). Agreement across studies was high regarding direction (distress increased), with nuanced differences in degree by role/setting and in whether distress was framed as transient “crisis stress” or chronic burnout risk.</w:t>
      </w:r>
    </w:p>
    <w:p w14:paraId="59DF5614" w14:textId="77777777" w:rsidR="00B61AF6" w:rsidRPr="00C16BF8" w:rsidRDefault="00B61AF6" w:rsidP="00B61AF6">
      <w:pPr>
        <w:pStyle w:val="Heading3"/>
        <w:spacing w:line="360" w:lineRule="auto"/>
        <w:jc w:val="both"/>
        <w:rPr>
          <w:rFonts w:ascii="Arial" w:hAnsi="Arial" w:cs="Arial"/>
          <w:b/>
          <w:color w:val="000000" w:themeColor="text1"/>
        </w:rPr>
      </w:pPr>
      <w:bookmarkStart w:id="9" w:name="_Toc209387766"/>
      <w:r w:rsidRPr="00C16BF8">
        <w:rPr>
          <w:rFonts w:ascii="Arial" w:hAnsi="Arial" w:cs="Arial"/>
          <w:b/>
          <w:color w:val="000000" w:themeColor="text1"/>
        </w:rPr>
        <w:t>4.3.6 Implications</w:t>
      </w:r>
      <w:bookmarkEnd w:id="9"/>
      <w:r w:rsidRPr="00C16BF8">
        <w:rPr>
          <w:rFonts w:ascii="Arial" w:hAnsi="Arial" w:cs="Arial"/>
          <w:b/>
          <w:color w:val="000000" w:themeColor="text1"/>
        </w:rPr>
        <w:t xml:space="preserve"> </w:t>
      </w:r>
    </w:p>
    <w:p w14:paraId="67F62518"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Many HCWs reported pride, team cohesion, and a renewed sense of purpose; for some, clear crisis roles and supportive teams buffered harm (Kinman, Teoh and Harriss, 2020; West et al., 2014). Persistent demand, vacancies and backlog recovery threatened to convert acute stress to chronic burnout; moral injury risks can endure beyond the crisis if unaddressed (Maslach and Leiter, 2016; Greenberg et al., 2020). Addressing structural contributors (staffing, rest, autonomy, fair rewards) is as important as offering individual support.</w:t>
      </w:r>
    </w:p>
    <w:p w14:paraId="68FA0858"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Connections to other themes: The burden described here is shaped by setting (Theme 2), modulated by coping (Theme 3), and actionable via policy and design (Theme 4).</w:t>
      </w:r>
    </w:p>
    <w:p w14:paraId="5B1F171F" w14:textId="77777777" w:rsidR="00B61AF6" w:rsidRPr="00C16BF8" w:rsidRDefault="00B61AF6" w:rsidP="00B61AF6">
      <w:pPr>
        <w:pStyle w:val="Heading2"/>
        <w:spacing w:line="360" w:lineRule="auto"/>
        <w:jc w:val="both"/>
        <w:rPr>
          <w:rFonts w:ascii="Arial" w:hAnsi="Arial" w:cs="Arial"/>
          <w:b/>
          <w:color w:val="000000" w:themeColor="text1"/>
        </w:rPr>
      </w:pPr>
      <w:bookmarkStart w:id="10" w:name="_Toc209387767"/>
      <w:r w:rsidRPr="00C16BF8">
        <w:rPr>
          <w:rFonts w:ascii="Arial" w:hAnsi="Arial" w:cs="Arial"/>
          <w:b/>
          <w:color w:val="000000" w:themeColor="text1"/>
        </w:rPr>
        <w:t>4.4 Theme 2 - Lived Experience Across UK Settings</w:t>
      </w:r>
      <w:bookmarkEnd w:id="10"/>
      <w:r w:rsidRPr="00C16BF8">
        <w:rPr>
          <w:rFonts w:ascii="Arial" w:hAnsi="Arial" w:cs="Arial"/>
          <w:b/>
          <w:color w:val="000000" w:themeColor="text1"/>
        </w:rPr>
        <w:t xml:space="preserve"> </w:t>
      </w:r>
    </w:p>
    <w:p w14:paraId="52C6E377" w14:textId="77777777" w:rsidR="00B61AF6" w:rsidRPr="00C16BF8" w:rsidRDefault="00B61AF6" w:rsidP="00B61AF6">
      <w:pPr>
        <w:pStyle w:val="Heading3"/>
        <w:spacing w:line="360" w:lineRule="auto"/>
        <w:jc w:val="both"/>
        <w:rPr>
          <w:rFonts w:ascii="Arial" w:hAnsi="Arial" w:cs="Arial"/>
          <w:b/>
          <w:color w:val="000000" w:themeColor="text1"/>
        </w:rPr>
      </w:pPr>
      <w:bookmarkStart w:id="11" w:name="_Toc209387768"/>
      <w:r w:rsidRPr="00C16BF8">
        <w:rPr>
          <w:rFonts w:ascii="Arial" w:hAnsi="Arial" w:cs="Arial"/>
          <w:b/>
          <w:color w:val="000000" w:themeColor="text1"/>
        </w:rPr>
        <w:t>4.4.1 Definition and scope</w:t>
      </w:r>
      <w:bookmarkEnd w:id="11"/>
    </w:p>
    <w:p w14:paraId="331138F4"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theme synthesises what qualitative studies report about where and how UK HCWs experienced the pandemic: acute/ICU wards, emergency/ambulance services, primary and community care, and care homes. It foregrounds contextual factors (workflows, resources, patient mix) that influence psychological outcomes.</w:t>
      </w:r>
    </w:p>
    <w:p w14:paraId="36C2B19F" w14:textId="77777777" w:rsidR="00B61AF6" w:rsidRPr="00C16BF8" w:rsidRDefault="00B61AF6" w:rsidP="00B61AF6">
      <w:pPr>
        <w:pStyle w:val="Heading3"/>
        <w:spacing w:line="360" w:lineRule="auto"/>
        <w:jc w:val="both"/>
        <w:rPr>
          <w:rFonts w:ascii="Arial" w:hAnsi="Arial" w:cs="Arial"/>
          <w:b/>
          <w:color w:val="000000" w:themeColor="text1"/>
        </w:rPr>
      </w:pPr>
      <w:bookmarkStart w:id="12" w:name="_Toc209387769"/>
      <w:r w:rsidRPr="00C16BF8">
        <w:rPr>
          <w:rFonts w:ascii="Arial" w:hAnsi="Arial" w:cs="Arial"/>
          <w:b/>
          <w:color w:val="000000" w:themeColor="text1"/>
        </w:rPr>
        <w:lastRenderedPageBreak/>
        <w:t>4.4.2 Link to Objective 2</w:t>
      </w:r>
      <w:bookmarkEnd w:id="12"/>
    </w:p>
    <w:p w14:paraId="6624F774"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directly addresses Objective 2 by synthesising how frontline HCWs experienced care delivery across UK settings, ICU/acute, emergency/ambulance, primary/community care, and care homes, highlighting setting-specific stressors and resources (Billings et al., 2021; De Kock et al., 2021; Rajan et al., 2020). It captures contextual nuances (redeployment, leadership communication, PPE access, equity issues) that shape lived experience and risk (Kinman, Teoh and Harriss, 2020; PHE, 2020). These insights ground later analysis of coping (Theme 3) and policy design (Theme 4) in the realities of diverse UK care environments.</w:t>
      </w:r>
    </w:p>
    <w:p w14:paraId="3335FD0D" w14:textId="77777777" w:rsidR="00B61AF6" w:rsidRPr="00C16BF8" w:rsidRDefault="00B61AF6" w:rsidP="00B61AF6">
      <w:pPr>
        <w:pStyle w:val="Heading3"/>
        <w:spacing w:line="360" w:lineRule="auto"/>
        <w:jc w:val="both"/>
        <w:rPr>
          <w:rFonts w:ascii="Arial" w:hAnsi="Arial" w:cs="Arial"/>
          <w:b/>
          <w:color w:val="000000" w:themeColor="text1"/>
        </w:rPr>
      </w:pPr>
      <w:bookmarkStart w:id="13" w:name="_Toc209387770"/>
      <w:r w:rsidRPr="00C16BF8">
        <w:rPr>
          <w:rFonts w:ascii="Arial" w:hAnsi="Arial" w:cs="Arial"/>
          <w:b/>
          <w:color w:val="000000" w:themeColor="text1"/>
        </w:rPr>
        <w:t>4.4.3 Acute and Critical Care</w:t>
      </w:r>
      <w:bookmarkEnd w:id="13"/>
    </w:p>
    <w:p w14:paraId="3939A261"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Acute hospitals and ICUs faced rapid surges, high mortality, redeployment, and evolving protocols. Staff described the “surreal” experience of full PPE, communication barriers with patients/families, and complex treatment decisions under uncertainty (Billings et al., 2021). ICU narratives often referenced moral complexity of end-of-life decisions and visitor restrictions, with ripple effects on team dynamics and debriefing needs (Greenberg et al., 2020). Clear, consistent communication from leadership and visible senior presence were repeatedly cited as protective (Kinman, Teoh and Harriss, 2020).</w:t>
      </w:r>
    </w:p>
    <w:p w14:paraId="73174817" w14:textId="77777777" w:rsidR="00B61AF6" w:rsidRPr="00C16BF8" w:rsidRDefault="00B61AF6" w:rsidP="00B61AF6">
      <w:pPr>
        <w:pStyle w:val="Heading3"/>
        <w:spacing w:line="360" w:lineRule="auto"/>
        <w:jc w:val="both"/>
        <w:rPr>
          <w:rFonts w:ascii="Arial" w:hAnsi="Arial" w:cs="Arial"/>
          <w:b/>
          <w:color w:val="000000" w:themeColor="text1"/>
        </w:rPr>
      </w:pPr>
      <w:bookmarkStart w:id="14" w:name="_Toc209387771"/>
      <w:r w:rsidRPr="00C16BF8">
        <w:rPr>
          <w:rFonts w:ascii="Arial" w:hAnsi="Arial" w:cs="Arial"/>
          <w:b/>
          <w:color w:val="000000" w:themeColor="text1"/>
        </w:rPr>
        <w:t>4.4.4 Emergency and Ambulance Services</w:t>
      </w:r>
      <w:bookmarkEnd w:id="14"/>
    </w:p>
    <w:p w14:paraId="5F3586ED"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Ambulance crews and emergency departments contended with uncertain risk in community pick-ups, rapidly changing triage, and public expectation management. Qualitative reports noted adrenaline-driven shifts followed by delayed emotional reactions, compounded by limited recovery time between calls. Physical rest spaces and predictable breaks were valued but inconsistently available (Sanghera et al., 2020). ERI dynamics were salient: high effort and risk with variable recognition or control (Siegrist, 1996).</w:t>
      </w:r>
    </w:p>
    <w:p w14:paraId="23861395" w14:textId="77777777" w:rsidR="00B61AF6" w:rsidRPr="00C16BF8" w:rsidRDefault="00B61AF6" w:rsidP="00B61AF6">
      <w:pPr>
        <w:pStyle w:val="Heading3"/>
        <w:spacing w:line="360" w:lineRule="auto"/>
        <w:jc w:val="both"/>
        <w:rPr>
          <w:rFonts w:ascii="Arial" w:hAnsi="Arial" w:cs="Arial"/>
          <w:b/>
          <w:color w:val="000000" w:themeColor="text1"/>
        </w:rPr>
      </w:pPr>
      <w:bookmarkStart w:id="15" w:name="_Toc209387772"/>
      <w:r w:rsidRPr="00C16BF8">
        <w:rPr>
          <w:rFonts w:ascii="Arial" w:hAnsi="Arial" w:cs="Arial"/>
          <w:b/>
          <w:color w:val="000000" w:themeColor="text1"/>
        </w:rPr>
        <w:t>4.4.5 Primary and Community Care</w:t>
      </w:r>
      <w:bookmarkEnd w:id="15"/>
    </w:p>
    <w:p w14:paraId="69A9FAAA"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 xml:space="preserve">Primary care clinicians reported workload spikes related to remote triage, catching up delayed care, and managing diagnostic uncertainty without physical examination, alongside moral stress from perceived unmet needs (RCGP, 2020). Community nurses described isolation, travelling between households with limited immediate peer contact, and the emotional burden of supporting </w:t>
      </w:r>
      <w:r w:rsidRPr="00453378">
        <w:rPr>
          <w:rFonts w:ascii="Arial" w:hAnsi="Arial" w:cs="Arial"/>
          <w:color w:val="000000" w:themeColor="text1"/>
          <w:sz w:val="22"/>
        </w:rPr>
        <w:lastRenderedPageBreak/>
        <w:t>shielding patients (De Kock et al., 2021). Where primary care teams established micro-teams, regular huddles and rota predictability, experiences were more manageable, consistent with JD-R buffering via resources (Bakker and Demerouti, 2007).</w:t>
      </w:r>
    </w:p>
    <w:p w14:paraId="39024D29" w14:textId="77777777" w:rsidR="00B61AF6" w:rsidRPr="00C16BF8" w:rsidRDefault="00B61AF6" w:rsidP="00B61AF6">
      <w:pPr>
        <w:pStyle w:val="Heading3"/>
        <w:spacing w:line="360" w:lineRule="auto"/>
        <w:jc w:val="both"/>
        <w:rPr>
          <w:rFonts w:ascii="Arial" w:hAnsi="Arial" w:cs="Arial"/>
          <w:b/>
          <w:color w:val="000000" w:themeColor="text1"/>
        </w:rPr>
      </w:pPr>
      <w:bookmarkStart w:id="16" w:name="_Toc209387773"/>
      <w:r w:rsidRPr="00C16BF8">
        <w:rPr>
          <w:rFonts w:ascii="Arial" w:hAnsi="Arial" w:cs="Arial"/>
          <w:b/>
          <w:color w:val="000000" w:themeColor="text1"/>
        </w:rPr>
        <w:t>4.4.6 Care Homes and Long-Term Care</w:t>
      </w:r>
      <w:bookmarkEnd w:id="16"/>
    </w:p>
    <w:p w14:paraId="2856EBF9"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Care home staff faced devastating mortality early in the pandemic, complex infection control, and heightened stigma. Several UK analyses highlighted grief, helplessness and a sense of being “overlooked” compared with acute care in terms of resourcing and visibility (Rajan et al., 2020). Staff described strong bonds with residents and families, making losses particularly personal; lack of adequate staffing and limited access to psychological services were recurrent barriers (De Kock et al., 2021).</w:t>
      </w:r>
    </w:p>
    <w:p w14:paraId="29A76D46" w14:textId="77777777" w:rsidR="00B61AF6" w:rsidRPr="00C16BF8" w:rsidRDefault="00B61AF6" w:rsidP="00B61AF6">
      <w:pPr>
        <w:pStyle w:val="Heading3"/>
        <w:spacing w:line="360" w:lineRule="auto"/>
        <w:jc w:val="both"/>
        <w:rPr>
          <w:rFonts w:ascii="Arial" w:hAnsi="Arial" w:cs="Arial"/>
          <w:b/>
          <w:color w:val="000000" w:themeColor="text1"/>
        </w:rPr>
      </w:pPr>
      <w:bookmarkStart w:id="17" w:name="_Toc209387774"/>
      <w:r w:rsidRPr="00C16BF8">
        <w:rPr>
          <w:rFonts w:ascii="Arial" w:hAnsi="Arial" w:cs="Arial"/>
          <w:b/>
          <w:color w:val="000000" w:themeColor="text1"/>
        </w:rPr>
        <w:t>4.4.7 Cross-cutting UK contextual factors</w:t>
      </w:r>
      <w:bookmarkEnd w:id="17"/>
    </w:p>
    <w:p w14:paraId="1717EAA7"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Rapid redeployment created a sense of identity disruption for some staff, as they were required to adapt quickly to unfamiliar roles. At the same time, it also provided opportunities for learning, skill development, and building camaraderie among colleagues. Where adequate induction and supervision were in place, the stress associated with these transitions was significantly reduced (Billings et al., 2021). Transparent and consistent communication played a crucial role in reducing uncertainty during times of rapid change. Staff who received regular updates felt more reassured and supported, whereas perceived opacity or lack of information tended to amplify anxiety and distrust (Kinman, Teoh and Harriss, 2020). Ethnic minority staff frequently reported disproportionate fears and perceived risks compared to their peers. Access to culturally competent support and fair opportunities in redeployment decisions were not always equitable, highlighting gaps in organizational inclusivity (PHE, 2020; NHS England, 2020). In the recovery phase, sustained pressures were particularly evident in primary care and elective services. Many staff observed a shift from the sense of crisis heroism seen early in the pandemic to a prolonged experience of chronic strain, as the backlog of work continued to grow (NHS Staff Survey, 2021; Samarasekera, Horton and Bird, 2021).</w:t>
      </w:r>
    </w:p>
    <w:p w14:paraId="0B91C271" w14:textId="77777777" w:rsidR="00B61AF6" w:rsidRPr="00C16BF8" w:rsidRDefault="00B61AF6" w:rsidP="00B61AF6">
      <w:pPr>
        <w:pStyle w:val="Heading3"/>
        <w:spacing w:line="360" w:lineRule="auto"/>
        <w:jc w:val="both"/>
        <w:rPr>
          <w:rFonts w:ascii="Arial" w:hAnsi="Arial" w:cs="Arial"/>
          <w:b/>
          <w:color w:val="000000" w:themeColor="text1"/>
        </w:rPr>
      </w:pPr>
      <w:bookmarkStart w:id="18" w:name="_Toc209387775"/>
      <w:r w:rsidRPr="00C16BF8">
        <w:rPr>
          <w:rFonts w:ascii="Arial" w:hAnsi="Arial" w:cs="Arial"/>
          <w:b/>
          <w:color w:val="000000" w:themeColor="text1"/>
        </w:rPr>
        <w:t>4.4.8 Illustrative Articles</w:t>
      </w:r>
      <w:bookmarkEnd w:id="18"/>
    </w:p>
    <w:p w14:paraId="71DD1E3F"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 xml:space="preserve">Billings et al. (2021) conducted a frontline qualitative meta-synthesis that embedded UK experiences within a broader set of international reports. Their findings highlighted the moral </w:t>
      </w:r>
      <w:r w:rsidRPr="00453378">
        <w:rPr>
          <w:rFonts w:ascii="Arial" w:eastAsia="Times New Roman" w:hAnsi="Arial" w:cs="Arial"/>
          <w:color w:val="000000" w:themeColor="text1"/>
          <w:szCs w:val="24"/>
        </w:rPr>
        <w:lastRenderedPageBreak/>
        <w:t>tensions faced by staff in intensive care and end-of-life settings, the barriers to caring created by inadequate PPE, and the vital buffering role of peer solidarity in helping staff cope with these challenges. De Kock et al. (2021) provided a rapid review that mapped the mental health of healthcare workers in the UK, placing particular emphasis on contextual factors such as staffing levels, redeployment, and organisational communication. Importantly, their work also captured insights from community and primary care, offering a more comprehensive picture of pressures across the healthcare system. Rajan et al. (2020) undertook a policy analysis of long-term care responses across Europe, including the UK. Their analysis highlighted the specific challenges faced in care homes and drew out the wider implications of these pressures for staff experience, particularly around workforce resilience and systemic preparedness</w:t>
      </w:r>
      <w:r w:rsidRPr="00453378">
        <w:rPr>
          <w:rFonts w:ascii="Arial" w:hAnsi="Arial" w:cs="Arial"/>
          <w:color w:val="000000" w:themeColor="text1"/>
          <w:sz w:val="20"/>
        </w:rPr>
        <w:t>.</w:t>
      </w:r>
    </w:p>
    <w:p w14:paraId="4ADE55BD" w14:textId="77777777" w:rsidR="00B61AF6" w:rsidRPr="00C16BF8" w:rsidRDefault="00B61AF6" w:rsidP="00B61AF6">
      <w:pPr>
        <w:pStyle w:val="Heading3"/>
        <w:spacing w:line="360" w:lineRule="auto"/>
        <w:jc w:val="both"/>
        <w:rPr>
          <w:rFonts w:ascii="Arial" w:hAnsi="Arial" w:cs="Arial"/>
          <w:b/>
          <w:color w:val="000000" w:themeColor="text1"/>
        </w:rPr>
      </w:pPr>
      <w:bookmarkStart w:id="19" w:name="_Toc209387776"/>
      <w:r w:rsidRPr="00C16BF8">
        <w:rPr>
          <w:rFonts w:ascii="Arial" w:hAnsi="Arial" w:cs="Arial"/>
          <w:b/>
          <w:color w:val="000000" w:themeColor="text1"/>
        </w:rPr>
        <w:t>4.4.9 Implications</w:t>
      </w:r>
      <w:bookmarkEnd w:id="19"/>
    </w:p>
    <w:p w14:paraId="4E8C216E"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setting shapes the stressor profile and resource options. Accordingly, interventions must be tailored: ICU needs structured debriefs and trauma-aware supervision; ambulance services require rest planning and post-incident support; primary/community care benefit from micro-team design and protected time; care homes need equitable access to PPE, testing and psychological services. Uniform “offer lists” (apps, helplines) are necessary but insufficient unless paired with setting-specific design and resourcing (Kinman, Teoh and Harriss, 2020; West et al., 2014).</w:t>
      </w:r>
    </w:p>
    <w:p w14:paraId="70EB56C5"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 xml:space="preserve">Connections to other themes: </w:t>
      </w:r>
      <w:r w:rsidRPr="00453378">
        <w:rPr>
          <w:rFonts w:ascii="Arial" w:hAnsi="Arial" w:cs="Arial"/>
          <w:color w:val="000000" w:themeColor="text1"/>
          <w:sz w:val="22"/>
        </w:rPr>
        <w:t>Setting-linked stressors influence the type and uptake of coping supports (Theme 3) and signal where policy must focus (Theme 4).</w:t>
      </w:r>
    </w:p>
    <w:p w14:paraId="0F6CAD4B" w14:textId="77777777" w:rsidR="00B61AF6" w:rsidRPr="00C16BF8" w:rsidRDefault="00B61AF6" w:rsidP="00B61AF6">
      <w:pPr>
        <w:pStyle w:val="Heading2"/>
        <w:spacing w:line="360" w:lineRule="auto"/>
        <w:jc w:val="both"/>
        <w:rPr>
          <w:rFonts w:ascii="Arial" w:hAnsi="Arial" w:cs="Arial"/>
          <w:b/>
          <w:color w:val="000000" w:themeColor="text1"/>
        </w:rPr>
      </w:pPr>
      <w:bookmarkStart w:id="20" w:name="_Toc209387777"/>
      <w:r w:rsidRPr="00C16BF8">
        <w:rPr>
          <w:rFonts w:ascii="Arial" w:hAnsi="Arial" w:cs="Arial"/>
          <w:b/>
          <w:color w:val="000000" w:themeColor="text1"/>
        </w:rPr>
        <w:t>4.5 Theme 3 - Coping Strategies: Strengths and Limitations</w:t>
      </w:r>
      <w:bookmarkEnd w:id="20"/>
      <w:r w:rsidRPr="00C16BF8">
        <w:rPr>
          <w:rFonts w:ascii="Arial" w:hAnsi="Arial" w:cs="Arial"/>
          <w:b/>
          <w:color w:val="000000" w:themeColor="text1"/>
        </w:rPr>
        <w:t xml:space="preserve"> </w:t>
      </w:r>
    </w:p>
    <w:p w14:paraId="5740D51C" w14:textId="77777777" w:rsidR="00B61AF6" w:rsidRPr="00C16BF8" w:rsidRDefault="00B61AF6" w:rsidP="00B61AF6">
      <w:pPr>
        <w:pStyle w:val="Heading3"/>
        <w:spacing w:line="360" w:lineRule="auto"/>
        <w:jc w:val="both"/>
        <w:rPr>
          <w:rFonts w:ascii="Arial" w:hAnsi="Arial" w:cs="Arial"/>
          <w:b/>
          <w:color w:val="000000" w:themeColor="text1"/>
        </w:rPr>
      </w:pPr>
      <w:bookmarkStart w:id="21" w:name="_Toc209387778"/>
      <w:r w:rsidRPr="00C16BF8">
        <w:rPr>
          <w:rFonts w:ascii="Arial" w:hAnsi="Arial" w:cs="Arial"/>
          <w:b/>
          <w:color w:val="000000" w:themeColor="text1"/>
        </w:rPr>
        <w:t>4.5.1 Definitions and Scope</w:t>
      </w:r>
      <w:bookmarkEnd w:id="21"/>
    </w:p>
    <w:p w14:paraId="6D3C7C38"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Coping strategies encompass cognitive, behavioural, social and organisational methods HCWs used or were offered to regulate distress and sustain functioning, ranging from individual practices (sleep hygiene, exercise, mindfulness) to relational supports (peer debriefs, family) and system interventions (rest hubs, counselling, rota redesign, leadership communication) (Lazarus and Folkman, 1984; Wu, Styra and Gold, 2020).</w:t>
      </w:r>
    </w:p>
    <w:p w14:paraId="44766382" w14:textId="77777777" w:rsidR="00B61AF6" w:rsidRPr="00C16BF8" w:rsidRDefault="00B61AF6" w:rsidP="00B61AF6">
      <w:pPr>
        <w:pStyle w:val="Heading3"/>
        <w:spacing w:line="360" w:lineRule="auto"/>
        <w:jc w:val="both"/>
        <w:rPr>
          <w:rFonts w:ascii="Arial" w:hAnsi="Arial" w:cs="Arial"/>
          <w:b/>
          <w:color w:val="000000" w:themeColor="text1"/>
        </w:rPr>
      </w:pPr>
      <w:bookmarkStart w:id="22" w:name="_Toc209387779"/>
      <w:r w:rsidRPr="00C16BF8">
        <w:rPr>
          <w:rFonts w:ascii="Arial" w:hAnsi="Arial" w:cs="Arial"/>
          <w:b/>
          <w:color w:val="000000" w:themeColor="text1"/>
        </w:rPr>
        <w:t>4.5.2 Link to Objective 3</w:t>
      </w:r>
      <w:bookmarkEnd w:id="22"/>
    </w:p>
    <w:p w14:paraId="0CD4531D"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directly fulfils Objective 3 by critically examining the strengths (peer solidarity, embedded/brief psychological input, practical “resource gains,” compassionate leadership) and limitations (time barriers, stigma/confidentiality concerns, offer–need mismatch, inequities) of coping supports reported by UK HCWs (Billings et al., 2021; Kinman, Teoh and Harriss, 2020; Blake et al., 2020). Interpreting these findings through JD-R, COR, ERI and moral-injury frameworks clarifies why some supports worked and others fell short (Bakker and Demerouti, 2007; Hobfoll, 2018; Siegrist, 1996; Litz et al., 2009). This evaluation provides evidence-informed guidance for strengthening design and delivery of staff wellbeing interventions.</w:t>
      </w:r>
    </w:p>
    <w:p w14:paraId="48852DB1" w14:textId="77777777" w:rsidR="00B61AF6" w:rsidRPr="00C16BF8" w:rsidRDefault="00B61AF6" w:rsidP="00B61AF6">
      <w:pPr>
        <w:pStyle w:val="Heading3"/>
        <w:spacing w:line="360" w:lineRule="auto"/>
        <w:jc w:val="both"/>
        <w:rPr>
          <w:rFonts w:ascii="Arial" w:hAnsi="Arial" w:cs="Arial"/>
          <w:b/>
          <w:color w:val="000000" w:themeColor="text1"/>
        </w:rPr>
      </w:pPr>
      <w:bookmarkStart w:id="23" w:name="_Toc209387780"/>
      <w:r w:rsidRPr="00C16BF8">
        <w:rPr>
          <w:rFonts w:ascii="Arial" w:hAnsi="Arial" w:cs="Arial"/>
          <w:b/>
          <w:color w:val="000000" w:themeColor="text1"/>
        </w:rPr>
        <w:t>4.5.3 What worked (perceived strengths)</w:t>
      </w:r>
      <w:bookmarkEnd w:id="23"/>
    </w:p>
    <w:p w14:paraId="3836B4F2"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Peer support and team cohesion were consistently highlighted as vital sources of strength. Informal practices such as checking in with colleagues, end-of-shift huddles, and peer debriefs were widely described as acceptable, immediately helpful, and low-friction “resources” in Job Demands Resources (JD-R) terms (Billings et al., 2021; Kinman, Teoh and Harriss, 2020). More formal approaches, including Schwartz Rounds and structured reflective spaces, were also valued where they were implemented, providing opportunities for collective reflection and emotional processing. Accessible psychological services were most effective when they were proactive and embedded within clinical environments. In-house psychology teams offering drop-in sessions on wards, along with brief, targeted interventions, saw greater uptake and perceived usefulness compared with remote or referral-based models (Billings et al., 2021). Short, practical sessions that addressed sleep, grounding techniques, and managing uncertainty aligned with psychological first aid principles, making them particularly relevant and actionable for staff under pressure (Wu, Styra and Gold, 2020).</w:t>
      </w:r>
    </w:p>
    <w:p w14:paraId="25C872FE" w14:textId="77777777" w:rsidR="00B61AF6" w:rsidRPr="00C16BF8" w:rsidRDefault="00B61AF6" w:rsidP="00B61AF6">
      <w:pPr>
        <w:spacing w:before="100" w:beforeAutospacing="1" w:after="100" w:afterAutospacing="1" w:line="360" w:lineRule="auto"/>
        <w:jc w:val="both"/>
        <w:rPr>
          <w:rFonts w:ascii="Arial" w:eastAsia="Times New Roman" w:hAnsi="Arial" w:cs="Arial"/>
          <w:color w:val="000000" w:themeColor="text1"/>
          <w:sz w:val="24"/>
          <w:szCs w:val="24"/>
        </w:rPr>
      </w:pPr>
      <w:r w:rsidRPr="00453378">
        <w:rPr>
          <w:rFonts w:ascii="Arial" w:eastAsia="Times New Roman" w:hAnsi="Arial" w:cs="Arial"/>
          <w:color w:val="000000" w:themeColor="text1"/>
          <w:szCs w:val="24"/>
        </w:rPr>
        <w:t>Practical supports were described as tangible “resource gains” that buffered stress and created gain spirals, consistent with Conservation of Resources (COR) theory. Facilities such as rest hubs, access to hot food, parking, accommodation for staff protecting vulnerable family members, and reliable PPE supplies were regarded as concrete measures that significantly improved wellbeing, especially during peak periods of demand (Hobfoll, 2018; Blake et al., 2020). Leadership and communication also played a crucial role in shaping staff experience. Visible and compassionate leadership, combined with consistent two-way communication, helped to reduce uncertainty and signal organisational justice. This, in turn, fostered trust and improved the willingness of staff to engage with the supports available to them (West et al., 2014; Greenberg et al., 2020).</w:t>
      </w:r>
    </w:p>
    <w:p w14:paraId="15F05444" w14:textId="77777777" w:rsidR="00B61AF6" w:rsidRPr="00C16BF8" w:rsidRDefault="00B61AF6" w:rsidP="00B61AF6">
      <w:pPr>
        <w:pStyle w:val="Heading3"/>
        <w:spacing w:line="360" w:lineRule="auto"/>
        <w:jc w:val="both"/>
        <w:rPr>
          <w:rFonts w:ascii="Arial" w:hAnsi="Arial" w:cs="Arial"/>
          <w:b/>
          <w:color w:val="000000" w:themeColor="text1"/>
        </w:rPr>
      </w:pPr>
      <w:bookmarkStart w:id="24" w:name="_Toc209387781"/>
      <w:r w:rsidRPr="00C16BF8">
        <w:rPr>
          <w:rFonts w:ascii="Arial" w:hAnsi="Arial" w:cs="Arial"/>
          <w:b/>
          <w:color w:val="000000" w:themeColor="text1"/>
        </w:rPr>
        <w:t>4.5.4 Limitations and Barriers</w:t>
      </w:r>
      <w:bookmarkEnd w:id="24"/>
    </w:p>
    <w:p w14:paraId="3FDD6DF3"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One of the most frequently cited barriers to accessing support was time. Back-to-back shifts, the absence of protected breaks, and the reluctance to stay late for wellbeing sessions all reduced uptake, even when staff reported high levels of need. Rotating or night staff were often excluded in practice, highlighting inequities linked to scheduling (Billings et al., 2021). Perceived stigma and concerns around confidentiality also played a significant role in shaping help-seeking behaviour. Some staff avoided formal psychological services due to fears of career repercussions or being judged as “not coping.” In these cases, trust in confidentiality and a sense of psychological safety were critical to whether individuals engaged with available support (Kinman, Teoh and Harriss, 2020).</w:t>
      </w:r>
    </w:p>
    <w:p w14:paraId="2CCFD46D"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Another barrier lay in the mismatch between support offers and staff needs. While app-based or remote support was convenient and appreciated by some, others found it impersonal or overly generic. In contexts where the main stressors were structural, such as chronic understaffing or rota instability, individual-level interventions often felt inadequate or even frustrating (Maslach and Leiter, 2016; Greenberg et al., 2020). Equity of access also emerged as a concern. Care home staff, bank and agency workers, and certain community teams reported fewer support options or faced practical barriers such as travel and scheduling. These disparities raised important questions about fairness and inclusivity in the provision of staff wellbeing resources (Rajan et al., 2020; De Kock et al., 2021).</w:t>
      </w:r>
    </w:p>
    <w:p w14:paraId="3C152893" w14:textId="77777777" w:rsidR="00B61AF6" w:rsidRPr="00C16BF8" w:rsidRDefault="00B61AF6" w:rsidP="00B61AF6">
      <w:pPr>
        <w:pStyle w:val="Heading3"/>
        <w:spacing w:line="360" w:lineRule="auto"/>
        <w:jc w:val="both"/>
        <w:rPr>
          <w:rFonts w:ascii="Arial" w:hAnsi="Arial" w:cs="Arial"/>
          <w:b/>
          <w:color w:val="000000" w:themeColor="text1"/>
        </w:rPr>
      </w:pPr>
      <w:bookmarkStart w:id="25" w:name="_Toc209387782"/>
      <w:r w:rsidRPr="00C16BF8">
        <w:rPr>
          <w:rFonts w:ascii="Arial" w:hAnsi="Arial" w:cs="Arial"/>
          <w:b/>
          <w:color w:val="000000" w:themeColor="text1"/>
        </w:rPr>
        <w:t>4.5.5 Illustrative Articles</w:t>
      </w:r>
      <w:bookmarkEnd w:id="25"/>
    </w:p>
    <w:p w14:paraId="12C2541D"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Kinman, Teoh and Harriss (2020) produced a synthesis of UK guidance which emphasised the importance of multi-level approaches to staff wellbeing. Their work highlighted the role of practical resources, compassionate leadership, and manager training in shaping supportive environments. These recommendations map closely onto the kinds of supports that healthcare workers themselves consistently rated as helpful in practice. Billings et al. (2021), through a qualitative meta-synthesis, underscored the value of peer solidarity and embedded forms of psychological support. They noted, however, that staff faced persistent barriers such as lack of time, stigma surrounding help-seeking, and the need for organisations to address structural causes of stress rather than relying solely on individual-level interventions.</w:t>
      </w:r>
    </w:p>
    <w:p w14:paraId="4421A5AA"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Blake et al. (2020) evaluated a rapidly developed digital learning package designed to deliver practical wellbeing skills at scale during the pandemic. Participants reported that the brevity, accessibility, and relevance of the material made it useful, though engagement varied and some noted the challenges of digital fatigue. De Kock et al. (2021) carried out a rapid review of healthcare worker mental health in the UK, mapping evidence across different settings. Their findings emphasised the pressures of staffing shortages, redeployment, and inconsistent organisational communication, while also drawing attention to the experiences of community and primary care staff, who were often underrepresented in earlier discussions. Rajan et al. (2020) conducted a policy analysis of long-term care responses across Europe, with particular attention to the UK. They highlighted the challenges faced in care homes, where staff often had less access to wellbeing resources and were disproportionately affected by systemic shortcomings, raising concerns about equity and workforce resilience.</w:t>
      </w:r>
    </w:p>
    <w:p w14:paraId="59DD4F63" w14:textId="77777777" w:rsidR="00B61AF6" w:rsidRPr="00C16BF8" w:rsidRDefault="00B61AF6" w:rsidP="00B61AF6">
      <w:pPr>
        <w:pStyle w:val="Heading3"/>
        <w:spacing w:line="360" w:lineRule="auto"/>
        <w:jc w:val="both"/>
        <w:rPr>
          <w:rFonts w:ascii="Arial" w:hAnsi="Arial" w:cs="Arial"/>
          <w:b/>
          <w:color w:val="000000" w:themeColor="text1"/>
        </w:rPr>
      </w:pPr>
      <w:bookmarkStart w:id="26" w:name="_Toc209387783"/>
      <w:r w:rsidRPr="00C16BF8">
        <w:rPr>
          <w:rFonts w:ascii="Arial" w:hAnsi="Arial" w:cs="Arial"/>
          <w:b/>
          <w:color w:val="000000" w:themeColor="text1"/>
        </w:rPr>
        <w:t>4.5.6 Theoretical Integration</w:t>
      </w:r>
      <w:bookmarkEnd w:id="26"/>
    </w:p>
    <w:p w14:paraId="1A3B60A2"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JD-R helps explain why supports that add resources (autonomy, recovery time, supervisor support) are rated as more useful than those focusing solely on individual coping; ERI and moral injury frameworks explain why fairness and values alignment matter for sustained wellbeing (Bakker and Demerouti, 2007; Siegrist, 1996; Litz et al., 2009). COR clarifies why small, reliable practical gains (breaks, sleep, accommodation) can have outsized effects by interrupting loss spirals (Hobfoll, 2018).</w:t>
      </w:r>
    </w:p>
    <w:p w14:paraId="72F6EE41" w14:textId="77777777" w:rsidR="00B61AF6" w:rsidRPr="00C16BF8" w:rsidRDefault="00B61AF6" w:rsidP="00B61AF6">
      <w:pPr>
        <w:pStyle w:val="Heading3"/>
        <w:spacing w:line="360" w:lineRule="auto"/>
        <w:jc w:val="both"/>
        <w:rPr>
          <w:rFonts w:ascii="Arial" w:hAnsi="Arial" w:cs="Arial"/>
          <w:b/>
          <w:color w:val="000000" w:themeColor="text1"/>
        </w:rPr>
      </w:pPr>
      <w:bookmarkStart w:id="27" w:name="_Toc209387784"/>
      <w:r w:rsidRPr="00C16BF8">
        <w:rPr>
          <w:rFonts w:ascii="Arial" w:hAnsi="Arial" w:cs="Arial"/>
          <w:b/>
          <w:color w:val="000000" w:themeColor="text1"/>
        </w:rPr>
        <w:t>4.5.7 Implications</w:t>
      </w:r>
      <w:bookmarkEnd w:id="27"/>
    </w:p>
    <w:p w14:paraId="061F37CA"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A key positive implication is that peer-led, embedded, brief, and practical supports are widely acceptable to staff and have strong potential for scalability. When such supports are coupled with compassionate and visible leadership, they not only address immediate wellbeing needs but also foster trust and cohesion within teams. This combination offers a sustainable approach to supporting staff in high-pressure healthcare environments.</w:t>
      </w:r>
    </w:p>
    <w:p w14:paraId="76AC03BE"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On the other hand, there are important risks if systemic issues are not addressed. Without protected time, adequate staffing relief, and deliberate attention to equity, even the highest-quality supports may remain under-utilised. In such circumstances, interventions risk being perceived by staff as tokenistic gestures rather than meaningful efforts to address their wellbeing. This underlines the need for organisations to integrate support into the core fabric of workforce planning and resource allocation</w:t>
      </w:r>
      <w:r w:rsidRPr="00453378">
        <w:rPr>
          <w:rFonts w:ascii="Arial" w:hAnsi="Arial" w:cs="Arial"/>
          <w:color w:val="000000" w:themeColor="text1"/>
        </w:rPr>
        <w:t>.</w:t>
      </w:r>
    </w:p>
    <w:p w14:paraId="4018752D" w14:textId="77777777" w:rsidR="00B61AF6" w:rsidRPr="00453378" w:rsidRDefault="00B61AF6" w:rsidP="00B61AF6">
      <w:pPr>
        <w:pStyle w:val="NormalWeb"/>
        <w:spacing w:line="360" w:lineRule="auto"/>
        <w:jc w:val="both"/>
        <w:rPr>
          <w:rFonts w:ascii="Arial" w:hAnsi="Arial" w:cs="Arial"/>
          <w:color w:val="000000" w:themeColor="text1"/>
          <w:sz w:val="22"/>
          <w:szCs w:val="22"/>
        </w:rPr>
      </w:pPr>
      <w:r w:rsidRPr="00453378">
        <w:rPr>
          <w:rFonts w:ascii="Arial" w:hAnsi="Arial" w:cs="Arial"/>
          <w:b/>
          <w:color w:val="000000" w:themeColor="text1"/>
          <w:sz w:val="22"/>
          <w:szCs w:val="22"/>
        </w:rPr>
        <w:t>Connections to other themes:</w:t>
      </w:r>
      <w:r w:rsidRPr="00453378">
        <w:rPr>
          <w:rFonts w:ascii="Arial" w:hAnsi="Arial" w:cs="Arial"/>
          <w:color w:val="000000" w:themeColor="text1"/>
          <w:sz w:val="22"/>
          <w:szCs w:val="22"/>
        </w:rPr>
        <w:t xml:space="preserve"> Coping effectiveness depends on setting design and resources (Theme 2) and is shaped by policy decisions on staffing, leave, and occupational health (Theme 4).</w:t>
      </w:r>
    </w:p>
    <w:p w14:paraId="0554216F" w14:textId="77777777" w:rsidR="00B61AF6" w:rsidRPr="00C16BF8" w:rsidRDefault="00B61AF6" w:rsidP="00B61AF6">
      <w:pPr>
        <w:pStyle w:val="Heading2"/>
        <w:spacing w:line="360" w:lineRule="auto"/>
        <w:jc w:val="both"/>
        <w:rPr>
          <w:rFonts w:ascii="Arial" w:hAnsi="Arial" w:cs="Arial"/>
          <w:b/>
          <w:color w:val="000000" w:themeColor="text1"/>
        </w:rPr>
      </w:pPr>
      <w:bookmarkStart w:id="28" w:name="_Toc209387785"/>
      <w:r w:rsidRPr="00C16BF8">
        <w:rPr>
          <w:rFonts w:ascii="Arial" w:hAnsi="Arial" w:cs="Arial"/>
          <w:b/>
          <w:color w:val="000000" w:themeColor="text1"/>
        </w:rPr>
        <w:t>4.6 Theme 4 - Recommendations for Support Systems, Policy and Future Planning</w:t>
      </w:r>
      <w:bookmarkEnd w:id="28"/>
      <w:r w:rsidRPr="00C16BF8">
        <w:rPr>
          <w:rFonts w:ascii="Arial" w:hAnsi="Arial" w:cs="Arial"/>
          <w:b/>
          <w:color w:val="000000" w:themeColor="text1"/>
        </w:rPr>
        <w:t xml:space="preserve"> </w:t>
      </w:r>
    </w:p>
    <w:p w14:paraId="079349E3" w14:textId="77777777" w:rsidR="00B61AF6" w:rsidRPr="00C16BF8" w:rsidRDefault="00B61AF6" w:rsidP="00B61AF6">
      <w:pPr>
        <w:pStyle w:val="Heading3"/>
        <w:spacing w:line="360" w:lineRule="auto"/>
        <w:jc w:val="both"/>
        <w:rPr>
          <w:rFonts w:ascii="Arial" w:hAnsi="Arial" w:cs="Arial"/>
          <w:b/>
          <w:color w:val="000000" w:themeColor="text1"/>
        </w:rPr>
      </w:pPr>
      <w:bookmarkStart w:id="29" w:name="_Toc209387786"/>
      <w:r w:rsidRPr="00C16BF8">
        <w:rPr>
          <w:rFonts w:ascii="Arial" w:hAnsi="Arial" w:cs="Arial"/>
          <w:b/>
          <w:color w:val="000000" w:themeColor="text1"/>
        </w:rPr>
        <w:t>4.6.1 From findings to action</w:t>
      </w:r>
      <w:bookmarkEnd w:id="29"/>
    </w:p>
    <w:p w14:paraId="38864389"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synthesis points to multi-level interventions, individual, team, organisational and system, aligned with UK policy frameworks (NHS People Plan/People Promise; HSE stress standards; NICE PTSD/workplace guidance) and international guidance (WHO) (NHS England, 2020; HSE, 2019; NICE, 2018; WHO, 2022).</w:t>
      </w:r>
    </w:p>
    <w:p w14:paraId="11D9AFD8" w14:textId="77777777" w:rsidR="00B61AF6" w:rsidRPr="00C16BF8" w:rsidRDefault="00B61AF6" w:rsidP="00B61AF6">
      <w:pPr>
        <w:pStyle w:val="Heading3"/>
        <w:spacing w:line="360" w:lineRule="auto"/>
        <w:jc w:val="both"/>
        <w:rPr>
          <w:rFonts w:ascii="Arial" w:eastAsia="Times New Roman" w:hAnsi="Arial" w:cs="Arial"/>
          <w:b/>
          <w:color w:val="000000" w:themeColor="text1"/>
        </w:rPr>
      </w:pPr>
      <w:bookmarkStart w:id="30" w:name="_Toc209387787"/>
      <w:r w:rsidRPr="00C16BF8">
        <w:rPr>
          <w:rFonts w:ascii="Arial" w:eastAsia="Times New Roman" w:hAnsi="Arial" w:cs="Arial"/>
          <w:b/>
          <w:color w:val="000000" w:themeColor="text1"/>
        </w:rPr>
        <w:t>4.6.2 Link to Objective 4</w:t>
      </w:r>
      <w:bookmarkEnd w:id="30"/>
      <w:r w:rsidRPr="00C16BF8">
        <w:rPr>
          <w:rFonts w:ascii="Arial" w:eastAsia="Times New Roman" w:hAnsi="Arial" w:cs="Arial"/>
          <w:b/>
          <w:color w:val="000000" w:themeColor="text1"/>
        </w:rPr>
        <w:t xml:space="preserve"> </w:t>
      </w:r>
    </w:p>
    <w:p w14:paraId="673BB979"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fulfils Objective 4 by translating the synthesis into concrete, multi-level recommendations for mental-health support systems, organisational policies, and surge-preparedness in UK health and social care, covering staffing, protected recovery, compassionate leadership, equity, embedded psychology, and ethics supports (NHS England, 2020; HSE, 2019; Greenberg et al., 2020; NICE, 2018). It specifies implementation levers (rota design, rest hubs, micro-teams, parity for care homes) and feedback loops (wellbeing metrics with action) to ensure sustainability (Maslach and Leiter, 2016; NHS Staff Survey, 2021). These actionable proposals directly inform future crisis planning in line with ILO guidance, 2022).</w:t>
      </w:r>
    </w:p>
    <w:p w14:paraId="79474626" w14:textId="77777777" w:rsidR="00B61AF6" w:rsidRPr="00C16BF8" w:rsidRDefault="00B61AF6" w:rsidP="00B61AF6">
      <w:pPr>
        <w:pStyle w:val="Heading3"/>
        <w:spacing w:line="360" w:lineRule="auto"/>
        <w:jc w:val="both"/>
        <w:rPr>
          <w:rFonts w:ascii="Arial" w:hAnsi="Arial" w:cs="Arial"/>
          <w:b/>
          <w:color w:val="000000" w:themeColor="text1"/>
        </w:rPr>
      </w:pPr>
      <w:bookmarkStart w:id="31" w:name="_Toc209387788"/>
      <w:r w:rsidRPr="00C16BF8">
        <w:rPr>
          <w:rFonts w:ascii="Arial" w:hAnsi="Arial" w:cs="Arial"/>
          <w:b/>
          <w:color w:val="000000" w:themeColor="text1"/>
        </w:rPr>
        <w:t>4.6.3 System and Organisational Design</w:t>
      </w:r>
      <w:bookmarkEnd w:id="31"/>
    </w:p>
    <w:p w14:paraId="3E5B0EEC"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Addressing staffing and workload pressures is essential for sustaining workforce wellbeing. Tackling chronic vacancies and ensuring surge capacity can be supported through the use of flexible staffing pools, cross-training accompanied by proper induction, and the provision of protected recovery time. These measures directly target the demands identified in the Job Demands–Resources (JD-R) model and contribute to fairness as conceptualised in the Effort–Reward Imbalance (ERI) model (Bakker and Demerouti, 2007; Siegrist, 1996).</w:t>
      </w:r>
    </w:p>
    <w:p w14:paraId="46585BF6"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Protected breaks and recovery opportunities also need to be prioritised. Enforcing entitlement to breaks and establishing rest hubs close to clinical areas are practical steps that can make recovery feasible during shifts. In addition, thoughtful rota design that minimises quick turnarounds and night-to-day transitions can help to reduce fatigue and support longer-term resilience (HSE, 2019; Kinman, Teoh and Harriss, 2020).</w:t>
      </w:r>
    </w:p>
    <w:p w14:paraId="46CCB93E"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Compassionate leadership and a just culture are central to maintaining staff trust and engagement. Training line managers in supportive supervision, recognition practices, and fair incident response can embed a culture of psychological safety. When staff feel they are treated fairly and supported by their leaders, uptake of wellbeing supports and morale both improve (West et al., 2014; Greenberg et al., 2020).</w:t>
      </w:r>
    </w:p>
    <w:p w14:paraId="36EB674D"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Ensuring equity and inclusion is another critical priority. Culturally competent risk assessments and equitable access to supports must be provided for ethnic minority staff, agency workers, and care-home teams. Without deliberate attention to fairness, disparities in exposure to risk and access to resources can widen, undermining organisational cohesion (PHE, 2020; NHS England, 2020).</w:t>
      </w:r>
    </w:p>
    <w:p w14:paraId="7FE6BE66"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Finally, mitigating moral injury requires proactive strategies. Establishing ethics hotlines, ethics huddles, and debriefing mechanisms during crises provides staff with structured opportunities to process morally complex situations. Open acknowledgment of these challenges by leadership helps to validate staff experiences and reduce the long-term psychological burden (Litz et al., 2009; Greenberg et al., 2020).</w:t>
      </w:r>
    </w:p>
    <w:p w14:paraId="52234F8E" w14:textId="77777777" w:rsidR="00B61AF6" w:rsidRPr="00C16BF8" w:rsidRDefault="00B61AF6" w:rsidP="00B61AF6">
      <w:pPr>
        <w:pStyle w:val="Heading3"/>
        <w:spacing w:line="360" w:lineRule="auto"/>
        <w:jc w:val="both"/>
        <w:rPr>
          <w:rFonts w:ascii="Arial" w:hAnsi="Arial" w:cs="Arial"/>
          <w:b/>
          <w:color w:val="000000" w:themeColor="text1"/>
        </w:rPr>
      </w:pPr>
      <w:bookmarkStart w:id="32" w:name="_Toc209387789"/>
      <w:r w:rsidRPr="00C16BF8">
        <w:rPr>
          <w:rFonts w:ascii="Arial" w:hAnsi="Arial" w:cs="Arial"/>
          <w:b/>
          <w:color w:val="000000" w:themeColor="text1"/>
        </w:rPr>
        <w:t>4.6.4 Clinical and Team-Level Supports</w:t>
      </w:r>
      <w:bookmarkEnd w:id="32"/>
    </w:p>
    <w:p w14:paraId="2FAFE835"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Embedded psychological support is most effective when it moves beyond referral-only models to become proactive and visible within clinical environments. On-ward presence, drop-in opportunities, and brief interventions tailored to shift patterns allow staff to access help in real time. Such embedded approaches reduce barriers related to time and stigma, while making psychological support part of everyday practice (Billings et al., 2021).</w:t>
      </w:r>
    </w:p>
    <w:p w14:paraId="0A6C0922"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Peer support structures also play an essential role in staff wellbeing. Formalising initiatives such as peer buddies, end-of-shift huddles, and Schwartz Rounds provides consistent opportunities for mutual support. Offering micro-training in supportive conversations and effective signposting can further empower colleagues to recognise distress and guide each other towards appropriate resources (Kinman, Teoh and Harriss, 2020).</w:t>
      </w:r>
    </w:p>
    <w:p w14:paraId="6DA70297"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Practical skills training focused on uncertainty and recovery has been shown to be particularly helpful. Brief, repeated sessions on sleep strategies, grounding techniques, moral stress management, and recovery planning equip staff with tools they can apply immediately in high-pressure settings. These approaches, aligned with psychological first aid principles, have been valued for their relevance and accessibility (Wu, Styra and Gold, 2020; Blake et al., 2020).</w:t>
      </w:r>
    </w:p>
    <w:p w14:paraId="3B1B3F43"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Within primary care, continuity and stability can be enhanced by creating micro-teams and predictable rotas. Stabilising smaller groups supports mutual cover, fosters stronger team cohesion, and allows for protected debrief time. Such measures address the unique pressures faced in community-based services and reduce the isolation that can accompany these roles (RCGP, 2020).</w:t>
      </w:r>
    </w:p>
    <w:p w14:paraId="1F56B01A"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Ensuring parity for care-home staff is also critical. Equal access to PPE, testing, occupational health, and psychological support helps reduce disparities between acute and long-term care settings. Additionally, supporting grief processing after periods of high loss acknowledges the emotional toll on care-home workers and validates their contributions (Rajan et al., 2020).</w:t>
      </w:r>
    </w:p>
    <w:p w14:paraId="5BAEA937" w14:textId="77777777" w:rsidR="00B61AF6" w:rsidRPr="00C16BF8" w:rsidRDefault="00B61AF6" w:rsidP="00B61AF6">
      <w:pPr>
        <w:pStyle w:val="Heading3"/>
        <w:spacing w:line="360" w:lineRule="auto"/>
        <w:jc w:val="both"/>
        <w:rPr>
          <w:rFonts w:ascii="Arial" w:hAnsi="Arial" w:cs="Arial"/>
          <w:b/>
          <w:color w:val="000000" w:themeColor="text1"/>
        </w:rPr>
      </w:pPr>
      <w:bookmarkStart w:id="33" w:name="_Toc209387790"/>
      <w:r w:rsidRPr="00C16BF8">
        <w:rPr>
          <w:rFonts w:ascii="Arial" w:hAnsi="Arial" w:cs="Arial"/>
          <w:b/>
          <w:color w:val="000000" w:themeColor="text1"/>
        </w:rPr>
        <w:t>4.6.5 Monitoring and Learning</w:t>
      </w:r>
      <w:bookmarkEnd w:id="33"/>
    </w:p>
    <w:p w14:paraId="569E7FAA"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Wellbeing metrics with action loops. Track burnout proxies (exhaustion, sickness absence, turnover intention) and process measures (break compliance, uptake of supports). Link data to rapid improvement cycles to avoid “survey fatigue without change” (Maslach and Leiter, 2016; NHS Staff Survey, 2021).</w:t>
      </w:r>
    </w:p>
    <w:p w14:paraId="1994910D"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Preparedness playbooks. Maintain updated, co-designed playbooks for future surges, staffing triggers, communication cascades, ethics support, and rest space logistics (WHO, 2020; NHS England, 2021).</w:t>
      </w:r>
    </w:p>
    <w:p w14:paraId="738D4F99" w14:textId="77777777" w:rsidR="00B61AF6" w:rsidRPr="00C16BF8" w:rsidRDefault="00B61AF6" w:rsidP="00B61AF6">
      <w:pPr>
        <w:pStyle w:val="Heading3"/>
        <w:spacing w:line="360" w:lineRule="auto"/>
        <w:jc w:val="both"/>
        <w:rPr>
          <w:rFonts w:ascii="Arial" w:hAnsi="Arial" w:cs="Arial"/>
          <w:b/>
          <w:color w:val="000000" w:themeColor="text1"/>
        </w:rPr>
      </w:pPr>
      <w:bookmarkStart w:id="34" w:name="_Toc209387791"/>
      <w:r w:rsidRPr="00C16BF8">
        <w:rPr>
          <w:rFonts w:ascii="Arial" w:hAnsi="Arial" w:cs="Arial"/>
          <w:b/>
          <w:color w:val="000000" w:themeColor="text1"/>
        </w:rPr>
        <w:t>4.6.6 Policy alignment</w:t>
      </w:r>
      <w:bookmarkEnd w:id="34"/>
    </w:p>
    <w:p w14:paraId="0F33A369"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These recommendations align with the NHS People Plan/People Promise emphasis on looking after our people and compassionate leadership; with HSE Management Standards on work demands, control, support, role, relationships and change; with NICE PTSD/workplace guidance; and with ILO policy briefs on mental health at work (NHS England, 2020; HSE, 2019; NICE, 2018; ILO, 2022). Importantly, implementation must resource protected time, the most consistent barrier identified, so supports are not aspirational only (Billings et al., 2021; Kinman, Teoh and Harriss, 2020).</w:t>
      </w:r>
    </w:p>
    <w:p w14:paraId="4B10AC2A"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Connections to other themes: These actions target the drivers of burden (Theme 1), are setting-sensitive (Theme 2), and aim to strengthen the enablers of effective coping (Theme 3).</w:t>
      </w:r>
    </w:p>
    <w:p w14:paraId="59A9A9DD" w14:textId="77777777" w:rsidR="00B61AF6" w:rsidRPr="00C16BF8" w:rsidRDefault="00B61AF6" w:rsidP="00B61AF6">
      <w:pPr>
        <w:pStyle w:val="Heading2"/>
        <w:spacing w:line="360" w:lineRule="auto"/>
        <w:jc w:val="both"/>
        <w:rPr>
          <w:rFonts w:ascii="Arial" w:hAnsi="Arial" w:cs="Arial"/>
          <w:b/>
          <w:color w:val="000000" w:themeColor="text1"/>
        </w:rPr>
      </w:pPr>
      <w:bookmarkStart w:id="35" w:name="_Toc209387792"/>
      <w:r w:rsidRPr="00C16BF8">
        <w:rPr>
          <w:rFonts w:ascii="Arial" w:hAnsi="Arial" w:cs="Arial"/>
          <w:b/>
          <w:color w:val="000000" w:themeColor="text1"/>
        </w:rPr>
        <w:t>4.7 Chapter Conclusion</w:t>
      </w:r>
      <w:bookmarkEnd w:id="35"/>
      <w:r w:rsidRPr="00C16BF8">
        <w:rPr>
          <w:rFonts w:ascii="Arial" w:hAnsi="Arial" w:cs="Arial"/>
          <w:b/>
          <w:color w:val="000000" w:themeColor="text1"/>
        </w:rPr>
        <w:t xml:space="preserve"> </w:t>
      </w:r>
    </w:p>
    <w:p w14:paraId="5CE65E9F"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chapter synthesised qualitative evidence on UK HCWs’ experiences during COVID-19. Theme 1 showed substantial psychological burden, stress, anxiety, sleep disturbance, depressive and trauma-like symptoms, burnout and moral distress, shaped by extreme demands and constrained resources. Theme 2 highlighted how experiences varied by setting (ICU/emergency, primary/community, care homes), underscoring the need for tailored approaches. Theme 3 examined coping strategies: peer solidarity, embedded psychology and practical supports were perceived as most useful, but time, accessibility, stigma and structural mismatches limited impact. Theme 4 translated findings into multi-level recommendations aligned with UK and international policy frameworks.</w:t>
      </w:r>
    </w:p>
    <w:p w14:paraId="0CC8E3B7" w14:textId="77777777" w:rsidR="00B61AF6" w:rsidRPr="00453378" w:rsidRDefault="00B61AF6" w:rsidP="00B61AF6">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Together, the themes argue for interventions that combine individual support with structural change, staffing, protected breaks, compassionate leadership, equity and ethics support. The following chapter (Chapter 5) will synthesise these insights into concrete conclusions and recommendations, detailing an actionable framework for mental-health support systems and future crisis preparedness across UK health and social care.</w:t>
      </w:r>
    </w:p>
    <w:p w14:paraId="11D490D1" w14:textId="77777777" w:rsidR="00B61AF6" w:rsidRPr="00C16BF8" w:rsidRDefault="00B61AF6" w:rsidP="00B61AF6">
      <w:pPr>
        <w:pStyle w:val="NormalWeb"/>
        <w:spacing w:line="360" w:lineRule="auto"/>
        <w:jc w:val="both"/>
        <w:rPr>
          <w:rFonts w:ascii="Arial" w:hAnsi="Arial" w:cs="Arial"/>
          <w:color w:val="000000" w:themeColor="text1"/>
        </w:rPr>
      </w:pPr>
    </w:p>
    <w:p w14:paraId="22C45148" w14:textId="77777777" w:rsidR="00B61AF6" w:rsidRPr="00C16BF8" w:rsidRDefault="00B61AF6" w:rsidP="00B61AF6">
      <w:pPr>
        <w:pStyle w:val="NormalWeb"/>
        <w:spacing w:line="360" w:lineRule="auto"/>
        <w:jc w:val="both"/>
        <w:rPr>
          <w:rFonts w:ascii="Arial" w:hAnsi="Arial" w:cs="Arial"/>
          <w:color w:val="000000" w:themeColor="text1"/>
        </w:rPr>
      </w:pPr>
    </w:p>
    <w:p w14:paraId="606F0933" w14:textId="77777777" w:rsidR="00B61AF6" w:rsidRPr="00C16BF8" w:rsidRDefault="00B61AF6" w:rsidP="00B61AF6">
      <w:pPr>
        <w:pStyle w:val="NormalWeb"/>
        <w:spacing w:line="360" w:lineRule="auto"/>
        <w:jc w:val="both"/>
        <w:rPr>
          <w:rFonts w:ascii="Arial" w:hAnsi="Arial" w:cs="Arial"/>
          <w:color w:val="000000" w:themeColor="text1"/>
        </w:rPr>
      </w:pPr>
    </w:p>
    <w:p w14:paraId="1EC0E5C3" w14:textId="77777777" w:rsidR="00B61AF6" w:rsidRPr="00C16BF8" w:rsidRDefault="00B61AF6" w:rsidP="00B61AF6">
      <w:pPr>
        <w:pStyle w:val="Heading1"/>
      </w:pPr>
      <w:bookmarkStart w:id="36" w:name="_Toc209387793"/>
      <w:r w:rsidRPr="00C16BF8">
        <w:t>CHAPTER 5 – Conclusion and Recommendations</w:t>
      </w:r>
      <w:bookmarkEnd w:id="36"/>
    </w:p>
    <w:p w14:paraId="693B2375" w14:textId="77777777" w:rsidR="00B61AF6" w:rsidRPr="00C16BF8" w:rsidRDefault="00B61AF6" w:rsidP="00B61AF6">
      <w:pPr>
        <w:pStyle w:val="Heading2"/>
        <w:spacing w:line="360" w:lineRule="auto"/>
        <w:jc w:val="both"/>
        <w:rPr>
          <w:rFonts w:ascii="Arial" w:eastAsia="Times New Roman" w:hAnsi="Arial" w:cs="Arial"/>
          <w:b/>
          <w:color w:val="000000" w:themeColor="text1"/>
        </w:rPr>
      </w:pPr>
      <w:bookmarkStart w:id="37" w:name="_Toc209387794"/>
      <w:r w:rsidRPr="00C16BF8">
        <w:rPr>
          <w:rFonts w:ascii="Arial" w:eastAsia="Times New Roman" w:hAnsi="Arial" w:cs="Arial"/>
          <w:b/>
          <w:color w:val="000000" w:themeColor="text1"/>
        </w:rPr>
        <w:t>5.1 Overall Conclusion</w:t>
      </w:r>
      <w:bookmarkEnd w:id="37"/>
      <w:r w:rsidRPr="00C16BF8">
        <w:rPr>
          <w:rFonts w:ascii="Arial" w:eastAsia="Times New Roman" w:hAnsi="Arial" w:cs="Arial"/>
          <w:b/>
          <w:color w:val="000000" w:themeColor="text1"/>
        </w:rPr>
        <w:t xml:space="preserve"> </w:t>
      </w:r>
    </w:p>
    <w:p w14:paraId="1CCC337F"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dissertation set out to synthesise qualitative evidence on how the COVID-19 pandemic affected the mental health of UK healthcare workers (HCWs), and to identify what helped, what hindered, and what must change for future crises. The review’s Aim, to understand psychological impacts (including burnout and moral distress) and coping, and to inform practice and policy, was pursued through four objectives mapped to the findings.</w:t>
      </w:r>
    </w:p>
    <w:p w14:paraId="60E04981"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Objective 1 was met by detailing the psychological burden reported across studies: stress, anxiety, low mood, sleep disturbance, trauma-like symptoms, burnout and moral distress. These outcomes were intensified by extreme demands, uncertainty and constrained resources, with risk distributed unevenly across roles and settings. Objective 2 was addressed through a setting-sensitive synthesis, ICU/acute, emergency/ambulance, primary/community care, and care homes, showing how workflows, resources and patient mix shaped experience. Objective 3 was fulfilled by evaluating coping supports: peer solidarity, embedded psychological input and practical “resource gains” were most valued; time, stigma, offer–need mismatch and inequity limited uptake. Objective 4 translated the synthesis into actionable, multi-level recommendations aligned with UK policy frameworks.</w:t>
      </w:r>
    </w:p>
    <w:p w14:paraId="1770C6D0"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Across themes, one conclusion stands out: individual supports work best when embedded in fair, well-resourced systems. Structural conditions (staffing, rest, leadership, equity and ethics support) are as critical as personal coping skills. The dissertation therefore argues for a dual track: strengthen people and redesign systems.</w:t>
      </w:r>
    </w:p>
    <w:p w14:paraId="5C87D115" w14:textId="77777777" w:rsidR="00B61AF6" w:rsidRPr="00C16BF8" w:rsidRDefault="00B61AF6" w:rsidP="00B61AF6">
      <w:pPr>
        <w:pStyle w:val="Heading2"/>
        <w:spacing w:line="360" w:lineRule="auto"/>
        <w:jc w:val="both"/>
        <w:rPr>
          <w:rFonts w:ascii="Arial" w:eastAsia="Times New Roman" w:hAnsi="Arial" w:cs="Arial"/>
          <w:b/>
          <w:color w:val="000000" w:themeColor="text1"/>
        </w:rPr>
      </w:pPr>
      <w:bookmarkStart w:id="38" w:name="_Toc209387795"/>
      <w:r w:rsidRPr="00C16BF8">
        <w:rPr>
          <w:rFonts w:ascii="Arial" w:eastAsia="Times New Roman" w:hAnsi="Arial" w:cs="Arial"/>
          <w:b/>
          <w:color w:val="000000" w:themeColor="text1"/>
        </w:rPr>
        <w:t>5.2 Recommendations</w:t>
      </w:r>
      <w:bookmarkEnd w:id="38"/>
      <w:r w:rsidRPr="00C16BF8">
        <w:rPr>
          <w:rFonts w:ascii="Arial" w:eastAsia="Times New Roman" w:hAnsi="Arial" w:cs="Arial"/>
          <w:b/>
          <w:color w:val="000000" w:themeColor="text1"/>
        </w:rPr>
        <w:t xml:space="preserve"> </w:t>
      </w:r>
    </w:p>
    <w:p w14:paraId="616D0352" w14:textId="77777777" w:rsidR="00B61AF6" w:rsidRPr="00C16BF8" w:rsidRDefault="00B61AF6" w:rsidP="00B61AF6">
      <w:pPr>
        <w:pStyle w:val="Heading3"/>
        <w:spacing w:line="360" w:lineRule="auto"/>
        <w:jc w:val="both"/>
        <w:rPr>
          <w:rFonts w:ascii="Arial" w:eastAsia="Times New Roman" w:hAnsi="Arial" w:cs="Arial"/>
          <w:b/>
          <w:color w:val="000000" w:themeColor="text1"/>
        </w:rPr>
      </w:pPr>
      <w:bookmarkStart w:id="39" w:name="_Toc209387796"/>
      <w:r w:rsidRPr="00C16BF8">
        <w:rPr>
          <w:rFonts w:ascii="Arial" w:eastAsia="Times New Roman" w:hAnsi="Arial" w:cs="Arial"/>
          <w:b/>
          <w:color w:val="000000" w:themeColor="text1"/>
        </w:rPr>
        <w:t>5.2.1 Recommendation 1: Protect Recovery Time and Stabilise Work Through Rota and Staffing Design</w:t>
      </w:r>
      <w:bookmarkEnd w:id="39"/>
    </w:p>
    <w:p w14:paraId="2E2541D3"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hAnsi="Arial" w:cs="Arial"/>
          <w:color w:val="000000" w:themeColor="text1"/>
        </w:rPr>
        <w:t>Safeguarding recovery time and stabilising work patterns should be a core operational priority. Services can achieve this by guaranteeing protected breaks within shifts, minimising quick turnarounds, and ensuring predictable rest after nights. Embedding rest hubs close to clinical areas, equipped with quiet space, hydration, and hot food, signals that recovery is part of safe care rather than a luxury. Rota design should privilege stability where possible, using “micro-teams” that provide continuity, mutual cover, and clearer communication lines, particularly in primary and community care where isolation can be greater. Complementing this with trained internal float or bank capacity allows teams to absorb sickness or surge demand without routinely sacrificing breaks or annual leave. Post-surge decompression, through scheduled lighter duties, structured debriefs, and prioritised leave, prevents acute stress from hardening into chronic burnout (HSE, 2019; Kinman, Teoh and Harriss, 2020; Maslach and Leiter, 2016).</w:t>
      </w:r>
      <w:r w:rsidRPr="00453378">
        <w:rPr>
          <w:rFonts w:ascii="Arial" w:hAnsi="Arial" w:cs="Arial"/>
          <w:color w:val="000000" w:themeColor="text1"/>
        </w:rPr>
        <w:br/>
        <w:t>The principal barrier to this recommendation is the reality of staff shortages and sustained baseline demand. In such environments, protected breaks can feel aspirational rather than guaranteed, and cultural habits of “pushing through” may persist. Fragmentation across providers, especially where agency and care-home workforces are involved, can create uneven standards and undermine morale. To overcome these challenges, organisations should start with focused pilots that track “break compliance” at ward or clinic level and review results in routine operational huddles. Linking compliance to leadership objectives and incorporating break planning into daily bed meetings helps normalise practice. Building flexible capacity through cross-training, with proper induction and supervision, reduces reliance on goodwill. Finally, commissioning arrangements should include parity clauses so partner providers can resource comparable recovery provisions, avoiding a two-tier wellbeing landscape (Bakker and Demerouti, 2007; NHS England, 2020; NHS England, 2021)</w:t>
      </w:r>
      <w:r w:rsidRPr="00453378">
        <w:rPr>
          <w:rFonts w:ascii="Arial" w:eastAsia="Times New Roman" w:hAnsi="Arial" w:cs="Arial"/>
          <w:color w:val="000000" w:themeColor="text1"/>
        </w:rPr>
        <w:t>.</w:t>
      </w:r>
    </w:p>
    <w:p w14:paraId="665AF7BE" w14:textId="77777777" w:rsidR="00B61AF6" w:rsidRPr="00C16BF8" w:rsidRDefault="00B61AF6" w:rsidP="00B61AF6">
      <w:pPr>
        <w:pStyle w:val="Heading3"/>
        <w:spacing w:line="360" w:lineRule="auto"/>
        <w:jc w:val="both"/>
        <w:rPr>
          <w:rFonts w:ascii="Arial" w:eastAsia="Times New Roman" w:hAnsi="Arial" w:cs="Arial"/>
          <w:b/>
          <w:color w:val="000000" w:themeColor="text1"/>
        </w:rPr>
      </w:pPr>
      <w:bookmarkStart w:id="40" w:name="_Toc209387797"/>
      <w:r w:rsidRPr="00C16BF8">
        <w:rPr>
          <w:rFonts w:ascii="Arial" w:eastAsia="Times New Roman" w:hAnsi="Arial" w:cs="Arial"/>
          <w:b/>
          <w:color w:val="000000" w:themeColor="text1"/>
        </w:rPr>
        <w:t>5.2.2 Recommendation 2: Embed Psychologically-Informed Support into the Flow of Work</w:t>
      </w:r>
      <w:bookmarkEnd w:id="40"/>
    </w:p>
    <w:p w14:paraId="4ADF27CA"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Psychological support is most effective when it is visible, proximal, and easy to access during the working day. Shifting from referral-only models to embedded provision, such as psychology rounds onwards, drop-ins at handover, and brief interventions aligned to shift patterns, reduces the friction that often prevents staff from seeking help. Normalising peer structures (end-of-shift huddles, buddy systems, Schwartz Rounds) creates routine opportunities for connection and reflection, while brief, repeatable skills sessions on sleep, grounding, uncertainty tolerance, and moral stress management provide immediately usable tools. Crucially, these activities should occur in paid time and be scheduled with the same seriousness as clinical tasks. Clear communication about confidentiality, alongside visible leadership role-modelling, helps to reduce stigma and reframes help-seeking as a mark of professionalism rather than weakness (Billings et al., 2021; Wu, Styra and Gold, 2020; West et al., 2014; Greenberg et al., 2020).</w:t>
      </w:r>
      <w:r w:rsidRPr="00453378">
        <w:rPr>
          <w:rFonts w:ascii="Arial" w:eastAsia="Times New Roman" w:hAnsi="Arial" w:cs="Arial"/>
          <w:color w:val="000000" w:themeColor="text1"/>
        </w:rPr>
        <w:br/>
        <w:t>Time pressure is the most consistent obstacle, especially in high-acuity environments where leaving the floor feels impossible. Stigma and confidentiality concerns also deter some staff, while nights, weekends, community teams, and care-home settings can be underserved by traditional nine-to-five offers. To mitigate these barriers, support should be co-located and adapted to workflow, for instance, ten- to fifteen-minute micro-sessions delivered during handovers or at predictable points in the shift. An “opt-out” default for brief check-ins makes participation routine rather than exceptional. Rotating in-person presence across out-of-hours periods and creating a single access point across an Integrated Care System extends provision to agency and care-home staff. A stated, enforced commitment to psychological safety and confidentiality, reinforced by leaders who attend and endorse sessions, further increases trust and uptake (Billings et al., 2021; Kinman, Teoh and Harriss, 2020; NHS England, 2021).</w:t>
      </w:r>
    </w:p>
    <w:p w14:paraId="6E063C35" w14:textId="77777777" w:rsidR="00B61AF6" w:rsidRPr="00C16BF8" w:rsidRDefault="00B61AF6" w:rsidP="00B61AF6">
      <w:pPr>
        <w:pStyle w:val="Heading3"/>
        <w:spacing w:line="360" w:lineRule="auto"/>
        <w:jc w:val="both"/>
        <w:rPr>
          <w:rFonts w:ascii="Arial" w:eastAsia="Times New Roman" w:hAnsi="Arial" w:cs="Arial"/>
          <w:b/>
          <w:color w:val="000000" w:themeColor="text1"/>
        </w:rPr>
      </w:pPr>
      <w:bookmarkStart w:id="41" w:name="_Toc209387798"/>
      <w:r w:rsidRPr="00C16BF8">
        <w:rPr>
          <w:rFonts w:ascii="Arial" w:eastAsia="Times New Roman" w:hAnsi="Arial" w:cs="Arial"/>
          <w:b/>
          <w:color w:val="000000" w:themeColor="text1"/>
        </w:rPr>
        <w:t>5.2.3 Recommendation 3: Build Ethics and Equity into Everyday Operations (Moral Injury Mitigation and Fair Access)</w:t>
      </w:r>
      <w:bookmarkEnd w:id="41"/>
    </w:p>
    <w:p w14:paraId="0040B691" w14:textId="77777777" w:rsidR="00B61AF6" w:rsidRPr="00453378" w:rsidRDefault="00B61AF6" w:rsidP="00B61AF6">
      <w:pPr>
        <w:spacing w:before="100" w:beforeAutospacing="1" w:after="100" w:afterAutospacing="1" w:line="360" w:lineRule="auto"/>
        <w:jc w:val="both"/>
        <w:rPr>
          <w:rFonts w:ascii="Arial" w:hAnsi="Arial" w:cs="Arial"/>
          <w:color w:val="000000" w:themeColor="text1"/>
        </w:rPr>
      </w:pPr>
      <w:r w:rsidRPr="00453378">
        <w:rPr>
          <w:rFonts w:ascii="Arial" w:hAnsi="Arial" w:cs="Arial"/>
          <w:color w:val="000000" w:themeColor="text1"/>
        </w:rPr>
        <w:t>Preventing moral injury and ensuring equitable access to support requires embedding ethics and fairness into daily operations. Short, routine “ethics huddles” during periods of high pressure allow teams to surface dilemmas around triage, visiting, and end-of-life care in real time, with rapid access to senior clinical and ethics input. Brief, blame-free debriefs after difficult shifts should be treated as part of safety practice rather than optional reflection. In parallel, organisations need to design for equity: access to PPE, testing, occupational health, and psychological services must be standardised across all staff groups, including bank, agency, ancillary, and care-home workers. Culturally competent risk assessments and targeted outreach for ethnic minority staff co-designed with staff networks can close gaps in exposure and access (Litz et al., 2009; Greenberg et al., 2020; PHE, 2020; NHS England, 2020).</w:t>
      </w:r>
    </w:p>
    <w:p w14:paraId="4DA88F26"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hAnsi="Arial" w:cs="Arial"/>
          <w:color w:val="000000" w:themeColor="text1"/>
        </w:rPr>
        <w:t>Common barriers include perceptions that huddles and debriefs add workload, anxieties about blame or scrutiny that inhibit open discussion, and contractual differences that limit parity across providers. These can be addressed by keeping ethics and debrief conversations brief, predictable, and attached to existing meetings; by codifying a just-culture approach in policy and training; and by commissioning at system level with explicit parity requirements for partner organisations. Monitoring simple equity metrics, such as uptake of supports by role, site, and ethnicity, and publishing regular summaries promotes accountability and targeted improvement (West et al., 2014; NHS England, 2021; Rajan et al., 2020)</w:t>
      </w:r>
      <w:r w:rsidRPr="00453378">
        <w:rPr>
          <w:rFonts w:ascii="Arial" w:eastAsia="Times New Roman" w:hAnsi="Arial" w:cs="Arial"/>
          <w:color w:val="000000" w:themeColor="text1"/>
        </w:rPr>
        <w:t>.</w:t>
      </w:r>
    </w:p>
    <w:p w14:paraId="568880AB" w14:textId="77777777" w:rsidR="00B61AF6" w:rsidRPr="00C16BF8" w:rsidRDefault="00B61AF6" w:rsidP="00B61AF6">
      <w:pPr>
        <w:pStyle w:val="Heading3"/>
        <w:spacing w:line="360" w:lineRule="auto"/>
        <w:jc w:val="both"/>
        <w:rPr>
          <w:rFonts w:ascii="Arial" w:eastAsia="Times New Roman" w:hAnsi="Arial" w:cs="Arial"/>
          <w:b/>
          <w:color w:val="000000" w:themeColor="text1"/>
        </w:rPr>
      </w:pPr>
      <w:bookmarkStart w:id="42" w:name="_Toc209387799"/>
      <w:r w:rsidRPr="00C16BF8">
        <w:rPr>
          <w:rFonts w:ascii="Arial" w:eastAsia="Times New Roman" w:hAnsi="Arial" w:cs="Arial"/>
          <w:b/>
          <w:color w:val="000000" w:themeColor="text1"/>
        </w:rPr>
        <w:t>5.2.4 Cross-Cutting Enablers and Phased Implementation</w:t>
      </w:r>
      <w:bookmarkEnd w:id="42"/>
      <w:r w:rsidRPr="00C16BF8">
        <w:rPr>
          <w:rFonts w:ascii="Arial" w:eastAsia="Times New Roman" w:hAnsi="Arial" w:cs="Arial"/>
          <w:b/>
          <w:color w:val="000000" w:themeColor="text1"/>
        </w:rPr>
        <w:t xml:space="preserve"> </w:t>
      </w:r>
    </w:p>
    <w:p w14:paraId="4DBCFC82" w14:textId="77777777" w:rsidR="00B61AF6"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Three enablers support all recommendations. First, organisations should measure a small set of wellbeing and process indicators, break compliance, sickness absence, turnover intention, debrief coverage, and support uptake, and use them to drive visible changes, avoiding survey fatigue without action. Second, co-design with frontline staff and networks ensures that solutions fit local workflows and constraints; rapid Plan-Do-Study-Act cycles help teams test, learn, and iterate quickly. Third, protected time must be explicitly resourced within job plans and rotas so that recovery, peer support, and skills training are considered integral to safe staffing rather than discretionary extras. Consistent, transparent communication, celebrating teams that meet recovery standards and showing what has changed because of staff feedback, r</w:t>
      </w:r>
      <w:r>
        <w:rPr>
          <w:rFonts w:ascii="Arial" w:eastAsia="Times New Roman" w:hAnsi="Arial" w:cs="Arial"/>
          <w:color w:val="000000" w:themeColor="text1"/>
        </w:rPr>
        <w:t>einforces trust and engagement.</w:t>
      </w:r>
    </w:p>
    <w:p w14:paraId="662FDFA4" w14:textId="77777777" w:rsidR="00B61AF6"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 xml:space="preserve">A pragmatic roll-out might begin with a ninety-day phase focused on establishing rest hubs in two high-pressure areas, piloting break-compliance dashboards, launching daily ten-minute end-of-shift huddles, and initiating roaming psychology drop-ins that align with peak demand. In months three to six, services could expand micro-teams and internal float pools, formalise quarterly Schwartz Rounds, introduce weekly ethics huddles in intensive care and emergency departments, and stand up a single “front door” for support access across the local system, including community and care-home providers. By months six to twelve, parity clauses could be embedded in contracts, wellbeing indicators incorporated into board reporting, decompression and leave-bank mechanisms scheduled post-surge, and an annual wellbeing impact report published, co-authored with staff, to demonstrate </w:t>
      </w:r>
      <w:r>
        <w:rPr>
          <w:rFonts w:ascii="Arial" w:eastAsia="Times New Roman" w:hAnsi="Arial" w:cs="Arial"/>
          <w:color w:val="000000" w:themeColor="text1"/>
        </w:rPr>
        <w:t>progress and maintain momentum.</w:t>
      </w:r>
    </w:p>
    <w:p w14:paraId="55A37D4E" w14:textId="77777777" w:rsidR="00B61AF6" w:rsidRPr="00453378" w:rsidRDefault="00B61AF6" w:rsidP="00B61AF6">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Taken together, these recommendations form a coherent model: protect time for recovery, bring support to the point of care, and make ethics and equity routine. Implemented as part of everyday operations rather than as add-ons, they strengthen resilience, reduce the risk of burnout and moral injury, and prepare services for future shocks while sustaining compassionate, safe care.</w:t>
      </w:r>
    </w:p>
    <w:p w14:paraId="7C0AF44C" w14:textId="77777777" w:rsidR="00B61AF6" w:rsidRDefault="00B61AF6" w:rsidP="00B61AF6">
      <w:pPr>
        <w:spacing w:before="100" w:beforeAutospacing="1" w:after="100" w:afterAutospacing="1" w:line="360" w:lineRule="auto"/>
        <w:jc w:val="both"/>
        <w:rPr>
          <w:rFonts w:ascii="Arial" w:eastAsia="Times New Roman" w:hAnsi="Arial" w:cs="Arial"/>
          <w:color w:val="000000" w:themeColor="text1"/>
          <w:sz w:val="24"/>
          <w:szCs w:val="24"/>
        </w:rPr>
      </w:pPr>
    </w:p>
    <w:p w14:paraId="4B4AF514" w14:textId="77777777" w:rsidR="00B61AF6" w:rsidRDefault="00B61AF6" w:rsidP="00B61AF6">
      <w:pPr>
        <w:spacing w:before="100" w:beforeAutospacing="1" w:after="100" w:afterAutospacing="1" w:line="360" w:lineRule="auto"/>
        <w:jc w:val="both"/>
        <w:rPr>
          <w:rFonts w:ascii="Arial" w:eastAsia="Times New Roman" w:hAnsi="Arial" w:cs="Arial"/>
          <w:color w:val="000000" w:themeColor="text1"/>
          <w:sz w:val="24"/>
          <w:szCs w:val="24"/>
        </w:rPr>
      </w:pPr>
    </w:p>
    <w:p w14:paraId="15A8E8A5" w14:textId="77777777" w:rsidR="00B61AF6" w:rsidRPr="00C16BF8" w:rsidRDefault="00B61AF6" w:rsidP="00B61AF6">
      <w:pPr>
        <w:spacing w:before="100" w:beforeAutospacing="1" w:after="100" w:afterAutospacing="1" w:line="360" w:lineRule="auto"/>
        <w:jc w:val="both"/>
        <w:rPr>
          <w:rFonts w:ascii="Arial" w:eastAsia="Times New Roman" w:hAnsi="Arial" w:cs="Arial"/>
          <w:color w:val="000000" w:themeColor="text1"/>
          <w:sz w:val="24"/>
          <w:szCs w:val="24"/>
        </w:rPr>
      </w:pPr>
    </w:p>
    <w:p w14:paraId="0BF1B665" w14:textId="77777777" w:rsidR="00B61AF6" w:rsidRPr="00C16BF8" w:rsidRDefault="00B61AF6" w:rsidP="00B61AF6">
      <w:pPr>
        <w:pStyle w:val="Heading1"/>
      </w:pPr>
      <w:bookmarkStart w:id="43" w:name="_Toc209387800"/>
      <w:r w:rsidRPr="00C16BF8">
        <w:t>CHAPTER 6: References and Appendices</w:t>
      </w:r>
      <w:bookmarkEnd w:id="43"/>
    </w:p>
    <w:p w14:paraId="52EEF9DC" w14:textId="77777777" w:rsidR="00B61AF6" w:rsidRPr="00453378" w:rsidRDefault="00B61AF6" w:rsidP="00B61AF6">
      <w:pPr>
        <w:pStyle w:val="Heading2"/>
        <w:spacing w:line="360" w:lineRule="auto"/>
        <w:jc w:val="both"/>
        <w:rPr>
          <w:rFonts w:ascii="Arial" w:hAnsi="Arial" w:cs="Arial"/>
          <w:b/>
          <w:color w:val="000000" w:themeColor="text1"/>
          <w:sz w:val="28"/>
          <w:szCs w:val="22"/>
        </w:rPr>
      </w:pPr>
      <w:bookmarkStart w:id="44" w:name="_Toc209387801"/>
      <w:r w:rsidRPr="00453378">
        <w:rPr>
          <w:rFonts w:ascii="Arial" w:hAnsi="Arial" w:cs="Arial"/>
          <w:b/>
          <w:color w:val="000000" w:themeColor="text1"/>
          <w:sz w:val="28"/>
          <w:szCs w:val="22"/>
        </w:rPr>
        <w:t>6.1 References</w:t>
      </w:r>
      <w:bookmarkEnd w:id="44"/>
    </w:p>
    <w:p w14:paraId="34F45D77"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Aiken, L.H., Sloane, D.M., Bruyneel, L., Van den Heede, K., Griffiths, P. </w:t>
      </w:r>
      <w:r w:rsidRPr="00453378">
        <w:rPr>
          <w:rStyle w:val="Emphasis"/>
          <w:rFonts w:ascii="Arial" w:hAnsi="Arial" w:cs="Arial"/>
          <w:sz w:val="22"/>
          <w:szCs w:val="22"/>
        </w:rPr>
        <w:t>et al.</w:t>
      </w:r>
      <w:r w:rsidRPr="00453378">
        <w:rPr>
          <w:rFonts w:ascii="Arial" w:hAnsi="Arial" w:cs="Arial"/>
          <w:sz w:val="22"/>
          <w:szCs w:val="22"/>
        </w:rPr>
        <w:t xml:space="preserve"> (2012) ‘Nurse staffing and education and hospital mortality in nine European countries’, </w:t>
      </w:r>
      <w:r w:rsidRPr="00453378">
        <w:rPr>
          <w:rStyle w:val="Emphasis"/>
          <w:rFonts w:ascii="Arial" w:hAnsi="Arial" w:cs="Arial"/>
          <w:sz w:val="22"/>
          <w:szCs w:val="22"/>
        </w:rPr>
        <w:t>The Lancet</w:t>
      </w:r>
      <w:r w:rsidRPr="00453378">
        <w:rPr>
          <w:rFonts w:ascii="Arial" w:hAnsi="Arial" w:cs="Arial"/>
          <w:sz w:val="22"/>
          <w:szCs w:val="22"/>
        </w:rPr>
        <w:t xml:space="preserve">, 383(9931), pp. 1824–1830. </w:t>
      </w:r>
      <w:hyperlink r:id="rId5" w:history="1">
        <w:r w:rsidRPr="00453378">
          <w:rPr>
            <w:rStyle w:val="Hyperlink"/>
            <w:rFonts w:ascii="Arial" w:hAnsi="Arial" w:cs="Arial"/>
            <w:sz w:val="22"/>
            <w:szCs w:val="22"/>
          </w:rPr>
          <w:t>https://www.thelancet.com/journals/lancet/article/PIIS0140-6736(13)62631-8/fulltext</w:t>
        </w:r>
      </w:hyperlink>
      <w:r w:rsidRPr="00453378">
        <w:rPr>
          <w:rFonts w:ascii="Arial" w:hAnsi="Arial" w:cs="Arial"/>
          <w:sz w:val="22"/>
          <w:szCs w:val="22"/>
        </w:rPr>
        <w:t xml:space="preserve"> </w:t>
      </w:r>
    </w:p>
    <w:p w14:paraId="1DB2715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Bakker, A.B. &amp; Demerouti, E. (2007) ‘The Job Demands–Resources model: State of the art’, </w:t>
      </w:r>
      <w:r w:rsidRPr="00453378">
        <w:rPr>
          <w:rStyle w:val="Emphasis"/>
          <w:rFonts w:ascii="Arial" w:hAnsi="Arial" w:cs="Arial"/>
          <w:sz w:val="22"/>
          <w:szCs w:val="22"/>
        </w:rPr>
        <w:t>Journal of Managerial Psychology</w:t>
      </w:r>
      <w:r w:rsidRPr="00453378">
        <w:rPr>
          <w:rFonts w:ascii="Arial" w:hAnsi="Arial" w:cs="Arial"/>
          <w:sz w:val="22"/>
          <w:szCs w:val="22"/>
        </w:rPr>
        <w:t xml:space="preserve">, 22(3), pp. 309–328. </w:t>
      </w:r>
      <w:hyperlink r:id="rId6" w:history="1">
        <w:r w:rsidRPr="00453378">
          <w:rPr>
            <w:rStyle w:val="Hyperlink"/>
            <w:rFonts w:ascii="Arial" w:hAnsi="Arial" w:cs="Arial"/>
            <w:sz w:val="22"/>
            <w:szCs w:val="22"/>
          </w:rPr>
          <w:t>https://doi.org/10.1108/02683940710733115</w:t>
        </w:r>
      </w:hyperlink>
    </w:p>
    <w:p w14:paraId="61B267D9"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Bates, M.J. (1989) ‘The design of browsing and berrypicking techniques for the online search interface’, </w:t>
      </w:r>
      <w:r w:rsidRPr="00453378">
        <w:rPr>
          <w:rStyle w:val="Emphasis"/>
          <w:rFonts w:ascii="Arial" w:hAnsi="Arial" w:cs="Arial"/>
          <w:sz w:val="22"/>
          <w:szCs w:val="22"/>
        </w:rPr>
        <w:t>Online Review</w:t>
      </w:r>
      <w:r w:rsidRPr="00453378">
        <w:rPr>
          <w:rFonts w:ascii="Arial" w:hAnsi="Arial" w:cs="Arial"/>
          <w:sz w:val="22"/>
          <w:szCs w:val="22"/>
        </w:rPr>
        <w:t xml:space="preserve">, 13(5), pp. 407–424. </w:t>
      </w:r>
      <w:hyperlink r:id="rId7" w:history="1">
        <w:r w:rsidRPr="00453378">
          <w:rPr>
            <w:rStyle w:val="Hyperlink"/>
            <w:rFonts w:ascii="Arial" w:hAnsi="Arial" w:cs="Arial"/>
            <w:sz w:val="22"/>
            <w:szCs w:val="22"/>
          </w:rPr>
          <w:t>https://doi.org/10.1108/eb024320</w:t>
        </w:r>
      </w:hyperlink>
      <w:r w:rsidRPr="00453378">
        <w:rPr>
          <w:rFonts w:ascii="Arial" w:hAnsi="Arial" w:cs="Arial"/>
          <w:sz w:val="22"/>
          <w:szCs w:val="22"/>
        </w:rPr>
        <w:t xml:space="preserve"> </w:t>
      </w:r>
    </w:p>
    <w:p w14:paraId="1446E2DA"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Billings, J., Ching, B.C.F., Gkofa, V., Greene, T. &amp; Bloomfield, M. (2021) ‘Healthcare workers’ experiences of working on the frontline and views about support during COVID-19 and comparable pandemics: A rapid review and meta-synthesis’, </w:t>
      </w:r>
      <w:r w:rsidRPr="00453378">
        <w:rPr>
          <w:rStyle w:val="Emphasis"/>
          <w:rFonts w:ascii="Arial" w:hAnsi="Arial" w:cs="Arial"/>
          <w:sz w:val="22"/>
          <w:szCs w:val="22"/>
        </w:rPr>
        <w:t>BMC Health Services Research</w:t>
      </w:r>
      <w:r w:rsidRPr="00453378">
        <w:rPr>
          <w:rFonts w:ascii="Arial" w:hAnsi="Arial" w:cs="Arial"/>
          <w:sz w:val="22"/>
          <w:szCs w:val="22"/>
        </w:rPr>
        <w:t xml:space="preserve">, 21, 923. </w:t>
      </w:r>
      <w:hyperlink r:id="rId8" w:tgtFrame="_new" w:history="1">
        <w:r w:rsidRPr="00453378">
          <w:rPr>
            <w:rStyle w:val="Hyperlink"/>
            <w:rFonts w:ascii="Arial" w:hAnsi="Arial" w:cs="Arial"/>
            <w:sz w:val="22"/>
            <w:szCs w:val="22"/>
          </w:rPr>
          <w:t>https://bmchealthservres.biomedcentral.com/articles/10.1186/s12913-021-06917-z</w:t>
        </w:r>
      </w:hyperlink>
    </w:p>
    <w:p w14:paraId="7E7971B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Blake, H., Bermingham, F., Johnson, G. &amp; Tabner, A. (2020) ‘Mitigating the psychological impact of COVID-19 on healthcare workers: A digital learning package’, </w:t>
      </w:r>
      <w:r w:rsidRPr="00453378">
        <w:rPr>
          <w:rStyle w:val="Emphasis"/>
          <w:rFonts w:ascii="Arial" w:hAnsi="Arial" w:cs="Arial"/>
          <w:sz w:val="22"/>
          <w:szCs w:val="22"/>
        </w:rPr>
        <w:t>International Journal of Environmental Research and Public Health</w:t>
      </w:r>
      <w:r w:rsidRPr="00453378">
        <w:rPr>
          <w:rFonts w:ascii="Arial" w:hAnsi="Arial" w:cs="Arial"/>
          <w:sz w:val="22"/>
          <w:szCs w:val="22"/>
        </w:rPr>
        <w:t xml:space="preserve">, 17(9), 2997. </w:t>
      </w:r>
      <w:hyperlink r:id="rId9" w:history="1">
        <w:r w:rsidRPr="00453378">
          <w:rPr>
            <w:rStyle w:val="Hyperlink"/>
            <w:rFonts w:ascii="Arial" w:hAnsi="Arial" w:cs="Arial"/>
            <w:sz w:val="22"/>
            <w:szCs w:val="22"/>
          </w:rPr>
          <w:t>https://doi.org/10.3390/ijerph17092997</w:t>
        </w:r>
      </w:hyperlink>
    </w:p>
    <w:p w14:paraId="140BDC3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Blakeslee, S. (2004) ‘The CRAAP test’, </w:t>
      </w:r>
      <w:r w:rsidRPr="00453378">
        <w:rPr>
          <w:rStyle w:val="Emphasis"/>
          <w:rFonts w:ascii="Arial" w:hAnsi="Arial" w:cs="Arial"/>
          <w:sz w:val="22"/>
          <w:szCs w:val="22"/>
        </w:rPr>
        <w:t>LOEX Quarterly</w:t>
      </w:r>
      <w:r w:rsidRPr="00453378">
        <w:rPr>
          <w:rFonts w:ascii="Arial" w:hAnsi="Arial" w:cs="Arial"/>
          <w:sz w:val="22"/>
          <w:szCs w:val="22"/>
        </w:rPr>
        <w:t>, 31(3), pp. 6–7.</w:t>
      </w:r>
      <w:r w:rsidRPr="00453378">
        <w:rPr>
          <w:rFonts w:ascii="Arial" w:hAnsi="Arial" w:cs="Arial"/>
          <w:sz w:val="22"/>
          <w:szCs w:val="22"/>
        </w:rPr>
        <w:br/>
      </w:r>
      <w:hyperlink r:id="rId10" w:tgtFrame="_new" w:history="1">
        <w:r w:rsidRPr="00453378">
          <w:rPr>
            <w:rStyle w:val="Hyperlink"/>
            <w:rFonts w:ascii="Arial" w:hAnsi="Arial" w:cs="Arial"/>
            <w:sz w:val="22"/>
            <w:szCs w:val="22"/>
          </w:rPr>
          <w:t>https://commons.emich.edu/loexquarterly/vol31/iss3/4/</w:t>
        </w:r>
      </w:hyperlink>
    </w:p>
    <w:p w14:paraId="260AD02A"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BMA (2021) </w:t>
      </w:r>
      <w:r w:rsidRPr="00453378">
        <w:rPr>
          <w:rStyle w:val="Emphasis"/>
          <w:rFonts w:ascii="Arial" w:hAnsi="Arial" w:cs="Arial"/>
          <w:sz w:val="22"/>
          <w:szCs w:val="22"/>
        </w:rPr>
        <w:t>COVID-19: The impact on the medical profession</w:t>
      </w:r>
      <w:r w:rsidRPr="00453378">
        <w:rPr>
          <w:rFonts w:ascii="Arial" w:hAnsi="Arial" w:cs="Arial"/>
          <w:sz w:val="22"/>
          <w:szCs w:val="22"/>
        </w:rPr>
        <w:t>.</w:t>
      </w:r>
      <w:r w:rsidRPr="00453378">
        <w:rPr>
          <w:rFonts w:ascii="Arial" w:hAnsi="Arial" w:cs="Arial"/>
          <w:sz w:val="22"/>
          <w:szCs w:val="22"/>
        </w:rPr>
        <w:br/>
      </w:r>
      <w:hyperlink r:id="rId11" w:tgtFrame="_new" w:history="1">
        <w:r w:rsidRPr="00453378">
          <w:rPr>
            <w:rStyle w:val="Hyperlink"/>
            <w:rFonts w:ascii="Arial" w:hAnsi="Arial" w:cs="Arial"/>
            <w:sz w:val="22"/>
            <w:szCs w:val="22"/>
          </w:rPr>
          <w:t>https://www.bma.org.uk/advice-and-support/covid-19</w:t>
        </w:r>
      </w:hyperlink>
    </w:p>
    <w:p w14:paraId="07E0B3FA"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Booth, A., Sutton, A. &amp; Papaioannou, D. (2016) </w:t>
      </w:r>
      <w:r w:rsidRPr="00453378">
        <w:rPr>
          <w:rStyle w:val="Emphasis"/>
          <w:rFonts w:ascii="Arial" w:hAnsi="Arial" w:cs="Arial"/>
          <w:sz w:val="22"/>
          <w:szCs w:val="22"/>
        </w:rPr>
        <w:t>Systematic Approaches to a Successful Literature Review</w:t>
      </w:r>
      <w:r w:rsidRPr="00453378">
        <w:rPr>
          <w:rFonts w:ascii="Arial" w:hAnsi="Arial" w:cs="Arial"/>
          <w:sz w:val="22"/>
          <w:szCs w:val="22"/>
        </w:rPr>
        <w:t>. 2nd edn. London: SAGE.</w:t>
      </w:r>
      <w:r w:rsidRPr="00453378">
        <w:rPr>
          <w:rFonts w:ascii="Arial" w:hAnsi="Arial" w:cs="Arial"/>
          <w:sz w:val="22"/>
          <w:szCs w:val="22"/>
        </w:rPr>
        <w:br/>
      </w:r>
      <w:hyperlink r:id="rId12" w:history="1">
        <w:r w:rsidRPr="00453378">
          <w:rPr>
            <w:rStyle w:val="Hyperlink"/>
            <w:rFonts w:ascii="Arial" w:hAnsi="Arial" w:cs="Arial"/>
            <w:sz w:val="22"/>
            <w:szCs w:val="22"/>
          </w:rPr>
          <w:t>https://uk.sagepub.com/en-gb/eur/systematic-approaches-to-a-successful-literature-review/book245351</w:t>
        </w:r>
      </w:hyperlink>
      <w:r w:rsidRPr="00453378">
        <w:rPr>
          <w:rFonts w:ascii="Arial" w:hAnsi="Arial" w:cs="Arial"/>
          <w:sz w:val="22"/>
          <w:szCs w:val="22"/>
        </w:rPr>
        <w:t xml:space="preserve"> </w:t>
      </w:r>
    </w:p>
    <w:p w14:paraId="526533B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Braun, V. &amp; Clarke, V. (2006) ‘Using thematic analysis in psychology’, </w:t>
      </w:r>
      <w:r w:rsidRPr="00453378">
        <w:rPr>
          <w:rStyle w:val="Emphasis"/>
          <w:rFonts w:ascii="Arial" w:hAnsi="Arial" w:cs="Arial"/>
          <w:sz w:val="22"/>
          <w:szCs w:val="22"/>
        </w:rPr>
        <w:t>Qualitative Research in Psychology</w:t>
      </w:r>
      <w:r w:rsidRPr="00453378">
        <w:rPr>
          <w:rFonts w:ascii="Arial" w:hAnsi="Arial" w:cs="Arial"/>
          <w:sz w:val="22"/>
          <w:szCs w:val="22"/>
        </w:rPr>
        <w:t xml:space="preserve">, 3(2), pp. 77–101. </w:t>
      </w:r>
      <w:hyperlink r:id="rId13" w:tgtFrame="_new" w:history="1">
        <w:r w:rsidRPr="00453378">
          <w:rPr>
            <w:rStyle w:val="Hyperlink"/>
            <w:rFonts w:ascii="Arial" w:hAnsi="Arial" w:cs="Arial"/>
            <w:sz w:val="22"/>
            <w:szCs w:val="22"/>
          </w:rPr>
          <w:t>https://doi.org/10.1191/1478088706qp063oa</w:t>
        </w:r>
      </w:hyperlink>
    </w:p>
    <w:p w14:paraId="0F7CFE2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Campbell, J., Calman, L., Thomas, C. &amp; Weller, R. (2013) ‘Burnout in UK doctors’, </w:t>
      </w:r>
      <w:r w:rsidRPr="00453378">
        <w:rPr>
          <w:rStyle w:val="Emphasis"/>
          <w:rFonts w:ascii="Arial" w:hAnsi="Arial" w:cs="Arial"/>
          <w:sz w:val="22"/>
          <w:szCs w:val="22"/>
        </w:rPr>
        <w:t>BMJ</w:t>
      </w:r>
      <w:r w:rsidRPr="00453378">
        <w:rPr>
          <w:rFonts w:ascii="Arial" w:hAnsi="Arial" w:cs="Arial"/>
          <w:sz w:val="22"/>
          <w:szCs w:val="22"/>
        </w:rPr>
        <w:t xml:space="preserve">, 347, f7332. </w:t>
      </w:r>
      <w:hyperlink r:id="rId14" w:tgtFrame="_new" w:history="1">
        <w:r w:rsidRPr="00453378">
          <w:rPr>
            <w:rStyle w:val="Hyperlink"/>
            <w:rFonts w:ascii="Arial" w:hAnsi="Arial" w:cs="Arial"/>
            <w:sz w:val="22"/>
            <w:szCs w:val="22"/>
          </w:rPr>
          <w:t>https://www.bmj.com/content/347/bmj.f7332</w:t>
        </w:r>
      </w:hyperlink>
    </w:p>
    <w:p w14:paraId="492E9A0C"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Chen, R., Sun, C., Chen, J.J., Jen, H.J., Kang, X.L., Kao, C.C. &amp; Chou, K.R. (2022) ‘A large-scale survey on anxiety, depression, and sleep disturbance among Chinese HCWs during COVID-19’, </w:t>
      </w:r>
      <w:r w:rsidRPr="00453378">
        <w:rPr>
          <w:rStyle w:val="Emphasis"/>
          <w:rFonts w:ascii="Arial" w:hAnsi="Arial" w:cs="Arial"/>
          <w:sz w:val="22"/>
          <w:szCs w:val="22"/>
        </w:rPr>
        <w:t>EClinicalMedicine</w:t>
      </w:r>
      <w:r w:rsidRPr="00453378">
        <w:rPr>
          <w:rFonts w:ascii="Arial" w:hAnsi="Arial" w:cs="Arial"/>
          <w:sz w:val="22"/>
          <w:szCs w:val="22"/>
        </w:rPr>
        <w:t xml:space="preserve">, 24, 100442. </w:t>
      </w:r>
      <w:hyperlink r:id="rId15" w:history="1">
        <w:r w:rsidRPr="00453378">
          <w:rPr>
            <w:rStyle w:val="Hyperlink"/>
            <w:rFonts w:ascii="Arial" w:hAnsi="Arial" w:cs="Arial"/>
            <w:sz w:val="22"/>
            <w:szCs w:val="22"/>
          </w:rPr>
          <w:t>https://doi.org/10.1055/s-0040-1722811</w:t>
        </w:r>
      </w:hyperlink>
    </w:p>
    <w:p w14:paraId="1BD8989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Cooper, C.L., Dewe, P. &amp; O’Driscoll, M. (1988) </w:t>
      </w:r>
      <w:r w:rsidRPr="00453378">
        <w:rPr>
          <w:rStyle w:val="Emphasis"/>
          <w:rFonts w:ascii="Arial" w:hAnsi="Arial" w:cs="Arial"/>
          <w:sz w:val="22"/>
          <w:szCs w:val="22"/>
        </w:rPr>
        <w:t>Organizational Stress: A Review and Critique of Theory, Research, and Applications</w:t>
      </w:r>
      <w:r w:rsidRPr="00453378">
        <w:rPr>
          <w:rFonts w:ascii="Arial" w:hAnsi="Arial" w:cs="Arial"/>
          <w:sz w:val="22"/>
          <w:szCs w:val="22"/>
        </w:rPr>
        <w:t>. London: SAGE</w:t>
      </w:r>
    </w:p>
    <w:p w14:paraId="5F620D8D"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De Kock, J.H., Latham, H.A., Leslie, S.J., Grindle, M., Munoz, S.A. </w:t>
      </w:r>
      <w:r w:rsidRPr="00453378">
        <w:rPr>
          <w:rStyle w:val="Emphasis"/>
          <w:rFonts w:ascii="Arial" w:hAnsi="Arial" w:cs="Arial"/>
          <w:sz w:val="22"/>
          <w:szCs w:val="22"/>
        </w:rPr>
        <w:t>et al.</w:t>
      </w:r>
      <w:r w:rsidRPr="00453378">
        <w:rPr>
          <w:rFonts w:ascii="Arial" w:hAnsi="Arial" w:cs="Arial"/>
          <w:sz w:val="22"/>
          <w:szCs w:val="22"/>
        </w:rPr>
        <w:t xml:space="preserve"> (2021) ‘A rapid review of the impact of COVID-19 on the mental health of HCWs: Implications for supporting psychological wellbeing’, </w:t>
      </w:r>
      <w:r w:rsidRPr="00453378">
        <w:rPr>
          <w:rStyle w:val="Emphasis"/>
          <w:rFonts w:ascii="Arial" w:hAnsi="Arial" w:cs="Arial"/>
          <w:sz w:val="22"/>
          <w:szCs w:val="22"/>
        </w:rPr>
        <w:t>BMC Public Health</w:t>
      </w:r>
      <w:r w:rsidRPr="00453378">
        <w:rPr>
          <w:rFonts w:ascii="Arial" w:hAnsi="Arial" w:cs="Arial"/>
          <w:sz w:val="22"/>
          <w:szCs w:val="22"/>
        </w:rPr>
        <w:t xml:space="preserve">, 21, 104. </w:t>
      </w:r>
      <w:hyperlink r:id="rId16" w:history="1">
        <w:r w:rsidRPr="00453378">
          <w:rPr>
            <w:rStyle w:val="Hyperlink"/>
            <w:rFonts w:ascii="Arial" w:hAnsi="Arial" w:cs="Arial"/>
            <w:sz w:val="22"/>
            <w:szCs w:val="22"/>
          </w:rPr>
          <w:t>https://bmcpublichealth.biomedcentral.com/articles/10.1186/s12889-020-10070-3</w:t>
        </w:r>
      </w:hyperlink>
    </w:p>
    <w:p w14:paraId="4FAEC55F"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Demerouti, E., Bakker, A.B., Nachreiner, F. &amp; Schaufeli, W.B. (2001) ‘The Job Demands–Resources model of burnout’, </w:t>
      </w:r>
      <w:r w:rsidRPr="00453378">
        <w:rPr>
          <w:rStyle w:val="Emphasis"/>
          <w:rFonts w:ascii="Arial" w:hAnsi="Arial" w:cs="Arial"/>
          <w:sz w:val="22"/>
          <w:szCs w:val="22"/>
        </w:rPr>
        <w:t>Journal of Applied Psychology</w:t>
      </w:r>
      <w:r w:rsidRPr="00453378">
        <w:rPr>
          <w:rFonts w:ascii="Arial" w:hAnsi="Arial" w:cs="Arial"/>
          <w:sz w:val="22"/>
          <w:szCs w:val="22"/>
        </w:rPr>
        <w:t xml:space="preserve">, 86(3), pp. 499–512. </w:t>
      </w:r>
      <w:hyperlink r:id="rId17" w:tgtFrame="_new" w:history="1">
        <w:r w:rsidRPr="00453378">
          <w:rPr>
            <w:rStyle w:val="Hyperlink"/>
            <w:rFonts w:ascii="Arial" w:hAnsi="Arial" w:cs="Arial"/>
            <w:sz w:val="22"/>
            <w:szCs w:val="22"/>
          </w:rPr>
          <w:t>https://psycnet.apa.org/record/2001-18266-015</w:t>
        </w:r>
      </w:hyperlink>
    </w:p>
    <w:p w14:paraId="7ED69D9B"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Faculty of Intensive Care Medicine (FICM) (2020) </w:t>
      </w:r>
      <w:r w:rsidRPr="00453378">
        <w:rPr>
          <w:rStyle w:val="Emphasis"/>
          <w:rFonts w:ascii="Arial" w:hAnsi="Arial" w:cs="Arial"/>
          <w:sz w:val="22"/>
          <w:szCs w:val="22"/>
        </w:rPr>
        <w:t>Wellbeing Resource Library</w:t>
      </w:r>
      <w:r w:rsidRPr="00453378">
        <w:rPr>
          <w:rFonts w:ascii="Arial" w:hAnsi="Arial" w:cs="Arial"/>
          <w:sz w:val="22"/>
          <w:szCs w:val="22"/>
        </w:rPr>
        <w:t>.</w:t>
      </w:r>
      <w:r w:rsidRPr="00453378">
        <w:rPr>
          <w:rFonts w:ascii="Arial" w:hAnsi="Arial" w:cs="Arial"/>
          <w:sz w:val="22"/>
          <w:szCs w:val="22"/>
        </w:rPr>
        <w:br/>
      </w:r>
      <w:hyperlink r:id="rId18" w:tgtFrame="_new" w:history="1">
        <w:r w:rsidRPr="00453378">
          <w:rPr>
            <w:rStyle w:val="Hyperlink"/>
            <w:rFonts w:ascii="Arial" w:hAnsi="Arial" w:cs="Arial"/>
            <w:sz w:val="22"/>
            <w:szCs w:val="22"/>
          </w:rPr>
          <w:t>https://www.ficm.ac.uk/wellbeing</w:t>
        </w:r>
      </w:hyperlink>
    </w:p>
    <w:p w14:paraId="0A694A2F"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Gough, D., Oliver, S. &amp; Thomas, J. (2012) </w:t>
      </w:r>
      <w:r w:rsidRPr="00453378">
        <w:rPr>
          <w:rStyle w:val="Emphasis"/>
          <w:rFonts w:ascii="Arial" w:hAnsi="Arial" w:cs="Arial"/>
          <w:sz w:val="22"/>
          <w:szCs w:val="22"/>
        </w:rPr>
        <w:t>An Introduction to Systematic Reviews</w:t>
      </w:r>
      <w:r w:rsidRPr="00453378">
        <w:rPr>
          <w:rFonts w:ascii="Arial" w:hAnsi="Arial" w:cs="Arial"/>
          <w:sz w:val="22"/>
          <w:szCs w:val="22"/>
        </w:rPr>
        <w:t>. London: SAGE.</w:t>
      </w:r>
      <w:r w:rsidRPr="00453378">
        <w:rPr>
          <w:rFonts w:ascii="Arial" w:hAnsi="Arial" w:cs="Arial"/>
          <w:sz w:val="22"/>
          <w:szCs w:val="22"/>
        </w:rPr>
        <w:br/>
      </w:r>
      <w:hyperlink r:id="rId19" w:tgtFrame="_new" w:history="1">
        <w:r w:rsidRPr="00453378">
          <w:rPr>
            <w:rStyle w:val="Hyperlink"/>
            <w:rFonts w:ascii="Arial" w:hAnsi="Arial" w:cs="Arial"/>
            <w:sz w:val="22"/>
            <w:szCs w:val="22"/>
          </w:rPr>
          <w:t>https://uk.sagepub.com/en-gb/eur/an-introduction-to-systematic-reviews/book237865</w:t>
        </w:r>
      </w:hyperlink>
    </w:p>
    <w:p w14:paraId="044F9EC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Goulia, P., Mantas, C., Dimitroula, D., Mantis, D. &amp; Hyphantis, T. (2010) ‘General hospital staff worries, perceived sufficiency of information and associated psychological distress during the A/H1N1 influenza pandemic’, </w:t>
      </w:r>
      <w:r w:rsidRPr="00453378">
        <w:rPr>
          <w:rStyle w:val="Emphasis"/>
          <w:rFonts w:ascii="Arial" w:hAnsi="Arial" w:cs="Arial"/>
          <w:sz w:val="22"/>
          <w:szCs w:val="22"/>
        </w:rPr>
        <w:t>BMC Infectious Diseases</w:t>
      </w:r>
      <w:r w:rsidRPr="00453378">
        <w:rPr>
          <w:rFonts w:ascii="Arial" w:hAnsi="Arial" w:cs="Arial"/>
          <w:sz w:val="22"/>
          <w:szCs w:val="22"/>
        </w:rPr>
        <w:t xml:space="preserve">, 10, 322. </w:t>
      </w:r>
      <w:hyperlink r:id="rId20" w:tgtFrame="_new" w:history="1">
        <w:r w:rsidRPr="00453378">
          <w:rPr>
            <w:rStyle w:val="Hyperlink"/>
            <w:rFonts w:ascii="Arial" w:hAnsi="Arial" w:cs="Arial"/>
            <w:sz w:val="22"/>
            <w:szCs w:val="22"/>
          </w:rPr>
          <w:t>https://bmcinfectdis.biomedcentral.com/articles/10.1186/1471-2334-10-322</w:t>
        </w:r>
      </w:hyperlink>
    </w:p>
    <w:p w14:paraId="7D8A15FF"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Grace, S.L., Hershenfield, K., Robertson, E. &amp; Stewart, D.E. (2005) ‘The occupational and psychosocial impact of SARS on academic physicians’, </w:t>
      </w:r>
      <w:r w:rsidRPr="00453378">
        <w:rPr>
          <w:rStyle w:val="Emphasis"/>
          <w:rFonts w:ascii="Arial" w:hAnsi="Arial" w:cs="Arial"/>
          <w:sz w:val="22"/>
          <w:szCs w:val="22"/>
        </w:rPr>
        <w:t>Canadian Journal of Public Health</w:t>
      </w:r>
      <w:r w:rsidRPr="00453378">
        <w:rPr>
          <w:rFonts w:ascii="Arial" w:hAnsi="Arial" w:cs="Arial"/>
          <w:sz w:val="22"/>
          <w:szCs w:val="22"/>
        </w:rPr>
        <w:t xml:space="preserve">, 96(4), pp. 293–297. </w:t>
      </w:r>
      <w:hyperlink r:id="rId21" w:tgtFrame="_new" w:history="1">
        <w:r w:rsidRPr="00453378">
          <w:rPr>
            <w:rStyle w:val="Hyperlink"/>
            <w:rFonts w:ascii="Arial" w:hAnsi="Arial" w:cs="Arial"/>
            <w:sz w:val="22"/>
            <w:szCs w:val="22"/>
          </w:rPr>
          <w:t>https://link.springer.com/article/10.1007/BF03405108</w:t>
        </w:r>
      </w:hyperlink>
    </w:p>
    <w:p w14:paraId="357AC73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Greenberg, N., Docherty, M., Gnanapragasam, S. &amp; Wessely, S. (2020) ‘Managing mental health challenges faced by HCWs during COVID-19 pandemic’, </w:t>
      </w:r>
      <w:r w:rsidRPr="00453378">
        <w:rPr>
          <w:rStyle w:val="Emphasis"/>
          <w:rFonts w:ascii="Arial" w:hAnsi="Arial" w:cs="Arial"/>
          <w:sz w:val="22"/>
          <w:szCs w:val="22"/>
        </w:rPr>
        <w:t>BMJ</w:t>
      </w:r>
      <w:r w:rsidRPr="00453378">
        <w:rPr>
          <w:rFonts w:ascii="Arial" w:hAnsi="Arial" w:cs="Arial"/>
          <w:sz w:val="22"/>
          <w:szCs w:val="22"/>
        </w:rPr>
        <w:t xml:space="preserve">, 368, m1211. </w:t>
      </w:r>
      <w:hyperlink r:id="rId22" w:tgtFrame="_new" w:history="1">
        <w:r w:rsidRPr="00453378">
          <w:rPr>
            <w:rStyle w:val="Hyperlink"/>
            <w:rFonts w:ascii="Arial" w:hAnsi="Arial" w:cs="Arial"/>
            <w:sz w:val="22"/>
            <w:szCs w:val="22"/>
          </w:rPr>
          <w:t>https://www.bmj.com/content/368/bmj.m1211</w:t>
        </w:r>
      </w:hyperlink>
    </w:p>
    <w:p w14:paraId="4239019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Greenhalgh, T., Thorne, S. &amp; Malterud, K. (2018) ‘Time to challenge the spurious hierarchy of systematic over narrative reviews?’, </w:t>
      </w:r>
      <w:r w:rsidRPr="00453378">
        <w:rPr>
          <w:rStyle w:val="Emphasis"/>
          <w:rFonts w:ascii="Arial" w:hAnsi="Arial" w:cs="Arial"/>
          <w:sz w:val="22"/>
          <w:szCs w:val="22"/>
        </w:rPr>
        <w:t>European Journal of Clinical Investigation</w:t>
      </w:r>
      <w:r w:rsidRPr="00453378">
        <w:rPr>
          <w:rFonts w:ascii="Arial" w:hAnsi="Arial" w:cs="Arial"/>
          <w:sz w:val="22"/>
          <w:szCs w:val="22"/>
        </w:rPr>
        <w:t>, 48(6), e12931.</w:t>
      </w:r>
      <w:r w:rsidRPr="00453378">
        <w:rPr>
          <w:rFonts w:ascii="Arial" w:hAnsi="Arial" w:cs="Arial"/>
          <w:sz w:val="22"/>
          <w:szCs w:val="22"/>
        </w:rPr>
        <w:br/>
      </w:r>
      <w:hyperlink r:id="rId23" w:tgtFrame="_new" w:history="1">
        <w:r w:rsidRPr="00453378">
          <w:rPr>
            <w:rStyle w:val="Hyperlink"/>
            <w:rFonts w:ascii="Arial" w:hAnsi="Arial" w:cs="Arial"/>
            <w:sz w:val="22"/>
            <w:szCs w:val="22"/>
          </w:rPr>
          <w:t>https://doi.org/10.1111/eci.12931</w:t>
        </w:r>
      </w:hyperlink>
    </w:p>
    <w:p w14:paraId="1FFDCBD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Gupta, N., Dhamija, S., Patil, J. &amp; Chaudhari, B. (2021) ‘Impact of COVID-19 pandemic on healthcare workers’, </w:t>
      </w:r>
      <w:r w:rsidRPr="00453378">
        <w:rPr>
          <w:rStyle w:val="Emphasis"/>
          <w:rFonts w:ascii="Arial" w:hAnsi="Arial" w:cs="Arial"/>
          <w:sz w:val="22"/>
          <w:szCs w:val="22"/>
        </w:rPr>
        <w:t>Industrial Psychiatry Journal</w:t>
      </w:r>
      <w:r w:rsidRPr="00453378">
        <w:rPr>
          <w:rFonts w:ascii="Arial" w:hAnsi="Arial" w:cs="Arial"/>
          <w:sz w:val="22"/>
          <w:szCs w:val="22"/>
        </w:rPr>
        <w:t xml:space="preserve">, 30(Suppl 1), pp. S282–S284. </w:t>
      </w:r>
      <w:hyperlink r:id="rId24" w:tgtFrame="_new" w:history="1">
        <w:r w:rsidRPr="00453378">
          <w:rPr>
            <w:rStyle w:val="Hyperlink"/>
            <w:rFonts w:ascii="Arial" w:hAnsi="Arial" w:cs="Arial"/>
            <w:sz w:val="22"/>
            <w:szCs w:val="22"/>
          </w:rPr>
          <w:t>https://europepmc.org/articles/PMC8611576/</w:t>
        </w:r>
      </w:hyperlink>
    </w:p>
    <w:p w14:paraId="668147AD" w14:textId="77777777" w:rsidR="00B61AF6" w:rsidRPr="00453378" w:rsidRDefault="00B61AF6" w:rsidP="00B61AF6">
      <w:pPr>
        <w:pStyle w:val="NormalWeb"/>
        <w:spacing w:line="360" w:lineRule="auto"/>
        <w:jc w:val="both"/>
        <w:rPr>
          <w:rStyle w:val="ej-journal-doi"/>
          <w:rFonts w:ascii="Arial" w:hAnsi="Arial" w:cs="Arial"/>
          <w:i/>
          <w:iCs/>
          <w:color w:val="3B3030"/>
          <w:sz w:val="22"/>
          <w:szCs w:val="22"/>
          <w:shd w:val="clear" w:color="auto" w:fill="FFFFFF"/>
        </w:rPr>
      </w:pPr>
      <w:r w:rsidRPr="00453378">
        <w:rPr>
          <w:rFonts w:ascii="Arial" w:hAnsi="Arial" w:cs="Arial"/>
          <w:sz w:val="22"/>
          <w:szCs w:val="22"/>
        </w:rPr>
        <w:t xml:space="preserve">Hall, H. (2020) ‘The effect of the COVID-19 pandemic on healthcare workers’ mental health’, </w:t>
      </w:r>
      <w:r w:rsidRPr="00453378">
        <w:rPr>
          <w:rStyle w:val="Emphasis"/>
          <w:rFonts w:ascii="Arial" w:hAnsi="Arial" w:cs="Arial"/>
          <w:sz w:val="22"/>
          <w:szCs w:val="22"/>
        </w:rPr>
        <w:t>JAAPA</w:t>
      </w:r>
      <w:r w:rsidRPr="00453378">
        <w:rPr>
          <w:rFonts w:ascii="Arial" w:hAnsi="Arial" w:cs="Arial"/>
          <w:sz w:val="22"/>
          <w:szCs w:val="22"/>
        </w:rPr>
        <w:t xml:space="preserve">, 33(7), pp. 45–48. </w:t>
      </w:r>
      <w:hyperlink r:id="rId25" w:history="1">
        <w:r w:rsidRPr="00453378">
          <w:rPr>
            <w:rStyle w:val="Hyperlink"/>
            <w:rFonts w:ascii="Arial" w:hAnsi="Arial" w:cs="Arial"/>
            <w:i/>
            <w:iCs/>
            <w:sz w:val="22"/>
            <w:szCs w:val="22"/>
            <w:shd w:val="clear" w:color="auto" w:fill="FFFFFF"/>
          </w:rPr>
          <w:t>https://doi.org/10.1097/01.jaa.0000669772.78848.8c</w:t>
        </w:r>
      </w:hyperlink>
    </w:p>
    <w:p w14:paraId="08A7928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Higgins, J.P.T. &amp; Thomas, J. (eds.) (2023) </w:t>
      </w:r>
      <w:r w:rsidRPr="00453378">
        <w:rPr>
          <w:rStyle w:val="Emphasis"/>
          <w:rFonts w:ascii="Arial" w:hAnsi="Arial" w:cs="Arial"/>
          <w:sz w:val="22"/>
          <w:szCs w:val="22"/>
        </w:rPr>
        <w:t>Cochrane Handbook for Systematic Reviews of Interventions</w:t>
      </w:r>
      <w:r w:rsidRPr="00453378">
        <w:rPr>
          <w:rFonts w:ascii="Arial" w:hAnsi="Arial" w:cs="Arial"/>
          <w:sz w:val="22"/>
          <w:szCs w:val="22"/>
        </w:rPr>
        <w:t xml:space="preserve">. 2nd edn (updated). Chichester: Wiley. </w:t>
      </w:r>
      <w:hyperlink r:id="rId26" w:tgtFrame="_new" w:history="1">
        <w:r w:rsidRPr="00453378">
          <w:rPr>
            <w:rStyle w:val="Hyperlink"/>
            <w:rFonts w:ascii="Arial" w:hAnsi="Arial" w:cs="Arial"/>
            <w:sz w:val="22"/>
            <w:szCs w:val="22"/>
          </w:rPr>
          <w:t>https://doi.org/10.1002/9781119536604</w:t>
        </w:r>
      </w:hyperlink>
    </w:p>
    <w:p w14:paraId="1FAC7D3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Hobfoll, S.E. (1989) ‘Conservation of Resources: A new attempt at conceptualizing stress’, </w:t>
      </w:r>
      <w:r w:rsidRPr="00453378">
        <w:rPr>
          <w:rStyle w:val="Emphasis"/>
          <w:rFonts w:ascii="Arial" w:hAnsi="Arial" w:cs="Arial"/>
          <w:sz w:val="22"/>
          <w:szCs w:val="22"/>
        </w:rPr>
        <w:t>American Psychologist</w:t>
      </w:r>
      <w:r w:rsidRPr="00453378">
        <w:rPr>
          <w:rFonts w:ascii="Arial" w:hAnsi="Arial" w:cs="Arial"/>
          <w:sz w:val="22"/>
          <w:szCs w:val="22"/>
        </w:rPr>
        <w:t xml:space="preserve">, 44(3), pp. 513–524. </w:t>
      </w:r>
      <w:hyperlink r:id="rId27" w:tgtFrame="_new" w:history="1">
        <w:r w:rsidRPr="00453378">
          <w:rPr>
            <w:rStyle w:val="Hyperlink"/>
            <w:rFonts w:ascii="Arial" w:hAnsi="Arial" w:cs="Arial"/>
            <w:sz w:val="22"/>
            <w:szCs w:val="22"/>
          </w:rPr>
          <w:t>https://psycnet.apa.org/record/1989-29736-001</w:t>
        </w:r>
      </w:hyperlink>
    </w:p>
    <w:p w14:paraId="374B6CDC"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Hobfoll, S.E. (2018) ‘Conservation of Resources in organizational stress: The unfinished story’, </w:t>
      </w:r>
      <w:r w:rsidRPr="00453378">
        <w:rPr>
          <w:rStyle w:val="Emphasis"/>
          <w:rFonts w:ascii="Arial" w:hAnsi="Arial" w:cs="Arial"/>
          <w:sz w:val="22"/>
          <w:szCs w:val="22"/>
        </w:rPr>
        <w:t>Journal of Applied Psychology</w:t>
      </w:r>
      <w:r w:rsidRPr="00453378">
        <w:rPr>
          <w:rFonts w:ascii="Arial" w:hAnsi="Arial" w:cs="Arial"/>
          <w:sz w:val="22"/>
          <w:szCs w:val="22"/>
        </w:rPr>
        <w:t xml:space="preserve">, 103(3), pp. 513–520. </w:t>
      </w:r>
      <w:hyperlink r:id="rId28" w:tgtFrame="_new" w:history="1">
        <w:r w:rsidRPr="00453378">
          <w:rPr>
            <w:rStyle w:val="Hyperlink"/>
            <w:rFonts w:ascii="Arial" w:hAnsi="Arial" w:cs="Arial"/>
            <w:sz w:val="22"/>
            <w:szCs w:val="22"/>
          </w:rPr>
          <w:t>https://psycnet.apa.org/record/2018-11330-001</w:t>
        </w:r>
      </w:hyperlink>
    </w:p>
    <w:p w14:paraId="639C064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HSE (2019) </w:t>
      </w:r>
      <w:r w:rsidRPr="00453378">
        <w:rPr>
          <w:rStyle w:val="Emphasis"/>
          <w:rFonts w:ascii="Arial" w:hAnsi="Arial" w:cs="Arial"/>
          <w:sz w:val="22"/>
          <w:szCs w:val="22"/>
        </w:rPr>
        <w:t>Work-related stress: Management standards</w:t>
      </w:r>
      <w:r w:rsidRPr="00453378">
        <w:rPr>
          <w:rFonts w:ascii="Arial" w:hAnsi="Arial" w:cs="Arial"/>
          <w:sz w:val="22"/>
          <w:szCs w:val="22"/>
        </w:rPr>
        <w:t>.</w:t>
      </w:r>
      <w:r w:rsidRPr="00453378">
        <w:rPr>
          <w:rFonts w:ascii="Arial" w:hAnsi="Arial" w:cs="Arial"/>
          <w:sz w:val="22"/>
          <w:szCs w:val="22"/>
        </w:rPr>
        <w:br/>
      </w:r>
      <w:hyperlink r:id="rId29" w:tgtFrame="_new" w:history="1">
        <w:r w:rsidRPr="00453378">
          <w:rPr>
            <w:rStyle w:val="Hyperlink"/>
            <w:rFonts w:ascii="Arial" w:hAnsi="Arial" w:cs="Arial"/>
            <w:sz w:val="22"/>
            <w:szCs w:val="22"/>
          </w:rPr>
          <w:t>https://www.hse.gov.uk/stress/standards/index.htm</w:t>
        </w:r>
      </w:hyperlink>
    </w:p>
    <w:p w14:paraId="73A9507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HSE (2020) </w:t>
      </w:r>
      <w:r w:rsidRPr="00453378">
        <w:rPr>
          <w:rStyle w:val="Emphasis"/>
          <w:rFonts w:ascii="Arial" w:hAnsi="Arial" w:cs="Arial"/>
          <w:sz w:val="22"/>
          <w:szCs w:val="22"/>
        </w:rPr>
        <w:t>Protecting workers during the coronavirus pandemic</w:t>
      </w:r>
      <w:r w:rsidRPr="00453378">
        <w:rPr>
          <w:rFonts w:ascii="Arial" w:hAnsi="Arial" w:cs="Arial"/>
          <w:sz w:val="22"/>
          <w:szCs w:val="22"/>
        </w:rPr>
        <w:t>.</w:t>
      </w:r>
      <w:r w:rsidRPr="00453378">
        <w:rPr>
          <w:rFonts w:ascii="Arial" w:hAnsi="Arial" w:cs="Arial"/>
          <w:sz w:val="22"/>
          <w:szCs w:val="22"/>
        </w:rPr>
        <w:br/>
      </w:r>
      <w:hyperlink r:id="rId30" w:tgtFrame="_new" w:history="1">
        <w:r w:rsidRPr="00453378">
          <w:rPr>
            <w:rStyle w:val="Hyperlink"/>
            <w:rFonts w:ascii="Arial" w:hAnsi="Arial" w:cs="Arial"/>
            <w:sz w:val="22"/>
            <w:szCs w:val="22"/>
          </w:rPr>
          <w:t>https://www.hse.gov.uk/coronavirus/index.htm</w:t>
        </w:r>
      </w:hyperlink>
    </w:p>
    <w:p w14:paraId="417FF4EA"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Jameton, A. (1984) </w:t>
      </w:r>
      <w:r w:rsidRPr="00453378">
        <w:rPr>
          <w:rStyle w:val="Emphasis"/>
          <w:rFonts w:ascii="Arial" w:hAnsi="Arial" w:cs="Arial"/>
          <w:sz w:val="22"/>
          <w:szCs w:val="22"/>
        </w:rPr>
        <w:t>Nursing Practice: The Ethical Issues</w:t>
      </w:r>
      <w:r w:rsidRPr="00453378">
        <w:rPr>
          <w:rFonts w:ascii="Arial" w:hAnsi="Arial" w:cs="Arial"/>
          <w:sz w:val="22"/>
          <w:szCs w:val="22"/>
        </w:rPr>
        <w:t>. Englewood Cliffs: Prentice-Hall.</w:t>
      </w:r>
      <w:r w:rsidRPr="00453378">
        <w:rPr>
          <w:rFonts w:ascii="Arial" w:hAnsi="Arial" w:cs="Arial"/>
          <w:sz w:val="22"/>
          <w:szCs w:val="22"/>
        </w:rPr>
        <w:br/>
      </w:r>
      <w:hyperlink r:id="rId31" w:tgtFrame="_new" w:history="1">
        <w:r w:rsidRPr="00453378">
          <w:rPr>
            <w:rStyle w:val="Hyperlink"/>
            <w:rFonts w:ascii="Arial" w:hAnsi="Arial" w:cs="Arial"/>
            <w:sz w:val="22"/>
            <w:szCs w:val="22"/>
          </w:rPr>
          <w:t>https://www.worldcat.org/title/10147702</w:t>
        </w:r>
      </w:hyperlink>
    </w:p>
    <w:p w14:paraId="64E3843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Karasek, R.A. (1979) ‘Job demands, job decision latitude, and mental strain’, </w:t>
      </w:r>
      <w:r w:rsidRPr="00453378">
        <w:rPr>
          <w:rStyle w:val="Emphasis"/>
          <w:rFonts w:ascii="Arial" w:hAnsi="Arial" w:cs="Arial"/>
          <w:sz w:val="22"/>
          <w:szCs w:val="22"/>
        </w:rPr>
        <w:t>Administrative Science Quarterly</w:t>
      </w:r>
      <w:r w:rsidRPr="00453378">
        <w:rPr>
          <w:rFonts w:ascii="Arial" w:hAnsi="Arial" w:cs="Arial"/>
          <w:sz w:val="22"/>
          <w:szCs w:val="22"/>
        </w:rPr>
        <w:t xml:space="preserve">, 24(2), pp. 285–308. </w:t>
      </w:r>
      <w:hyperlink r:id="rId32" w:tgtFrame="_new" w:history="1">
        <w:r w:rsidRPr="00453378">
          <w:rPr>
            <w:rStyle w:val="Hyperlink"/>
            <w:rFonts w:ascii="Arial" w:hAnsi="Arial" w:cs="Arial"/>
            <w:sz w:val="22"/>
            <w:szCs w:val="22"/>
          </w:rPr>
          <w:t>https://www.jstor.org/stable/2392498</w:t>
        </w:r>
      </w:hyperlink>
    </w:p>
    <w:p w14:paraId="0753BEDF"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Kinman, G., Teoh, K. &amp; Harriss, A. (2020) </w:t>
      </w:r>
      <w:r w:rsidRPr="00453378">
        <w:rPr>
          <w:rStyle w:val="Emphasis"/>
          <w:rFonts w:ascii="Arial" w:hAnsi="Arial" w:cs="Arial"/>
          <w:sz w:val="22"/>
          <w:szCs w:val="22"/>
        </w:rPr>
        <w:t>Supporting the well-being of healthcare workers during and after COVID-19</w:t>
      </w:r>
      <w:r w:rsidRPr="00453378">
        <w:rPr>
          <w:rFonts w:ascii="Arial" w:hAnsi="Arial" w:cs="Arial"/>
          <w:sz w:val="22"/>
          <w:szCs w:val="22"/>
        </w:rPr>
        <w:t xml:space="preserve">. Society of Occupational Medicine. </w:t>
      </w:r>
      <w:hyperlink r:id="rId33" w:tgtFrame="_new" w:history="1">
        <w:r w:rsidRPr="00453378">
          <w:rPr>
            <w:rStyle w:val="Hyperlink"/>
            <w:rFonts w:ascii="Arial" w:hAnsi="Arial" w:cs="Arial"/>
            <w:sz w:val="22"/>
            <w:szCs w:val="22"/>
          </w:rPr>
          <w:t>https://www.som.org.uk/sites/som.org.uk/files/SOM_COVID-19_Frontline_Healthcare_Worker_Wellbeing_Guidance.pdf</w:t>
        </w:r>
      </w:hyperlink>
    </w:p>
    <w:p w14:paraId="32CE2DC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Kisely, S., Warren, N., McMahon, L., Dalais, C., Henry, I. &amp; Siskind, D. (2020) ‘Occurrence, prevention, and management of the psychological effects of emerging virus outbreaks on HCWs: rapid review’, </w:t>
      </w:r>
      <w:r w:rsidRPr="00453378">
        <w:rPr>
          <w:rStyle w:val="Emphasis"/>
          <w:rFonts w:ascii="Arial" w:hAnsi="Arial" w:cs="Arial"/>
          <w:sz w:val="22"/>
          <w:szCs w:val="22"/>
        </w:rPr>
        <w:t>BMJ</w:t>
      </w:r>
      <w:r w:rsidRPr="00453378">
        <w:rPr>
          <w:rFonts w:ascii="Arial" w:hAnsi="Arial" w:cs="Arial"/>
          <w:sz w:val="22"/>
          <w:szCs w:val="22"/>
        </w:rPr>
        <w:t xml:space="preserve">, 369, m1642. </w:t>
      </w:r>
      <w:hyperlink r:id="rId34" w:tgtFrame="_new" w:history="1">
        <w:r w:rsidRPr="00453378">
          <w:rPr>
            <w:rStyle w:val="Hyperlink"/>
            <w:rFonts w:ascii="Arial" w:hAnsi="Arial" w:cs="Arial"/>
            <w:sz w:val="22"/>
            <w:szCs w:val="22"/>
          </w:rPr>
          <w:t>https://www.bmj.com/content/369/bmj.m1642</w:t>
        </w:r>
      </w:hyperlink>
    </w:p>
    <w:p w14:paraId="2ABF110C"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Lai, J., Ma, S., Wang, Y., Cai, Z., Hu, J. </w:t>
      </w:r>
      <w:r w:rsidRPr="00453378">
        <w:rPr>
          <w:rStyle w:val="Emphasis"/>
          <w:rFonts w:ascii="Arial" w:hAnsi="Arial" w:cs="Arial"/>
          <w:sz w:val="22"/>
          <w:szCs w:val="22"/>
        </w:rPr>
        <w:t>et al.</w:t>
      </w:r>
      <w:r w:rsidRPr="00453378">
        <w:rPr>
          <w:rFonts w:ascii="Arial" w:hAnsi="Arial" w:cs="Arial"/>
          <w:sz w:val="22"/>
          <w:szCs w:val="22"/>
        </w:rPr>
        <w:t xml:space="preserve"> (2020) ‘Factors associated with mental health outcomes among HCWs exposed to COVID-19’, </w:t>
      </w:r>
      <w:r w:rsidRPr="00453378">
        <w:rPr>
          <w:rStyle w:val="Emphasis"/>
          <w:rFonts w:ascii="Arial" w:hAnsi="Arial" w:cs="Arial"/>
          <w:sz w:val="22"/>
          <w:szCs w:val="22"/>
        </w:rPr>
        <w:t>JAMA Network Open</w:t>
      </w:r>
      <w:r w:rsidRPr="00453378">
        <w:rPr>
          <w:rFonts w:ascii="Arial" w:hAnsi="Arial" w:cs="Arial"/>
          <w:sz w:val="22"/>
          <w:szCs w:val="22"/>
        </w:rPr>
        <w:t>, 3(3), e203976.</w:t>
      </w:r>
      <w:r w:rsidRPr="00453378">
        <w:rPr>
          <w:rFonts w:ascii="Arial" w:hAnsi="Arial" w:cs="Arial"/>
          <w:sz w:val="22"/>
          <w:szCs w:val="22"/>
        </w:rPr>
        <w:br/>
        <w:t xml:space="preserve">DOI: 10.1001/jamanetworkopen.2020.3976 — </w:t>
      </w:r>
      <w:hyperlink r:id="rId35" w:tgtFrame="_new" w:history="1">
        <w:r w:rsidRPr="00453378">
          <w:rPr>
            <w:rStyle w:val="Hyperlink"/>
            <w:rFonts w:ascii="Arial" w:hAnsi="Arial" w:cs="Arial"/>
            <w:sz w:val="22"/>
            <w:szCs w:val="22"/>
          </w:rPr>
          <w:t>https://jamanetwork.com/journals/jamanetworkopen/fullarticle/2763229</w:t>
        </w:r>
      </w:hyperlink>
    </w:p>
    <w:p w14:paraId="7EFDC67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Lazarus, R.S. &amp; Folkman, S. (1984) </w:t>
      </w:r>
      <w:r w:rsidRPr="00453378">
        <w:rPr>
          <w:rStyle w:val="Emphasis"/>
          <w:rFonts w:ascii="Arial" w:hAnsi="Arial" w:cs="Arial"/>
          <w:sz w:val="22"/>
          <w:szCs w:val="22"/>
        </w:rPr>
        <w:t>Stress, Appraisal, and Coping</w:t>
      </w:r>
      <w:r w:rsidRPr="00453378">
        <w:rPr>
          <w:rFonts w:ascii="Arial" w:hAnsi="Arial" w:cs="Arial"/>
          <w:sz w:val="22"/>
          <w:szCs w:val="22"/>
        </w:rPr>
        <w:t xml:space="preserve">. New York: Springer. </w:t>
      </w:r>
      <w:hyperlink r:id="rId36" w:tgtFrame="_new" w:history="1">
        <w:r w:rsidRPr="00453378">
          <w:rPr>
            <w:rStyle w:val="Hyperlink"/>
            <w:rFonts w:ascii="Arial" w:hAnsi="Arial" w:cs="Arial"/>
            <w:sz w:val="22"/>
            <w:szCs w:val="22"/>
          </w:rPr>
          <w:t>https://link.springer.com/book/10.1007/978-1-4419-1005-9</w:t>
        </w:r>
      </w:hyperlink>
    </w:p>
    <w:p w14:paraId="68B3732F"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Litz, B.T., Stein, N., Delaney, E., Lebowitz, L., Nash, W.P., Silva, C. &amp; Maguen, S. (2009) ‘Moral injury and moral repair in war veterans: A preliminary model and intervention strategy’, </w:t>
      </w:r>
      <w:r w:rsidRPr="00453378">
        <w:rPr>
          <w:rStyle w:val="Emphasis"/>
          <w:rFonts w:ascii="Arial" w:hAnsi="Arial" w:cs="Arial"/>
          <w:sz w:val="22"/>
          <w:szCs w:val="22"/>
        </w:rPr>
        <w:t>Clinical Psychology Review</w:t>
      </w:r>
      <w:r w:rsidRPr="00453378">
        <w:rPr>
          <w:rFonts w:ascii="Arial" w:hAnsi="Arial" w:cs="Arial"/>
          <w:sz w:val="22"/>
          <w:szCs w:val="22"/>
        </w:rPr>
        <w:t xml:space="preserve">, 29(8), pp. 695–706. </w:t>
      </w:r>
      <w:hyperlink r:id="rId37" w:tgtFrame="_new" w:history="1">
        <w:r w:rsidRPr="00453378">
          <w:rPr>
            <w:rStyle w:val="Hyperlink"/>
            <w:rFonts w:ascii="Arial" w:hAnsi="Arial" w:cs="Arial"/>
            <w:sz w:val="22"/>
            <w:szCs w:val="22"/>
          </w:rPr>
          <w:t>https://www.sciencedirect.com/science/article/pii/S0272735809000907</w:t>
        </w:r>
      </w:hyperlink>
    </w:p>
    <w:p w14:paraId="4756B58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Luceño-Moreno, L., Prieto-Prieto, M., Muñoz-Navarro, R., Suso-Ribera, C. &amp; Miró, E. (2020) ‘Symptoms of posttraumatic stress, anxiety, depression, levels of resilience among Spanish HCWs during COVID-19’, </w:t>
      </w:r>
      <w:r w:rsidRPr="00453378">
        <w:rPr>
          <w:rStyle w:val="Emphasis"/>
          <w:rFonts w:ascii="Arial" w:hAnsi="Arial" w:cs="Arial"/>
          <w:sz w:val="22"/>
          <w:szCs w:val="22"/>
        </w:rPr>
        <w:t>International Journal of Environmental Research and Public Health</w:t>
      </w:r>
      <w:r w:rsidRPr="00453378">
        <w:rPr>
          <w:rFonts w:ascii="Arial" w:hAnsi="Arial" w:cs="Arial"/>
          <w:sz w:val="22"/>
          <w:szCs w:val="22"/>
        </w:rPr>
        <w:t xml:space="preserve">, 17(15), 5514. </w:t>
      </w:r>
      <w:hyperlink r:id="rId38" w:tgtFrame="_new" w:history="1">
        <w:r w:rsidRPr="00453378">
          <w:rPr>
            <w:rStyle w:val="Hyperlink"/>
            <w:rFonts w:ascii="Arial" w:hAnsi="Arial" w:cs="Arial"/>
            <w:sz w:val="22"/>
            <w:szCs w:val="22"/>
          </w:rPr>
          <w:t>https://www.mdpi.com/1660-4601/17/15/5514</w:t>
        </w:r>
      </w:hyperlink>
    </w:p>
    <w:p w14:paraId="647DF12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Maslach, C. &amp; Jackson, S.E. (1981) ‘The measurement of experienced burnout’, </w:t>
      </w:r>
      <w:r w:rsidRPr="00453378">
        <w:rPr>
          <w:rStyle w:val="Emphasis"/>
          <w:rFonts w:ascii="Arial" w:hAnsi="Arial" w:cs="Arial"/>
          <w:sz w:val="22"/>
          <w:szCs w:val="22"/>
        </w:rPr>
        <w:t>Journal of Occupational Behavior</w:t>
      </w:r>
      <w:r w:rsidRPr="00453378">
        <w:rPr>
          <w:rFonts w:ascii="Arial" w:hAnsi="Arial" w:cs="Arial"/>
          <w:sz w:val="22"/>
          <w:szCs w:val="22"/>
        </w:rPr>
        <w:t xml:space="preserve">, 2(2), pp. 99–113. </w:t>
      </w:r>
      <w:hyperlink r:id="rId39" w:tgtFrame="_new" w:history="1">
        <w:r w:rsidRPr="00453378">
          <w:rPr>
            <w:rStyle w:val="Hyperlink"/>
            <w:rFonts w:ascii="Arial" w:hAnsi="Arial" w:cs="Arial"/>
            <w:sz w:val="22"/>
            <w:szCs w:val="22"/>
          </w:rPr>
          <w:t>https://onlinelibrary.wiley.com/doi/abs/10.1002/job.4030020205</w:t>
        </w:r>
      </w:hyperlink>
    </w:p>
    <w:p w14:paraId="4E983B9B"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Maslach, C. &amp; Leiter, M.P. (2016) ‘Burnout: A Multidimensional Perspective’, in </w:t>
      </w:r>
      <w:r w:rsidRPr="00453378">
        <w:rPr>
          <w:rStyle w:val="Emphasis"/>
          <w:rFonts w:ascii="Arial" w:hAnsi="Arial" w:cs="Arial"/>
          <w:sz w:val="22"/>
          <w:szCs w:val="22"/>
        </w:rPr>
        <w:t>Stress: Concepts, Cognition, Emotion, and Behavior</w:t>
      </w:r>
      <w:r w:rsidRPr="00453378">
        <w:rPr>
          <w:rFonts w:ascii="Arial" w:hAnsi="Arial" w:cs="Arial"/>
          <w:sz w:val="22"/>
          <w:szCs w:val="22"/>
        </w:rPr>
        <w:t xml:space="preserve">. Academic Press, pp. 351–357. </w:t>
      </w:r>
      <w:hyperlink r:id="rId40" w:tgtFrame="_new" w:history="1">
        <w:r w:rsidRPr="00453378">
          <w:rPr>
            <w:rStyle w:val="Hyperlink"/>
            <w:rFonts w:ascii="Arial" w:hAnsi="Arial" w:cs="Arial"/>
            <w:sz w:val="22"/>
            <w:szCs w:val="22"/>
          </w:rPr>
          <w:t>https://www.sciencedirect.com/science/article/pii/B9780128009512000443</w:t>
        </w:r>
      </w:hyperlink>
    </w:p>
    <w:p w14:paraId="4133812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Maunder, R., Hunter, J., Vincent, L., Bennett, J., Peladeau, N. </w:t>
      </w:r>
      <w:r w:rsidRPr="00453378">
        <w:rPr>
          <w:rStyle w:val="Emphasis"/>
          <w:rFonts w:ascii="Arial" w:hAnsi="Arial" w:cs="Arial"/>
          <w:sz w:val="22"/>
          <w:szCs w:val="22"/>
        </w:rPr>
        <w:t>et al.</w:t>
      </w:r>
      <w:r w:rsidRPr="00453378">
        <w:rPr>
          <w:rFonts w:ascii="Arial" w:hAnsi="Arial" w:cs="Arial"/>
          <w:sz w:val="22"/>
          <w:szCs w:val="22"/>
        </w:rPr>
        <w:t xml:space="preserve"> (2006) ‘The immediate psychological and occupational impact of the 2003 SARS outbreak’, </w:t>
      </w:r>
      <w:r w:rsidRPr="00453378">
        <w:rPr>
          <w:rStyle w:val="Emphasis"/>
          <w:rFonts w:ascii="Arial" w:hAnsi="Arial" w:cs="Arial"/>
          <w:sz w:val="22"/>
          <w:szCs w:val="22"/>
        </w:rPr>
        <w:t>CMAJ</w:t>
      </w:r>
      <w:r w:rsidRPr="00453378">
        <w:rPr>
          <w:rFonts w:ascii="Arial" w:hAnsi="Arial" w:cs="Arial"/>
          <w:sz w:val="22"/>
          <w:szCs w:val="22"/>
        </w:rPr>
        <w:t>, 168(10), pp. 1245–1251.</w:t>
      </w:r>
      <w:r w:rsidRPr="00453378">
        <w:rPr>
          <w:rFonts w:ascii="Arial" w:hAnsi="Arial" w:cs="Arial"/>
          <w:sz w:val="22"/>
          <w:szCs w:val="22"/>
        </w:rPr>
        <w:br/>
      </w:r>
      <w:hyperlink r:id="rId41" w:tgtFrame="_new" w:history="1">
        <w:r w:rsidRPr="00453378">
          <w:rPr>
            <w:rStyle w:val="Hyperlink"/>
            <w:rFonts w:ascii="Arial" w:hAnsi="Arial" w:cs="Arial"/>
            <w:sz w:val="22"/>
            <w:szCs w:val="22"/>
          </w:rPr>
          <w:t>https://www.cmaj.ca/content/168/10/1245</w:t>
        </w:r>
      </w:hyperlink>
    </w:p>
    <w:p w14:paraId="6FED7DF7"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NHS Confederation (2021) </w:t>
      </w:r>
      <w:r w:rsidRPr="00453378">
        <w:rPr>
          <w:rStyle w:val="Emphasis"/>
          <w:rFonts w:ascii="Arial" w:hAnsi="Arial" w:cs="Arial"/>
          <w:sz w:val="22"/>
          <w:szCs w:val="22"/>
        </w:rPr>
        <w:t>NHS Reset: Workforce</w:t>
      </w:r>
      <w:r w:rsidRPr="00453378">
        <w:rPr>
          <w:rFonts w:ascii="Arial" w:hAnsi="Arial" w:cs="Arial"/>
          <w:sz w:val="22"/>
          <w:szCs w:val="22"/>
        </w:rPr>
        <w:t>.</w:t>
      </w:r>
      <w:r w:rsidRPr="00453378">
        <w:rPr>
          <w:rFonts w:ascii="Arial" w:hAnsi="Arial" w:cs="Arial"/>
          <w:sz w:val="22"/>
          <w:szCs w:val="22"/>
        </w:rPr>
        <w:br/>
      </w:r>
      <w:hyperlink r:id="rId42" w:tgtFrame="_new" w:history="1">
        <w:r w:rsidRPr="00453378">
          <w:rPr>
            <w:rStyle w:val="Hyperlink"/>
            <w:rFonts w:ascii="Arial" w:hAnsi="Arial" w:cs="Arial"/>
            <w:sz w:val="22"/>
            <w:szCs w:val="22"/>
          </w:rPr>
          <w:t>https://www.nhsconfed.org/themes/workforce</w:t>
        </w:r>
      </w:hyperlink>
    </w:p>
    <w:p w14:paraId="050668AA"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NHS England (2020) </w:t>
      </w:r>
      <w:r w:rsidRPr="00453378">
        <w:rPr>
          <w:rStyle w:val="Emphasis"/>
          <w:rFonts w:ascii="Arial" w:hAnsi="Arial" w:cs="Arial"/>
          <w:sz w:val="22"/>
          <w:szCs w:val="22"/>
        </w:rPr>
        <w:t>We are the NHS: People Plan for 2020/21</w:t>
      </w:r>
      <w:r w:rsidRPr="00453378">
        <w:rPr>
          <w:rFonts w:ascii="Arial" w:hAnsi="Arial" w:cs="Arial"/>
          <w:sz w:val="22"/>
          <w:szCs w:val="22"/>
        </w:rPr>
        <w:t>.</w:t>
      </w:r>
      <w:r w:rsidRPr="00453378">
        <w:rPr>
          <w:rFonts w:ascii="Arial" w:hAnsi="Arial" w:cs="Arial"/>
          <w:sz w:val="22"/>
          <w:szCs w:val="22"/>
        </w:rPr>
        <w:br/>
      </w:r>
      <w:hyperlink r:id="rId43" w:tgtFrame="_new" w:history="1">
        <w:r w:rsidRPr="00453378">
          <w:rPr>
            <w:rStyle w:val="Hyperlink"/>
            <w:rFonts w:ascii="Arial" w:hAnsi="Arial" w:cs="Arial"/>
            <w:sz w:val="22"/>
            <w:szCs w:val="22"/>
          </w:rPr>
          <w:t>https://www.england.nhs.uk/ournhspeople/</w:t>
        </w:r>
      </w:hyperlink>
    </w:p>
    <w:p w14:paraId="61EA05DE"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NHS England (2021) </w:t>
      </w:r>
      <w:r w:rsidRPr="00453378">
        <w:rPr>
          <w:rStyle w:val="Emphasis"/>
          <w:rFonts w:ascii="Arial" w:hAnsi="Arial" w:cs="Arial"/>
          <w:sz w:val="22"/>
          <w:szCs w:val="22"/>
        </w:rPr>
        <w:t>Our NHS People Promise</w:t>
      </w:r>
      <w:r w:rsidRPr="00453378">
        <w:rPr>
          <w:rFonts w:ascii="Arial" w:hAnsi="Arial" w:cs="Arial"/>
          <w:sz w:val="22"/>
          <w:szCs w:val="22"/>
        </w:rPr>
        <w:t>.</w:t>
      </w:r>
      <w:r w:rsidRPr="00453378">
        <w:rPr>
          <w:rFonts w:ascii="Arial" w:hAnsi="Arial" w:cs="Arial"/>
          <w:sz w:val="22"/>
          <w:szCs w:val="22"/>
        </w:rPr>
        <w:br/>
      </w:r>
      <w:hyperlink r:id="rId44" w:tgtFrame="_new" w:history="1">
        <w:r w:rsidRPr="00453378">
          <w:rPr>
            <w:rStyle w:val="Hyperlink"/>
            <w:rFonts w:ascii="Arial" w:hAnsi="Arial" w:cs="Arial"/>
            <w:sz w:val="22"/>
            <w:szCs w:val="22"/>
          </w:rPr>
          <w:t>https://www.england.nhs.uk/ournhspeople/peoplepromise/</w:t>
        </w:r>
      </w:hyperlink>
    </w:p>
    <w:p w14:paraId="69EFF3C2"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NHS Staff Survey (2019) </w:t>
      </w:r>
      <w:r w:rsidRPr="00453378">
        <w:rPr>
          <w:rStyle w:val="Emphasis"/>
          <w:rFonts w:ascii="Arial" w:hAnsi="Arial" w:cs="Arial"/>
          <w:sz w:val="22"/>
          <w:szCs w:val="22"/>
        </w:rPr>
        <w:t>National Results Briefing</w:t>
      </w:r>
      <w:r w:rsidRPr="00453378">
        <w:rPr>
          <w:rFonts w:ascii="Arial" w:hAnsi="Arial" w:cs="Arial"/>
          <w:sz w:val="22"/>
          <w:szCs w:val="22"/>
        </w:rPr>
        <w:t>.</w:t>
      </w:r>
      <w:r w:rsidRPr="00453378">
        <w:rPr>
          <w:rFonts w:ascii="Arial" w:hAnsi="Arial" w:cs="Arial"/>
          <w:sz w:val="22"/>
          <w:szCs w:val="22"/>
        </w:rPr>
        <w:br/>
      </w:r>
      <w:hyperlink r:id="rId45" w:tgtFrame="_new" w:history="1">
        <w:r w:rsidRPr="00453378">
          <w:rPr>
            <w:rStyle w:val="Hyperlink"/>
            <w:rFonts w:ascii="Arial" w:hAnsi="Arial" w:cs="Arial"/>
            <w:sz w:val="22"/>
            <w:szCs w:val="22"/>
          </w:rPr>
          <w:t>https://www.nhsstaffsurveys.com</w:t>
        </w:r>
      </w:hyperlink>
    </w:p>
    <w:p w14:paraId="356738B6"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NHS Staff Survey (2020) </w:t>
      </w:r>
      <w:r w:rsidRPr="00453378">
        <w:rPr>
          <w:rStyle w:val="Emphasis"/>
          <w:rFonts w:ascii="Arial" w:hAnsi="Arial" w:cs="Arial"/>
          <w:sz w:val="22"/>
          <w:szCs w:val="22"/>
        </w:rPr>
        <w:t>National Results Briefing</w:t>
      </w:r>
      <w:r w:rsidRPr="00453378">
        <w:rPr>
          <w:rFonts w:ascii="Arial" w:hAnsi="Arial" w:cs="Arial"/>
          <w:sz w:val="22"/>
          <w:szCs w:val="22"/>
        </w:rPr>
        <w:t>.</w:t>
      </w:r>
      <w:r w:rsidRPr="00453378">
        <w:rPr>
          <w:rFonts w:ascii="Arial" w:hAnsi="Arial" w:cs="Arial"/>
          <w:sz w:val="22"/>
          <w:szCs w:val="22"/>
        </w:rPr>
        <w:br/>
      </w:r>
      <w:hyperlink r:id="rId46" w:tgtFrame="_new" w:history="1">
        <w:r w:rsidRPr="00453378">
          <w:rPr>
            <w:rStyle w:val="Hyperlink"/>
            <w:rFonts w:ascii="Arial" w:hAnsi="Arial" w:cs="Arial"/>
            <w:sz w:val="22"/>
            <w:szCs w:val="22"/>
          </w:rPr>
          <w:t>https://www.nhsstaffsurveys.com</w:t>
        </w:r>
      </w:hyperlink>
    </w:p>
    <w:p w14:paraId="53F772C9"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NHS Staff Survey (2021) </w:t>
      </w:r>
      <w:r w:rsidRPr="00453378">
        <w:rPr>
          <w:rStyle w:val="Emphasis"/>
          <w:rFonts w:ascii="Arial" w:hAnsi="Arial" w:cs="Arial"/>
          <w:sz w:val="22"/>
          <w:szCs w:val="22"/>
        </w:rPr>
        <w:t>National Results Briefing</w:t>
      </w:r>
      <w:r w:rsidRPr="00453378">
        <w:rPr>
          <w:rFonts w:ascii="Arial" w:hAnsi="Arial" w:cs="Arial"/>
          <w:sz w:val="22"/>
          <w:szCs w:val="22"/>
        </w:rPr>
        <w:t>.</w:t>
      </w:r>
      <w:r w:rsidRPr="00453378">
        <w:rPr>
          <w:rFonts w:ascii="Arial" w:hAnsi="Arial" w:cs="Arial"/>
          <w:sz w:val="22"/>
          <w:szCs w:val="22"/>
        </w:rPr>
        <w:br/>
      </w:r>
      <w:hyperlink r:id="rId47" w:tgtFrame="_new" w:history="1">
        <w:r w:rsidRPr="00453378">
          <w:rPr>
            <w:rStyle w:val="Hyperlink"/>
            <w:rFonts w:ascii="Arial" w:hAnsi="Arial" w:cs="Arial"/>
            <w:sz w:val="22"/>
            <w:szCs w:val="22"/>
          </w:rPr>
          <w:t>https://www.nhsstaffsurveys.com</w:t>
        </w:r>
      </w:hyperlink>
    </w:p>
    <w:p w14:paraId="56FB6C99"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NICE (2018) </w:t>
      </w:r>
      <w:r w:rsidRPr="00453378">
        <w:rPr>
          <w:rStyle w:val="Emphasis"/>
          <w:rFonts w:ascii="Arial" w:hAnsi="Arial" w:cs="Arial"/>
          <w:sz w:val="22"/>
          <w:szCs w:val="22"/>
        </w:rPr>
        <w:t>Post-traumatic stress disorder (NG116)</w:t>
      </w:r>
      <w:r w:rsidRPr="00453378">
        <w:rPr>
          <w:rFonts w:ascii="Arial" w:hAnsi="Arial" w:cs="Arial"/>
          <w:sz w:val="22"/>
          <w:szCs w:val="22"/>
        </w:rPr>
        <w:t>. National Institute for Health and Care Excellence.</w:t>
      </w:r>
      <w:r w:rsidRPr="00453378">
        <w:rPr>
          <w:rFonts w:ascii="Arial" w:hAnsi="Arial" w:cs="Arial"/>
          <w:sz w:val="22"/>
          <w:szCs w:val="22"/>
        </w:rPr>
        <w:br/>
      </w:r>
      <w:hyperlink r:id="rId48" w:tgtFrame="_new" w:history="1">
        <w:r w:rsidRPr="00453378">
          <w:rPr>
            <w:rStyle w:val="Hyperlink"/>
            <w:rFonts w:ascii="Arial" w:hAnsi="Arial" w:cs="Arial"/>
            <w:sz w:val="22"/>
            <w:szCs w:val="22"/>
          </w:rPr>
          <w:t>https://www.nice.org.uk/guidance/ng116</w:t>
        </w:r>
      </w:hyperlink>
    </w:p>
    <w:p w14:paraId="068212C9"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NICE (2021) </w:t>
      </w:r>
      <w:r w:rsidRPr="00453378">
        <w:rPr>
          <w:rStyle w:val="Emphasis"/>
          <w:rFonts w:ascii="Arial" w:hAnsi="Arial" w:cs="Arial"/>
          <w:sz w:val="22"/>
          <w:szCs w:val="22"/>
        </w:rPr>
        <w:t>Workplace health: Management practices</w:t>
      </w:r>
      <w:r w:rsidRPr="00453378">
        <w:rPr>
          <w:rFonts w:ascii="Arial" w:hAnsi="Arial" w:cs="Arial"/>
          <w:sz w:val="22"/>
          <w:szCs w:val="22"/>
        </w:rPr>
        <w:t>.</w:t>
      </w:r>
      <w:r w:rsidRPr="00453378">
        <w:rPr>
          <w:rFonts w:ascii="Arial" w:hAnsi="Arial" w:cs="Arial"/>
          <w:sz w:val="22"/>
          <w:szCs w:val="22"/>
        </w:rPr>
        <w:br/>
      </w:r>
      <w:hyperlink r:id="rId49" w:tgtFrame="_new" w:history="1">
        <w:r w:rsidRPr="00453378">
          <w:rPr>
            <w:rStyle w:val="Hyperlink"/>
            <w:rFonts w:ascii="Arial" w:hAnsi="Arial" w:cs="Arial"/>
            <w:sz w:val="22"/>
            <w:szCs w:val="22"/>
          </w:rPr>
          <w:t>https://www.nice.org.uk</w:t>
        </w:r>
      </w:hyperlink>
    </w:p>
    <w:p w14:paraId="47175D6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Nickell, L.A., Crighton, E.J., Tracy, C.S., Al-Enazy, H., Bolaji, Y. </w:t>
      </w:r>
      <w:r w:rsidRPr="00453378">
        <w:rPr>
          <w:rStyle w:val="Emphasis"/>
          <w:rFonts w:ascii="Arial" w:hAnsi="Arial" w:cs="Arial"/>
          <w:sz w:val="22"/>
          <w:szCs w:val="22"/>
        </w:rPr>
        <w:t>et al.</w:t>
      </w:r>
      <w:r w:rsidRPr="00453378">
        <w:rPr>
          <w:rFonts w:ascii="Arial" w:hAnsi="Arial" w:cs="Arial"/>
          <w:sz w:val="22"/>
          <w:szCs w:val="22"/>
        </w:rPr>
        <w:t xml:space="preserve"> (2004) ‘Psychosocial effects of SARS on hospital staff in Toronto’, </w:t>
      </w:r>
      <w:r w:rsidRPr="00453378">
        <w:rPr>
          <w:rStyle w:val="Emphasis"/>
          <w:rFonts w:ascii="Arial" w:hAnsi="Arial" w:cs="Arial"/>
          <w:sz w:val="22"/>
          <w:szCs w:val="22"/>
        </w:rPr>
        <w:t>Emerging Infectious Diseases</w:t>
      </w:r>
      <w:r w:rsidRPr="00453378">
        <w:rPr>
          <w:rFonts w:ascii="Arial" w:hAnsi="Arial" w:cs="Arial"/>
          <w:sz w:val="22"/>
          <w:szCs w:val="22"/>
        </w:rPr>
        <w:t>, 10(5), pp. 895–901.</w:t>
      </w:r>
      <w:r w:rsidRPr="00453378">
        <w:rPr>
          <w:rFonts w:ascii="Arial" w:hAnsi="Arial" w:cs="Arial"/>
          <w:sz w:val="22"/>
          <w:szCs w:val="22"/>
        </w:rPr>
        <w:br/>
      </w:r>
      <w:hyperlink r:id="rId50" w:tgtFrame="_new" w:history="1">
        <w:r w:rsidRPr="00453378">
          <w:rPr>
            <w:rStyle w:val="Hyperlink"/>
            <w:rFonts w:ascii="Arial" w:hAnsi="Arial" w:cs="Arial"/>
            <w:sz w:val="22"/>
            <w:szCs w:val="22"/>
          </w:rPr>
          <w:t>https://wwwnc.cdc.gov/eid/article/10/5/03-0703_article</w:t>
        </w:r>
      </w:hyperlink>
    </w:p>
    <w:p w14:paraId="6666C44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Noblit, G.W. &amp; Hare, R.D. (1988) </w:t>
      </w:r>
      <w:r w:rsidRPr="00453378">
        <w:rPr>
          <w:rStyle w:val="Emphasis"/>
          <w:rFonts w:ascii="Arial" w:hAnsi="Arial" w:cs="Arial"/>
          <w:sz w:val="22"/>
          <w:szCs w:val="22"/>
        </w:rPr>
        <w:t>Meta-Ethnography: Synthesizing Qualitative Studies</w:t>
      </w:r>
      <w:r w:rsidRPr="00453378">
        <w:rPr>
          <w:rFonts w:ascii="Arial" w:hAnsi="Arial" w:cs="Arial"/>
          <w:sz w:val="22"/>
          <w:szCs w:val="22"/>
        </w:rPr>
        <w:t>. Newbury Park, CA: SAGE.</w:t>
      </w:r>
    </w:p>
    <w:p w14:paraId="0F83E64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Nowell, L.S., Norris, J.M., White, D.E. &amp; Moules, N.J. (2017) ‘Thematic analysis: Striving to meet the trustworthiness criteria’, </w:t>
      </w:r>
      <w:r w:rsidRPr="00453378">
        <w:rPr>
          <w:rStyle w:val="Emphasis"/>
          <w:rFonts w:ascii="Arial" w:hAnsi="Arial" w:cs="Arial"/>
          <w:sz w:val="22"/>
          <w:szCs w:val="22"/>
        </w:rPr>
        <w:t>International Journal of Qualitative Methods</w:t>
      </w:r>
      <w:r w:rsidRPr="00453378">
        <w:rPr>
          <w:rFonts w:ascii="Arial" w:hAnsi="Arial" w:cs="Arial"/>
          <w:sz w:val="22"/>
          <w:szCs w:val="22"/>
        </w:rPr>
        <w:t>, 16, pp. 1–13.</w:t>
      </w:r>
      <w:r w:rsidRPr="00453378">
        <w:rPr>
          <w:rFonts w:ascii="Arial" w:hAnsi="Arial" w:cs="Arial"/>
          <w:sz w:val="22"/>
          <w:szCs w:val="22"/>
        </w:rPr>
        <w:br/>
      </w:r>
      <w:hyperlink r:id="rId51" w:tgtFrame="_new" w:history="1">
        <w:r w:rsidRPr="00453378">
          <w:rPr>
            <w:rStyle w:val="Hyperlink"/>
            <w:rFonts w:ascii="Arial" w:hAnsi="Arial" w:cs="Arial"/>
            <w:sz w:val="22"/>
            <w:szCs w:val="22"/>
          </w:rPr>
          <w:t>https://doi.org/10.1177/1609406917733847</w:t>
        </w:r>
      </w:hyperlink>
    </w:p>
    <w:p w14:paraId="5226048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OECD (2021) </w:t>
      </w:r>
      <w:r w:rsidRPr="00453378">
        <w:rPr>
          <w:rStyle w:val="Emphasis"/>
          <w:rFonts w:ascii="Arial" w:hAnsi="Arial" w:cs="Arial"/>
          <w:sz w:val="22"/>
          <w:szCs w:val="22"/>
        </w:rPr>
        <w:t>Tackling the mental health impact of the COVID-19 crisis</w:t>
      </w:r>
      <w:r w:rsidRPr="00453378">
        <w:rPr>
          <w:rFonts w:ascii="Arial" w:hAnsi="Arial" w:cs="Arial"/>
          <w:sz w:val="22"/>
          <w:szCs w:val="22"/>
        </w:rPr>
        <w:t>.</w:t>
      </w:r>
      <w:r w:rsidRPr="00453378">
        <w:rPr>
          <w:rFonts w:ascii="Arial" w:hAnsi="Arial" w:cs="Arial"/>
          <w:sz w:val="22"/>
          <w:szCs w:val="22"/>
        </w:rPr>
        <w:br/>
      </w:r>
      <w:hyperlink r:id="rId52" w:tgtFrame="_new" w:history="1">
        <w:r w:rsidRPr="00453378">
          <w:rPr>
            <w:rStyle w:val="Hyperlink"/>
            <w:rFonts w:ascii="Arial" w:hAnsi="Arial" w:cs="Arial"/>
            <w:sz w:val="22"/>
            <w:szCs w:val="22"/>
          </w:rPr>
          <w:t>https://www.oecd.org/coronavirus/policy-responses</w:t>
        </w:r>
      </w:hyperlink>
    </w:p>
    <w:p w14:paraId="178803D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Ornell, F., Halpern, S.C., Kessler, F.H.P. &amp; Narvaez, J.C.D.M. (2020) ‘The impact of the COVID-19 pandemic on the mental health of healthcare professionals’, </w:t>
      </w:r>
      <w:r w:rsidRPr="00453378">
        <w:rPr>
          <w:rStyle w:val="Emphasis"/>
          <w:rFonts w:ascii="Arial" w:hAnsi="Arial" w:cs="Arial"/>
          <w:sz w:val="22"/>
          <w:szCs w:val="22"/>
        </w:rPr>
        <w:t>Cadernos de Saúde Pública</w:t>
      </w:r>
      <w:r w:rsidRPr="00453378">
        <w:rPr>
          <w:rFonts w:ascii="Arial" w:hAnsi="Arial" w:cs="Arial"/>
          <w:sz w:val="22"/>
          <w:szCs w:val="22"/>
        </w:rPr>
        <w:t>, 36(4), e00063520.</w:t>
      </w:r>
      <w:r w:rsidRPr="00453378">
        <w:rPr>
          <w:rFonts w:ascii="Arial" w:hAnsi="Arial" w:cs="Arial"/>
          <w:sz w:val="22"/>
          <w:szCs w:val="22"/>
        </w:rPr>
        <w:br/>
      </w:r>
      <w:hyperlink r:id="rId53" w:tgtFrame="_new" w:history="1">
        <w:r w:rsidRPr="00453378">
          <w:rPr>
            <w:rStyle w:val="Hyperlink"/>
            <w:rFonts w:ascii="Arial" w:hAnsi="Arial" w:cs="Arial"/>
            <w:sz w:val="22"/>
            <w:szCs w:val="22"/>
          </w:rPr>
          <w:t>https://www.scielosp.org/article/csp/2020.v36n4/e00063520/en/</w:t>
        </w:r>
      </w:hyperlink>
    </w:p>
    <w:p w14:paraId="5806FD7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Page, M.J., McKenzie, J.E., Bossuyt, P.M., Boutron, I., Hoffmann, T.C. </w:t>
      </w:r>
      <w:r w:rsidRPr="00453378">
        <w:rPr>
          <w:rStyle w:val="Emphasis"/>
          <w:rFonts w:ascii="Arial" w:hAnsi="Arial" w:cs="Arial"/>
          <w:sz w:val="22"/>
          <w:szCs w:val="22"/>
        </w:rPr>
        <w:t>et al.</w:t>
      </w:r>
      <w:r w:rsidRPr="00453378">
        <w:rPr>
          <w:rFonts w:ascii="Arial" w:hAnsi="Arial" w:cs="Arial"/>
          <w:sz w:val="22"/>
          <w:szCs w:val="22"/>
        </w:rPr>
        <w:t xml:space="preserve"> (2021) ‘The PRISMA 2020 statement: An updated guideline for reporting systematic reviews’, </w:t>
      </w:r>
      <w:r w:rsidRPr="00453378">
        <w:rPr>
          <w:rStyle w:val="Emphasis"/>
          <w:rFonts w:ascii="Arial" w:hAnsi="Arial" w:cs="Arial"/>
          <w:sz w:val="22"/>
          <w:szCs w:val="22"/>
        </w:rPr>
        <w:t>BMJ</w:t>
      </w:r>
      <w:r w:rsidRPr="00453378">
        <w:rPr>
          <w:rFonts w:ascii="Arial" w:hAnsi="Arial" w:cs="Arial"/>
          <w:sz w:val="22"/>
          <w:szCs w:val="22"/>
        </w:rPr>
        <w:t xml:space="preserve">, 372, n71. </w:t>
      </w:r>
      <w:hyperlink r:id="rId54" w:tgtFrame="_new" w:history="1">
        <w:r w:rsidRPr="00453378">
          <w:rPr>
            <w:rStyle w:val="Hyperlink"/>
            <w:rFonts w:ascii="Arial" w:hAnsi="Arial" w:cs="Arial"/>
            <w:sz w:val="22"/>
            <w:szCs w:val="22"/>
          </w:rPr>
          <w:t>https://www.bmj.com/content/372/bmj.n71</w:t>
        </w:r>
      </w:hyperlink>
    </w:p>
    <w:p w14:paraId="1F364281" w14:textId="77777777" w:rsidR="00B61AF6" w:rsidRPr="00453378" w:rsidRDefault="00B61AF6" w:rsidP="00B61AF6">
      <w:pPr>
        <w:pStyle w:val="NormalWeb"/>
        <w:spacing w:line="360" w:lineRule="auto"/>
        <w:jc w:val="both"/>
        <w:rPr>
          <w:rStyle w:val="Hyperlink"/>
          <w:rFonts w:ascii="Arial" w:hAnsi="Arial" w:cs="Arial"/>
          <w:sz w:val="22"/>
          <w:szCs w:val="22"/>
        </w:rPr>
      </w:pPr>
      <w:r w:rsidRPr="00453378">
        <w:rPr>
          <w:rFonts w:ascii="Arial" w:hAnsi="Arial" w:cs="Arial"/>
          <w:sz w:val="22"/>
          <w:szCs w:val="22"/>
        </w:rPr>
        <w:t xml:space="preserve">Panagioti, M., Geraghty, K., Johnson, J., Zhou, A., Panagopoulou, E. </w:t>
      </w:r>
      <w:r w:rsidRPr="00453378">
        <w:rPr>
          <w:rStyle w:val="Emphasis"/>
          <w:rFonts w:ascii="Arial" w:hAnsi="Arial" w:cs="Arial"/>
          <w:sz w:val="22"/>
          <w:szCs w:val="22"/>
        </w:rPr>
        <w:t>et al.</w:t>
      </w:r>
      <w:r w:rsidRPr="00453378">
        <w:rPr>
          <w:rFonts w:ascii="Arial" w:hAnsi="Arial" w:cs="Arial"/>
          <w:sz w:val="22"/>
          <w:szCs w:val="22"/>
        </w:rPr>
        <w:t xml:space="preserve"> (2018) ‘Association between physician burnout and patient safety’, </w:t>
      </w:r>
      <w:r w:rsidRPr="00453378">
        <w:rPr>
          <w:rStyle w:val="Emphasis"/>
          <w:rFonts w:ascii="Arial" w:hAnsi="Arial" w:cs="Arial"/>
          <w:sz w:val="22"/>
          <w:szCs w:val="22"/>
        </w:rPr>
        <w:t>JAMA Internal Medicine</w:t>
      </w:r>
      <w:r w:rsidRPr="00453378">
        <w:rPr>
          <w:rFonts w:ascii="Arial" w:hAnsi="Arial" w:cs="Arial"/>
          <w:sz w:val="22"/>
          <w:szCs w:val="22"/>
        </w:rPr>
        <w:t xml:space="preserve">, 178(10), pp. 1317–1331. </w:t>
      </w:r>
      <w:hyperlink r:id="rId55" w:tgtFrame="_new" w:history="1">
        <w:r w:rsidRPr="00453378">
          <w:rPr>
            <w:rStyle w:val="Hyperlink"/>
            <w:rFonts w:ascii="Arial" w:hAnsi="Arial" w:cs="Arial"/>
            <w:sz w:val="22"/>
            <w:szCs w:val="22"/>
          </w:rPr>
          <w:t>https://jamanetwork.com/journals/jamainternalmedicine/article-abstract/2686141</w:t>
        </w:r>
      </w:hyperlink>
    </w:p>
    <w:p w14:paraId="7FA20FE6" w14:textId="77777777" w:rsidR="00B61AF6" w:rsidRPr="009C5E2E" w:rsidRDefault="00B61AF6" w:rsidP="00B61AF6">
      <w:pPr>
        <w:pStyle w:val="NormalWeb"/>
        <w:spacing w:line="360" w:lineRule="auto"/>
        <w:jc w:val="both"/>
        <w:rPr>
          <w:rFonts w:ascii="Arial" w:hAnsi="Arial" w:cs="Arial"/>
          <w:sz w:val="22"/>
          <w:szCs w:val="22"/>
        </w:rPr>
      </w:pPr>
      <w:r w:rsidRPr="009C5E2E">
        <w:rPr>
          <w:rFonts w:ascii="Arial" w:hAnsi="Arial" w:cs="Arial"/>
          <w:sz w:val="22"/>
          <w:szCs w:val="22"/>
        </w:rPr>
        <w:t>Petticrew, M., &amp; Roberts, H. (2006). Systematic reviews in the social sciences: A practical guide. Oxford: Blackwell Publishing.</w:t>
      </w:r>
    </w:p>
    <w:p w14:paraId="0748DDE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Pappa, S., Ntella, V., Giannakas, T., Giannakoulis, V.G., Papoutsi, E. &amp; Katsaounou, P. (2020) ‘Prevalence of depression, anxiety, and insomnia among HCWs during the COVID-19 pandemic: A systematic review and meta-analysis’, </w:t>
      </w:r>
      <w:r w:rsidRPr="00453378">
        <w:rPr>
          <w:rStyle w:val="Emphasis"/>
          <w:rFonts w:ascii="Arial" w:hAnsi="Arial" w:cs="Arial"/>
          <w:sz w:val="22"/>
          <w:szCs w:val="22"/>
        </w:rPr>
        <w:t>Brain, Behavior, and Immunity</w:t>
      </w:r>
      <w:r w:rsidRPr="00453378">
        <w:rPr>
          <w:rFonts w:ascii="Arial" w:hAnsi="Arial" w:cs="Arial"/>
          <w:sz w:val="22"/>
          <w:szCs w:val="22"/>
        </w:rPr>
        <w:t xml:space="preserve">, 88, pp. 901–907. </w:t>
      </w:r>
      <w:hyperlink r:id="rId56" w:history="1">
        <w:r w:rsidRPr="00453378">
          <w:rPr>
            <w:rStyle w:val="Hyperlink"/>
            <w:rFonts w:ascii="Arial" w:hAnsi="Arial" w:cs="Arial"/>
            <w:sz w:val="22"/>
            <w:szCs w:val="22"/>
          </w:rPr>
          <w:t>https://doi.org/10.1016/j.bbi.2020.05.026</w:t>
        </w:r>
      </w:hyperlink>
      <w:r w:rsidRPr="00453378">
        <w:rPr>
          <w:rFonts w:ascii="Arial" w:hAnsi="Arial" w:cs="Arial"/>
          <w:sz w:val="22"/>
          <w:szCs w:val="22"/>
        </w:rPr>
        <w:t xml:space="preserve"> </w:t>
      </w:r>
    </w:p>
    <w:p w14:paraId="11747C7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Petticrew, M. &amp; Roberts, H. (2006) </w:t>
      </w:r>
      <w:r w:rsidRPr="00453378">
        <w:rPr>
          <w:rStyle w:val="Emphasis"/>
          <w:rFonts w:ascii="Arial" w:hAnsi="Arial" w:cs="Arial"/>
          <w:sz w:val="22"/>
          <w:szCs w:val="22"/>
        </w:rPr>
        <w:t>Systematic Reviews in the Social Sciences: A Practical Guide</w:t>
      </w:r>
      <w:r w:rsidRPr="00453378">
        <w:rPr>
          <w:rFonts w:ascii="Arial" w:hAnsi="Arial" w:cs="Arial"/>
          <w:sz w:val="22"/>
          <w:szCs w:val="22"/>
        </w:rPr>
        <w:t xml:space="preserve">. Oxford: Blackwell. </w:t>
      </w:r>
      <w:hyperlink r:id="rId57" w:tgtFrame="_new" w:history="1">
        <w:r w:rsidRPr="00453378">
          <w:rPr>
            <w:rStyle w:val="Hyperlink"/>
            <w:rFonts w:ascii="Arial" w:hAnsi="Arial" w:cs="Arial"/>
            <w:sz w:val="22"/>
            <w:szCs w:val="22"/>
          </w:rPr>
          <w:t>https://doi.org/10.1002/9780470754887</w:t>
        </w:r>
      </w:hyperlink>
    </w:p>
    <w:p w14:paraId="3CD7D3DF"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PHE (2020) </w:t>
      </w:r>
      <w:r w:rsidRPr="00453378">
        <w:rPr>
          <w:rStyle w:val="Emphasis"/>
          <w:rFonts w:ascii="Arial" w:hAnsi="Arial" w:cs="Arial"/>
          <w:sz w:val="22"/>
          <w:szCs w:val="22"/>
        </w:rPr>
        <w:t>Beyond the data: Understanding the impact of COVID-19 on BAME groups</w:t>
      </w:r>
      <w:r w:rsidRPr="00453378">
        <w:rPr>
          <w:rFonts w:ascii="Arial" w:hAnsi="Arial" w:cs="Arial"/>
          <w:sz w:val="22"/>
          <w:szCs w:val="22"/>
        </w:rPr>
        <w:t>.</w:t>
      </w:r>
      <w:r w:rsidRPr="00453378">
        <w:rPr>
          <w:rFonts w:ascii="Arial" w:hAnsi="Arial" w:cs="Arial"/>
          <w:sz w:val="22"/>
          <w:szCs w:val="22"/>
        </w:rPr>
        <w:br/>
      </w:r>
      <w:hyperlink r:id="rId58" w:tgtFrame="_new" w:history="1">
        <w:r w:rsidRPr="00453378">
          <w:rPr>
            <w:rStyle w:val="Hyperlink"/>
            <w:rFonts w:ascii="Arial" w:hAnsi="Arial" w:cs="Arial"/>
            <w:sz w:val="22"/>
            <w:szCs w:val="22"/>
          </w:rPr>
          <w:t>https://assets.publishing.service.gov.uk/government/uploads/system/uploads/attachment_data/file/892376/COVID_stakeholder_engagement_synthesis_beyond_the_data.pdf</w:t>
        </w:r>
      </w:hyperlink>
    </w:p>
    <w:p w14:paraId="3EE7E86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Rajan, S., Comas-Herrera, A., McKee, M. &amp; Mossialos, E. (2020) ‘COVID-19: policy responses for long-term care in Europe’, </w:t>
      </w:r>
      <w:r w:rsidRPr="00453378">
        <w:rPr>
          <w:rStyle w:val="Emphasis"/>
          <w:rFonts w:ascii="Arial" w:hAnsi="Arial" w:cs="Arial"/>
          <w:sz w:val="22"/>
          <w:szCs w:val="22"/>
        </w:rPr>
        <w:t>Eurohealth</w:t>
      </w:r>
      <w:r w:rsidRPr="00453378">
        <w:rPr>
          <w:rFonts w:ascii="Arial" w:hAnsi="Arial" w:cs="Arial"/>
          <w:sz w:val="22"/>
          <w:szCs w:val="22"/>
        </w:rPr>
        <w:t>, 26(2), pp. 3–6.</w:t>
      </w:r>
      <w:r w:rsidRPr="00453378">
        <w:rPr>
          <w:rFonts w:ascii="Arial" w:hAnsi="Arial" w:cs="Arial"/>
          <w:sz w:val="22"/>
          <w:szCs w:val="22"/>
        </w:rPr>
        <w:br/>
      </w:r>
      <w:hyperlink r:id="rId59" w:history="1">
        <w:r w:rsidRPr="00453378">
          <w:rPr>
            <w:rStyle w:val="Hyperlink"/>
            <w:rFonts w:ascii="Arial" w:hAnsi="Arial" w:cs="Arial"/>
            <w:sz w:val="22"/>
            <w:szCs w:val="22"/>
          </w:rPr>
          <w:t>https://apps.who.int/iris/bitstream/handle/10665/336303/Eurohealth-26-2-77-82-eng.pdf</w:t>
        </w:r>
      </w:hyperlink>
    </w:p>
    <w:p w14:paraId="61CBA1D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RCGP (2020) </w:t>
      </w:r>
      <w:r w:rsidRPr="00453378">
        <w:rPr>
          <w:rStyle w:val="Emphasis"/>
          <w:rFonts w:ascii="Arial" w:hAnsi="Arial" w:cs="Arial"/>
          <w:sz w:val="22"/>
          <w:szCs w:val="22"/>
        </w:rPr>
        <w:t>General practice in the post-COVID world: Challenges and opportunities</w:t>
      </w:r>
      <w:r w:rsidRPr="00453378">
        <w:rPr>
          <w:rFonts w:ascii="Arial" w:hAnsi="Arial" w:cs="Arial"/>
          <w:sz w:val="22"/>
          <w:szCs w:val="22"/>
        </w:rPr>
        <w:t>. Royal College of General Practitioners.</w:t>
      </w:r>
      <w:r w:rsidRPr="00453378">
        <w:rPr>
          <w:rFonts w:ascii="Arial" w:hAnsi="Arial" w:cs="Arial"/>
          <w:sz w:val="22"/>
          <w:szCs w:val="22"/>
        </w:rPr>
        <w:br/>
      </w:r>
      <w:hyperlink r:id="rId60" w:tgtFrame="_new" w:history="1">
        <w:r w:rsidRPr="00453378">
          <w:rPr>
            <w:rStyle w:val="Hyperlink"/>
            <w:rFonts w:ascii="Arial" w:hAnsi="Arial" w:cs="Arial"/>
            <w:sz w:val="22"/>
            <w:szCs w:val="22"/>
          </w:rPr>
          <w:t>https://www.rcgp.org.uk/~/media/Files/Policy/A-Z-policy/2020/RCGP-General-Practice-post-Covid.ashx</w:t>
        </w:r>
      </w:hyperlink>
    </w:p>
    <w:p w14:paraId="5C0BA61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RCN (2020) </w:t>
      </w:r>
      <w:r w:rsidRPr="00453378">
        <w:rPr>
          <w:rStyle w:val="Emphasis"/>
          <w:rFonts w:ascii="Arial" w:hAnsi="Arial" w:cs="Arial"/>
          <w:sz w:val="22"/>
          <w:szCs w:val="22"/>
        </w:rPr>
        <w:t>Staffing for safe and effective care during COVID-19</w:t>
      </w:r>
      <w:r w:rsidRPr="00453378">
        <w:rPr>
          <w:rFonts w:ascii="Arial" w:hAnsi="Arial" w:cs="Arial"/>
          <w:sz w:val="22"/>
          <w:szCs w:val="22"/>
        </w:rPr>
        <w:t xml:space="preserve">. </w:t>
      </w:r>
      <w:hyperlink r:id="rId61" w:tgtFrame="_new" w:history="1">
        <w:r w:rsidRPr="00453378">
          <w:rPr>
            <w:rStyle w:val="Hyperlink"/>
            <w:rFonts w:ascii="Arial" w:hAnsi="Arial" w:cs="Arial"/>
            <w:sz w:val="22"/>
            <w:szCs w:val="22"/>
          </w:rPr>
          <w:t>https://www.rcn.org.uk</w:t>
        </w:r>
      </w:hyperlink>
    </w:p>
    <w:p w14:paraId="45EEBD8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RCP (2020) </w:t>
      </w:r>
      <w:r w:rsidRPr="00453378">
        <w:rPr>
          <w:rStyle w:val="Emphasis"/>
          <w:rFonts w:ascii="Arial" w:hAnsi="Arial" w:cs="Arial"/>
          <w:sz w:val="22"/>
          <w:szCs w:val="22"/>
        </w:rPr>
        <w:t>Workforce wellbeing during COVID-19</w:t>
      </w:r>
      <w:r w:rsidRPr="00453378">
        <w:rPr>
          <w:rFonts w:ascii="Arial" w:hAnsi="Arial" w:cs="Arial"/>
          <w:sz w:val="22"/>
          <w:szCs w:val="22"/>
        </w:rPr>
        <w:t xml:space="preserve">. Royal College of Physicians. </w:t>
      </w:r>
      <w:hyperlink r:id="rId62" w:tgtFrame="_new" w:history="1">
        <w:r w:rsidRPr="00453378">
          <w:rPr>
            <w:rStyle w:val="Hyperlink"/>
            <w:rFonts w:ascii="Arial" w:hAnsi="Arial" w:cs="Arial"/>
            <w:sz w:val="22"/>
            <w:szCs w:val="22"/>
          </w:rPr>
          <w:t>https://www.rcplondon.ac.uk</w:t>
        </w:r>
      </w:hyperlink>
    </w:p>
    <w:p w14:paraId="72E9DEB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Robertson, I.T., Cooper, C.L., Sarkar, M. &amp; Curran, T. (2015) ‘Resilience training in the workplace’, </w:t>
      </w:r>
      <w:r w:rsidRPr="00453378">
        <w:rPr>
          <w:rStyle w:val="Emphasis"/>
          <w:rFonts w:ascii="Arial" w:hAnsi="Arial" w:cs="Arial"/>
          <w:sz w:val="22"/>
          <w:szCs w:val="22"/>
        </w:rPr>
        <w:t>Journal of Occupational and Organizational Psychology</w:t>
      </w:r>
      <w:r w:rsidRPr="00453378">
        <w:rPr>
          <w:rFonts w:ascii="Arial" w:hAnsi="Arial" w:cs="Arial"/>
          <w:sz w:val="22"/>
          <w:szCs w:val="22"/>
        </w:rPr>
        <w:t>, 88(3), pp. 533–562.</w:t>
      </w:r>
      <w:r w:rsidRPr="00453378">
        <w:rPr>
          <w:rFonts w:ascii="Arial" w:hAnsi="Arial" w:cs="Arial"/>
          <w:sz w:val="22"/>
          <w:szCs w:val="22"/>
        </w:rPr>
        <w:br/>
      </w:r>
      <w:hyperlink r:id="rId63" w:tgtFrame="_new" w:history="1">
        <w:r w:rsidRPr="00453378">
          <w:rPr>
            <w:rStyle w:val="Hyperlink"/>
            <w:rFonts w:ascii="Arial" w:hAnsi="Arial" w:cs="Arial"/>
            <w:sz w:val="22"/>
            <w:szCs w:val="22"/>
          </w:rPr>
          <w:t>https://onlinelibrary.wiley.com/doi/full/10.1111/joop.12120</w:t>
        </w:r>
      </w:hyperlink>
    </w:p>
    <w:p w14:paraId="11116022"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Rossi, R., Socci, V., Pacitti, F., Di Lorenzo, G., Di Marco, A. </w:t>
      </w:r>
      <w:r w:rsidRPr="00453378">
        <w:rPr>
          <w:rStyle w:val="Emphasis"/>
          <w:rFonts w:ascii="Arial" w:hAnsi="Arial" w:cs="Arial"/>
          <w:sz w:val="22"/>
          <w:szCs w:val="22"/>
        </w:rPr>
        <w:t>et al.</w:t>
      </w:r>
      <w:r w:rsidRPr="00453378">
        <w:rPr>
          <w:rFonts w:ascii="Arial" w:hAnsi="Arial" w:cs="Arial"/>
          <w:sz w:val="22"/>
          <w:szCs w:val="22"/>
        </w:rPr>
        <w:t xml:space="preserve"> (2020) ‘Mental health outcomes among HCWs in Italy during COVID-19’, </w:t>
      </w:r>
      <w:r w:rsidRPr="00453378">
        <w:rPr>
          <w:rStyle w:val="Emphasis"/>
          <w:rFonts w:ascii="Arial" w:hAnsi="Arial" w:cs="Arial"/>
          <w:sz w:val="22"/>
          <w:szCs w:val="22"/>
        </w:rPr>
        <w:t>Psychiatry Research</w:t>
      </w:r>
      <w:r w:rsidRPr="00453378">
        <w:rPr>
          <w:rFonts w:ascii="Arial" w:hAnsi="Arial" w:cs="Arial"/>
          <w:sz w:val="22"/>
          <w:szCs w:val="22"/>
        </w:rPr>
        <w:t>, 288, 112974.</w:t>
      </w:r>
      <w:r w:rsidRPr="00453378">
        <w:rPr>
          <w:rFonts w:ascii="Arial" w:hAnsi="Arial" w:cs="Arial"/>
          <w:sz w:val="22"/>
          <w:szCs w:val="22"/>
        </w:rPr>
        <w:br/>
      </w:r>
      <w:hyperlink r:id="rId64" w:tgtFrame="_new" w:history="1">
        <w:r w:rsidRPr="00453378">
          <w:rPr>
            <w:rStyle w:val="Hyperlink"/>
            <w:rFonts w:ascii="Arial" w:hAnsi="Arial" w:cs="Arial"/>
            <w:sz w:val="22"/>
            <w:szCs w:val="22"/>
          </w:rPr>
          <w:t>https://www.sciencedirect.com/science/article/pii/S0165178120312319</w:t>
        </w:r>
      </w:hyperlink>
    </w:p>
    <w:p w14:paraId="62A1A96E"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Salazar de Pablo, G., Vaquerizo-Serrano, J., Catalan, A., Arango, C., Moreno, C. </w:t>
      </w:r>
      <w:r w:rsidRPr="00453378">
        <w:rPr>
          <w:rStyle w:val="Emphasis"/>
          <w:rFonts w:ascii="Arial" w:hAnsi="Arial" w:cs="Arial"/>
          <w:sz w:val="22"/>
          <w:szCs w:val="22"/>
        </w:rPr>
        <w:t>et al.</w:t>
      </w:r>
      <w:r w:rsidRPr="00453378">
        <w:rPr>
          <w:rFonts w:ascii="Arial" w:hAnsi="Arial" w:cs="Arial"/>
          <w:sz w:val="22"/>
          <w:szCs w:val="22"/>
        </w:rPr>
        <w:t xml:space="preserve"> (2020) ‘Impact of COVID-19 on mental health of HCWs: A systematic review’, </w:t>
      </w:r>
      <w:r w:rsidRPr="00453378">
        <w:rPr>
          <w:rStyle w:val="Emphasis"/>
          <w:rFonts w:ascii="Arial" w:hAnsi="Arial" w:cs="Arial"/>
          <w:sz w:val="22"/>
          <w:szCs w:val="22"/>
        </w:rPr>
        <w:t>European Psychiatry</w:t>
      </w:r>
      <w:r w:rsidRPr="00453378">
        <w:rPr>
          <w:rFonts w:ascii="Arial" w:hAnsi="Arial" w:cs="Arial"/>
          <w:sz w:val="22"/>
          <w:szCs w:val="22"/>
        </w:rPr>
        <w:t xml:space="preserve">, 63(1), e99. </w:t>
      </w:r>
      <w:hyperlink r:id="rId65" w:tgtFrame="_new" w:history="1">
        <w:r w:rsidRPr="00453378">
          <w:rPr>
            <w:rStyle w:val="Hyperlink"/>
            <w:rFonts w:ascii="Arial" w:hAnsi="Arial" w:cs="Arial"/>
            <w:sz w:val="22"/>
            <w:szCs w:val="22"/>
          </w:rPr>
          <w:t>https://www.cambridge.org/core/journals/european-psychiatry/article/impact-of-coronavirus-syndrome-2019-covid19-on-the-mental-health-of-health-care-workers/</w:t>
        </w:r>
      </w:hyperlink>
    </w:p>
    <w:p w14:paraId="6EEDB9D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Samarasekera, U., Horton, R. &amp; Bird, P. (2021) ‘HCW wellbeing: an urgent policy priority’, </w:t>
      </w:r>
      <w:r w:rsidRPr="00453378">
        <w:rPr>
          <w:rStyle w:val="Emphasis"/>
          <w:rFonts w:ascii="Arial" w:hAnsi="Arial" w:cs="Arial"/>
          <w:sz w:val="22"/>
          <w:szCs w:val="22"/>
        </w:rPr>
        <w:t>The Lancet</w:t>
      </w:r>
      <w:r w:rsidRPr="00453378">
        <w:rPr>
          <w:rFonts w:ascii="Arial" w:hAnsi="Arial" w:cs="Arial"/>
          <w:sz w:val="22"/>
          <w:szCs w:val="22"/>
        </w:rPr>
        <w:t xml:space="preserve">, 397(10269), pp. 333–334. </w:t>
      </w:r>
    </w:p>
    <w:p w14:paraId="30FEBDD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Sanghera, J., Pattani, N., Hashmi, Y., Varley, K., Cheruvu, M.S. </w:t>
      </w:r>
      <w:r w:rsidRPr="00453378">
        <w:rPr>
          <w:rStyle w:val="Emphasis"/>
          <w:rFonts w:ascii="Arial" w:hAnsi="Arial" w:cs="Arial"/>
          <w:sz w:val="22"/>
          <w:szCs w:val="22"/>
        </w:rPr>
        <w:t>et al.</w:t>
      </w:r>
      <w:r w:rsidRPr="00453378">
        <w:rPr>
          <w:rFonts w:ascii="Arial" w:hAnsi="Arial" w:cs="Arial"/>
          <w:sz w:val="22"/>
          <w:szCs w:val="22"/>
        </w:rPr>
        <w:t xml:space="preserve"> (2020) ‘The impact of SARS-CoV-2 on the mental health of HCWs in a hospital setting: A rapid review’, </w:t>
      </w:r>
      <w:r w:rsidRPr="00453378">
        <w:rPr>
          <w:rStyle w:val="Emphasis"/>
          <w:rFonts w:ascii="Arial" w:hAnsi="Arial" w:cs="Arial"/>
          <w:sz w:val="22"/>
          <w:szCs w:val="22"/>
        </w:rPr>
        <w:t>International Journal of Occupational Medicine and Environmental Health</w:t>
      </w:r>
      <w:r w:rsidRPr="00453378">
        <w:rPr>
          <w:rFonts w:ascii="Arial" w:hAnsi="Arial" w:cs="Arial"/>
          <w:sz w:val="22"/>
          <w:szCs w:val="22"/>
        </w:rPr>
        <w:t xml:space="preserve">, 33(7), pp. 1–15. </w:t>
      </w:r>
      <w:hyperlink r:id="rId66" w:history="1">
        <w:r w:rsidRPr="00453378">
          <w:rPr>
            <w:rStyle w:val="Hyperlink"/>
            <w:rFonts w:ascii="Arial" w:hAnsi="Arial" w:cs="Arial"/>
            <w:sz w:val="22"/>
            <w:szCs w:val="22"/>
          </w:rPr>
          <w:t>https://doi.org/10.1002/1348-9585.12175</w:t>
        </w:r>
      </w:hyperlink>
      <w:r w:rsidRPr="00453378">
        <w:rPr>
          <w:rFonts w:ascii="Arial" w:hAnsi="Arial" w:cs="Arial"/>
          <w:sz w:val="22"/>
          <w:szCs w:val="22"/>
        </w:rPr>
        <w:t xml:space="preserve"> </w:t>
      </w:r>
    </w:p>
    <w:p w14:paraId="37C53054"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Sandelowski, M. &amp; Barroso, J. (2007) </w:t>
      </w:r>
      <w:r w:rsidRPr="00453378">
        <w:rPr>
          <w:rStyle w:val="Emphasis"/>
          <w:rFonts w:ascii="Arial" w:hAnsi="Arial" w:cs="Arial"/>
          <w:sz w:val="22"/>
          <w:szCs w:val="22"/>
        </w:rPr>
        <w:t>Handbook for Synthesizing Qualitative Research</w:t>
      </w:r>
      <w:r w:rsidRPr="00453378">
        <w:rPr>
          <w:rFonts w:ascii="Arial" w:hAnsi="Arial" w:cs="Arial"/>
          <w:sz w:val="22"/>
          <w:szCs w:val="22"/>
        </w:rPr>
        <w:t xml:space="preserve">. New York: Springer. </w:t>
      </w:r>
      <w:hyperlink r:id="rId67" w:tgtFrame="_new" w:history="1">
        <w:r w:rsidRPr="00453378">
          <w:rPr>
            <w:rStyle w:val="Hyperlink"/>
            <w:rFonts w:ascii="Arial" w:hAnsi="Arial" w:cs="Arial"/>
            <w:sz w:val="22"/>
            <w:szCs w:val="22"/>
          </w:rPr>
          <w:t>https://doi.org/10.1007/978-1-4614-6814-1</w:t>
        </w:r>
      </w:hyperlink>
    </w:p>
    <w:p w14:paraId="22DBD6D7"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Schardt, C., Adams, M.B., Owens, T., Keitz, S. &amp; Fontelo, P. (2007) ‘Utilization of the PICO framework to improve searching PubMed for clinical questions’, </w:t>
      </w:r>
      <w:r w:rsidRPr="00453378">
        <w:rPr>
          <w:rStyle w:val="Emphasis"/>
          <w:rFonts w:ascii="Arial" w:hAnsi="Arial" w:cs="Arial"/>
          <w:sz w:val="22"/>
          <w:szCs w:val="22"/>
        </w:rPr>
        <w:t>BMC Medical Informatics and Decision Making</w:t>
      </w:r>
      <w:r w:rsidRPr="00453378">
        <w:rPr>
          <w:rFonts w:ascii="Arial" w:hAnsi="Arial" w:cs="Arial"/>
          <w:sz w:val="22"/>
          <w:szCs w:val="22"/>
        </w:rPr>
        <w:t xml:space="preserve">, 7, 16. </w:t>
      </w:r>
      <w:hyperlink r:id="rId68" w:history="1">
        <w:r w:rsidRPr="00453378">
          <w:rPr>
            <w:rStyle w:val="Hyperlink"/>
            <w:rFonts w:ascii="Arial" w:hAnsi="Arial" w:cs="Arial"/>
            <w:sz w:val="22"/>
            <w:szCs w:val="22"/>
          </w:rPr>
          <w:t>https://doi.org/10.1186/1472-6947-7-16</w:t>
        </w:r>
      </w:hyperlink>
    </w:p>
    <w:p w14:paraId="66CDC527"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Serrano-Ripoll, M.J., Meneses-Echavez, J.F., Ricci-Cabello, I., Fraile-Navarro, D., Fiol-deRoque, M.A. </w:t>
      </w:r>
      <w:r w:rsidRPr="00453378">
        <w:rPr>
          <w:rStyle w:val="Emphasis"/>
          <w:rFonts w:ascii="Arial" w:hAnsi="Arial" w:cs="Arial"/>
          <w:sz w:val="22"/>
          <w:szCs w:val="22"/>
        </w:rPr>
        <w:t>et al.</w:t>
      </w:r>
      <w:r w:rsidRPr="00453378">
        <w:rPr>
          <w:rFonts w:ascii="Arial" w:hAnsi="Arial" w:cs="Arial"/>
          <w:sz w:val="22"/>
          <w:szCs w:val="22"/>
        </w:rPr>
        <w:t xml:space="preserve"> (2020) ‘Impact of viral epidemic outbreaks on mental health of HCWs: rapid review and meta-analysis’, </w:t>
      </w:r>
      <w:r w:rsidRPr="00453378">
        <w:rPr>
          <w:rStyle w:val="Emphasis"/>
          <w:rFonts w:ascii="Arial" w:hAnsi="Arial" w:cs="Arial"/>
          <w:sz w:val="22"/>
          <w:szCs w:val="22"/>
        </w:rPr>
        <w:t>Journal of Affective Disorders</w:t>
      </w:r>
      <w:r w:rsidRPr="00453378">
        <w:rPr>
          <w:rFonts w:ascii="Arial" w:hAnsi="Arial" w:cs="Arial"/>
          <w:sz w:val="22"/>
          <w:szCs w:val="22"/>
        </w:rPr>
        <w:t xml:space="preserve">, 277, pp. 347–357. </w:t>
      </w:r>
      <w:hyperlink r:id="rId69" w:history="1">
        <w:r w:rsidRPr="00453378">
          <w:rPr>
            <w:rStyle w:val="Hyperlink"/>
            <w:rFonts w:ascii="Arial" w:hAnsi="Arial" w:cs="Arial"/>
            <w:sz w:val="22"/>
            <w:szCs w:val="22"/>
          </w:rPr>
          <w:t>https://doi.org/10.1016/j.jad.2020.08.034</w:t>
        </w:r>
      </w:hyperlink>
      <w:r w:rsidRPr="00453378">
        <w:rPr>
          <w:rFonts w:ascii="Arial" w:hAnsi="Arial" w:cs="Arial"/>
          <w:sz w:val="22"/>
          <w:szCs w:val="22"/>
        </w:rPr>
        <w:t xml:space="preserve"> </w:t>
      </w:r>
    </w:p>
    <w:p w14:paraId="7F115B3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Shanafelt, T., Ripp, J. &amp; Trockel, M. (2020) ‘Understanding and addressing sources of anxiety among HCWs during COVID-19’, </w:t>
      </w:r>
      <w:r w:rsidRPr="00453378">
        <w:rPr>
          <w:rStyle w:val="Emphasis"/>
          <w:rFonts w:ascii="Arial" w:hAnsi="Arial" w:cs="Arial"/>
          <w:sz w:val="22"/>
          <w:szCs w:val="22"/>
        </w:rPr>
        <w:t>JAMA</w:t>
      </w:r>
      <w:r w:rsidRPr="00453378">
        <w:rPr>
          <w:rFonts w:ascii="Arial" w:hAnsi="Arial" w:cs="Arial"/>
          <w:sz w:val="22"/>
          <w:szCs w:val="22"/>
        </w:rPr>
        <w:t xml:space="preserve">, 323(21), pp. 2133–2134. </w:t>
      </w:r>
      <w:hyperlink r:id="rId70" w:history="1">
        <w:r w:rsidRPr="00453378">
          <w:rPr>
            <w:rStyle w:val="Hyperlink"/>
            <w:rFonts w:ascii="Arial" w:hAnsi="Arial" w:cs="Arial"/>
            <w:sz w:val="22"/>
            <w:szCs w:val="22"/>
          </w:rPr>
          <w:t>https://doi.org/10.1001/jama.2020.5893</w:t>
        </w:r>
      </w:hyperlink>
      <w:r w:rsidRPr="00453378">
        <w:rPr>
          <w:rFonts w:ascii="Arial" w:hAnsi="Arial" w:cs="Arial"/>
          <w:sz w:val="22"/>
          <w:szCs w:val="22"/>
        </w:rPr>
        <w:t xml:space="preserve"> </w:t>
      </w:r>
    </w:p>
    <w:p w14:paraId="57E4EBA0"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Shultz, J.M., Baingana, F. &amp; Neria, Y. (2016) ‘The 2014 Ebola outbreak and mental health: current status and recommended response’, </w:t>
      </w:r>
      <w:r w:rsidRPr="00453378">
        <w:rPr>
          <w:rStyle w:val="Emphasis"/>
          <w:rFonts w:ascii="Arial" w:hAnsi="Arial" w:cs="Arial"/>
          <w:sz w:val="22"/>
          <w:szCs w:val="22"/>
        </w:rPr>
        <w:t>JAMA</w:t>
      </w:r>
      <w:r w:rsidRPr="00453378">
        <w:rPr>
          <w:rFonts w:ascii="Arial" w:hAnsi="Arial" w:cs="Arial"/>
          <w:sz w:val="22"/>
          <w:szCs w:val="22"/>
        </w:rPr>
        <w:t xml:space="preserve">, 313(6), pp. 567–568. </w:t>
      </w:r>
      <w:hyperlink r:id="rId71" w:history="1">
        <w:r w:rsidRPr="00453378">
          <w:rPr>
            <w:rStyle w:val="Hyperlink"/>
            <w:rFonts w:ascii="Arial" w:hAnsi="Arial" w:cs="Arial"/>
            <w:sz w:val="22"/>
            <w:szCs w:val="22"/>
          </w:rPr>
          <w:t>https://doi.org/10.1001/jama.2014.17934</w:t>
        </w:r>
      </w:hyperlink>
      <w:r w:rsidRPr="00453378">
        <w:rPr>
          <w:rFonts w:ascii="Arial" w:hAnsi="Arial" w:cs="Arial"/>
          <w:sz w:val="22"/>
          <w:szCs w:val="22"/>
        </w:rPr>
        <w:t xml:space="preserve"> </w:t>
      </w:r>
    </w:p>
    <w:p w14:paraId="04303E3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Siegrist, J. (1996) ‘Adverse health effects of high-effort/low-reward conditions’, </w:t>
      </w:r>
      <w:r w:rsidRPr="00453378">
        <w:rPr>
          <w:rStyle w:val="Emphasis"/>
          <w:rFonts w:ascii="Arial" w:hAnsi="Arial" w:cs="Arial"/>
          <w:sz w:val="22"/>
          <w:szCs w:val="22"/>
        </w:rPr>
        <w:t>Journal of Occupational Health Psychology</w:t>
      </w:r>
      <w:r w:rsidRPr="00453378">
        <w:rPr>
          <w:rFonts w:ascii="Arial" w:hAnsi="Arial" w:cs="Arial"/>
          <w:sz w:val="22"/>
          <w:szCs w:val="22"/>
        </w:rPr>
        <w:t xml:space="preserve">, 1(1), pp. 27–41. </w:t>
      </w:r>
      <w:hyperlink r:id="rId72" w:history="1">
        <w:r w:rsidRPr="00453378">
          <w:rPr>
            <w:rStyle w:val="Hyperlink"/>
            <w:rFonts w:ascii="Arial" w:hAnsi="Arial" w:cs="Arial"/>
            <w:sz w:val="22"/>
            <w:szCs w:val="22"/>
          </w:rPr>
          <w:t>https://doi.org/10.1037//1076-8998.1.1.27</w:t>
        </w:r>
      </w:hyperlink>
    </w:p>
    <w:p w14:paraId="49CF2C0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Snyder, H. (2019) ‘Literature review as a research methodology: An overview and guidelines’, </w:t>
      </w:r>
      <w:r w:rsidRPr="00453378">
        <w:rPr>
          <w:rStyle w:val="Emphasis"/>
          <w:rFonts w:ascii="Arial" w:hAnsi="Arial" w:cs="Arial"/>
          <w:sz w:val="22"/>
          <w:szCs w:val="22"/>
        </w:rPr>
        <w:t>Journal of Business Research</w:t>
      </w:r>
      <w:r w:rsidRPr="00453378">
        <w:rPr>
          <w:rFonts w:ascii="Arial" w:hAnsi="Arial" w:cs="Arial"/>
          <w:sz w:val="22"/>
          <w:szCs w:val="22"/>
        </w:rPr>
        <w:t xml:space="preserve">, 104, pp. 333–339. </w:t>
      </w:r>
      <w:hyperlink r:id="rId73" w:tgtFrame="_new" w:history="1">
        <w:r w:rsidRPr="00453378">
          <w:rPr>
            <w:rStyle w:val="Hyperlink"/>
            <w:rFonts w:ascii="Arial" w:hAnsi="Arial" w:cs="Arial"/>
            <w:sz w:val="22"/>
            <w:szCs w:val="22"/>
          </w:rPr>
          <w:t>https://doi.org/10.1016/j.jbusres.2019.07.039</w:t>
        </w:r>
      </w:hyperlink>
    </w:p>
    <w:p w14:paraId="2BD7F769"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Spoorthy, M.S., Pratapa, S.K. &amp; Mahant, S. (2020) ‘Mental health problems faced by HCWs due to COVID-19: A review’, </w:t>
      </w:r>
      <w:r w:rsidRPr="00453378">
        <w:rPr>
          <w:rStyle w:val="Emphasis"/>
          <w:rFonts w:ascii="Arial" w:hAnsi="Arial" w:cs="Arial"/>
          <w:sz w:val="22"/>
          <w:szCs w:val="22"/>
        </w:rPr>
        <w:t>Asian Journal of Psychiatry</w:t>
      </w:r>
      <w:r w:rsidRPr="00453378">
        <w:rPr>
          <w:rFonts w:ascii="Arial" w:hAnsi="Arial" w:cs="Arial"/>
          <w:sz w:val="22"/>
          <w:szCs w:val="22"/>
        </w:rPr>
        <w:t xml:space="preserve">, 51, 102119. </w:t>
      </w:r>
      <w:hyperlink r:id="rId74" w:history="1">
        <w:r w:rsidRPr="00453378">
          <w:rPr>
            <w:rStyle w:val="Hyperlink"/>
            <w:rFonts w:ascii="Arial" w:hAnsi="Arial" w:cs="Arial"/>
            <w:sz w:val="22"/>
            <w:szCs w:val="22"/>
          </w:rPr>
          <w:t>https://doi.org/10.1016/j.ajp.2020.102119</w:t>
        </w:r>
      </w:hyperlink>
      <w:r w:rsidRPr="00453378">
        <w:rPr>
          <w:rFonts w:ascii="Arial" w:hAnsi="Arial" w:cs="Arial"/>
          <w:sz w:val="22"/>
          <w:szCs w:val="22"/>
        </w:rPr>
        <w:t xml:space="preserve"> </w:t>
      </w:r>
    </w:p>
    <w:p w14:paraId="173B30D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Sun, P., Wang, M., Song, T., Wu, Y., Luo, J., Chen, L. &amp; Yan, L. (2021) ‘The Psychological Impact of COVID-19 Pandemic on Health Care Workers: A Systematic Review and Meta-Analysis’, </w:t>
      </w:r>
      <w:r w:rsidRPr="00453378">
        <w:rPr>
          <w:rStyle w:val="Emphasis"/>
          <w:rFonts w:ascii="Arial" w:hAnsi="Arial" w:cs="Arial"/>
          <w:sz w:val="22"/>
          <w:szCs w:val="22"/>
        </w:rPr>
        <w:t>Frontiers in Psychology</w:t>
      </w:r>
      <w:r w:rsidRPr="00453378">
        <w:rPr>
          <w:rFonts w:ascii="Arial" w:hAnsi="Arial" w:cs="Arial"/>
          <w:sz w:val="22"/>
          <w:szCs w:val="22"/>
        </w:rPr>
        <w:t xml:space="preserve">, 12, 626547. </w:t>
      </w:r>
      <w:hyperlink r:id="rId75" w:history="1">
        <w:r w:rsidRPr="00453378">
          <w:rPr>
            <w:rStyle w:val="Hyperlink"/>
            <w:rFonts w:ascii="Arial" w:hAnsi="Arial" w:cs="Arial"/>
            <w:sz w:val="22"/>
            <w:szCs w:val="22"/>
          </w:rPr>
          <w:t>https://doi.org/10.3389/fpsyg.2021.626547</w:t>
        </w:r>
      </w:hyperlink>
      <w:r w:rsidRPr="00453378">
        <w:rPr>
          <w:rFonts w:ascii="Arial" w:hAnsi="Arial" w:cs="Arial"/>
          <w:sz w:val="22"/>
          <w:szCs w:val="22"/>
        </w:rPr>
        <w:t xml:space="preserve"> </w:t>
      </w:r>
    </w:p>
    <w:p w14:paraId="54CD7CB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Tan, B.Y.Q., Chew, N.W.S., Lee, G.K.H., Jing, M., Goh, Y. </w:t>
      </w:r>
      <w:r w:rsidRPr="00453378">
        <w:rPr>
          <w:rStyle w:val="Emphasis"/>
          <w:rFonts w:ascii="Arial" w:hAnsi="Arial" w:cs="Arial"/>
          <w:sz w:val="22"/>
          <w:szCs w:val="22"/>
        </w:rPr>
        <w:t>et al.</w:t>
      </w:r>
      <w:r w:rsidRPr="00453378">
        <w:rPr>
          <w:rFonts w:ascii="Arial" w:hAnsi="Arial" w:cs="Arial"/>
          <w:sz w:val="22"/>
          <w:szCs w:val="22"/>
        </w:rPr>
        <w:t xml:space="preserve"> (2020) ‘Psychological Impact of the COVID-19 Pandemic on Health Care Workers in Singapore’, </w:t>
      </w:r>
      <w:r w:rsidRPr="00453378">
        <w:rPr>
          <w:rStyle w:val="Emphasis"/>
          <w:rFonts w:ascii="Arial" w:hAnsi="Arial" w:cs="Arial"/>
          <w:sz w:val="22"/>
          <w:szCs w:val="22"/>
        </w:rPr>
        <w:t>Annals of Internal Medicine</w:t>
      </w:r>
      <w:r w:rsidRPr="00453378">
        <w:rPr>
          <w:rFonts w:ascii="Arial" w:hAnsi="Arial" w:cs="Arial"/>
          <w:sz w:val="22"/>
          <w:szCs w:val="22"/>
        </w:rPr>
        <w:t xml:space="preserve">, 173(4), pp. 317–320. </w:t>
      </w:r>
      <w:hyperlink r:id="rId76" w:history="1">
        <w:r w:rsidRPr="00453378">
          <w:rPr>
            <w:rStyle w:val="Hyperlink"/>
            <w:rFonts w:ascii="Arial" w:hAnsi="Arial" w:cs="Arial"/>
            <w:sz w:val="22"/>
            <w:szCs w:val="22"/>
          </w:rPr>
          <w:t>https://doi.org/10.7326/m20-1083</w:t>
        </w:r>
      </w:hyperlink>
      <w:r w:rsidRPr="00453378">
        <w:rPr>
          <w:rFonts w:ascii="Arial" w:hAnsi="Arial" w:cs="Arial"/>
          <w:sz w:val="22"/>
          <w:szCs w:val="22"/>
        </w:rPr>
        <w:t xml:space="preserve"> </w:t>
      </w:r>
    </w:p>
    <w:p w14:paraId="6A35BBA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Thomas, J. &amp; Harden, A. (2008) ‘Methods for the thematic synthesis of qualitative research in systematic reviews’, </w:t>
      </w:r>
      <w:r w:rsidRPr="00453378">
        <w:rPr>
          <w:rStyle w:val="Emphasis"/>
          <w:rFonts w:ascii="Arial" w:hAnsi="Arial" w:cs="Arial"/>
          <w:sz w:val="22"/>
          <w:szCs w:val="22"/>
        </w:rPr>
        <w:t>BMC Medical Research Methodology</w:t>
      </w:r>
      <w:r w:rsidRPr="00453378">
        <w:rPr>
          <w:rFonts w:ascii="Arial" w:hAnsi="Arial" w:cs="Arial"/>
          <w:sz w:val="22"/>
          <w:szCs w:val="22"/>
        </w:rPr>
        <w:t xml:space="preserve">, 8, 45. </w:t>
      </w:r>
      <w:hyperlink r:id="rId77" w:history="1">
        <w:r w:rsidRPr="00453378">
          <w:rPr>
            <w:rStyle w:val="Hyperlink"/>
            <w:rFonts w:ascii="Arial" w:hAnsi="Arial" w:cs="Arial"/>
            <w:sz w:val="22"/>
            <w:szCs w:val="22"/>
          </w:rPr>
          <w:t>https://doi.org/10.1186/1471-2288-8-45</w:t>
        </w:r>
      </w:hyperlink>
      <w:r w:rsidRPr="00453378">
        <w:rPr>
          <w:rFonts w:ascii="Arial" w:hAnsi="Arial" w:cs="Arial"/>
          <w:sz w:val="22"/>
          <w:szCs w:val="22"/>
        </w:rPr>
        <w:t xml:space="preserve"> </w:t>
      </w:r>
    </w:p>
    <w:p w14:paraId="2A6C4989"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Tong, A., Sainsbury, P. &amp; Craig, J. (2007) ‘Consolidated criteria for reporting qualitative research (COREQ): A 32-item checklist for interviews and focus groups’, </w:t>
      </w:r>
      <w:r w:rsidRPr="00453378">
        <w:rPr>
          <w:rStyle w:val="Emphasis"/>
          <w:rFonts w:ascii="Arial" w:hAnsi="Arial" w:cs="Arial"/>
          <w:sz w:val="22"/>
          <w:szCs w:val="22"/>
        </w:rPr>
        <w:t>International Journal for Quality in Health Care</w:t>
      </w:r>
      <w:r w:rsidRPr="00453378">
        <w:rPr>
          <w:rFonts w:ascii="Arial" w:hAnsi="Arial" w:cs="Arial"/>
          <w:sz w:val="22"/>
          <w:szCs w:val="22"/>
        </w:rPr>
        <w:t xml:space="preserve">, 19(6), pp. 349–357. </w:t>
      </w:r>
      <w:hyperlink r:id="rId78" w:tgtFrame="_new" w:history="1">
        <w:r w:rsidRPr="00453378">
          <w:rPr>
            <w:rStyle w:val="Hyperlink"/>
            <w:rFonts w:ascii="Arial" w:hAnsi="Arial" w:cs="Arial"/>
            <w:sz w:val="22"/>
            <w:szCs w:val="22"/>
          </w:rPr>
          <w:t>https://doi.org/10.1093/intqhc/mzm042</w:t>
        </w:r>
      </w:hyperlink>
    </w:p>
    <w:p w14:paraId="174DE72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Tricco, A.C., Lillie, E., Zarin, W., O’Brien, K.K., Colquhoun, H. </w:t>
      </w:r>
      <w:r w:rsidRPr="00453378">
        <w:rPr>
          <w:rStyle w:val="Emphasis"/>
          <w:rFonts w:ascii="Arial" w:hAnsi="Arial" w:cs="Arial"/>
          <w:sz w:val="22"/>
          <w:szCs w:val="22"/>
        </w:rPr>
        <w:t>et al.</w:t>
      </w:r>
      <w:r w:rsidRPr="00453378">
        <w:rPr>
          <w:rFonts w:ascii="Arial" w:hAnsi="Arial" w:cs="Arial"/>
          <w:sz w:val="22"/>
          <w:szCs w:val="22"/>
        </w:rPr>
        <w:t xml:space="preserve"> (2018) ‘PRISMA extension for scoping reviews (PRISMA-ScR)’, </w:t>
      </w:r>
      <w:r w:rsidRPr="00453378">
        <w:rPr>
          <w:rStyle w:val="Emphasis"/>
          <w:rFonts w:ascii="Arial" w:hAnsi="Arial" w:cs="Arial"/>
          <w:sz w:val="22"/>
          <w:szCs w:val="22"/>
        </w:rPr>
        <w:t>Annals of Internal Medicine</w:t>
      </w:r>
      <w:r w:rsidRPr="00453378">
        <w:rPr>
          <w:rFonts w:ascii="Arial" w:hAnsi="Arial" w:cs="Arial"/>
          <w:sz w:val="22"/>
          <w:szCs w:val="22"/>
        </w:rPr>
        <w:t xml:space="preserve">, 169(7), pp. 467–473. </w:t>
      </w:r>
      <w:hyperlink r:id="rId79" w:tgtFrame="_new" w:history="1">
        <w:r w:rsidRPr="00453378">
          <w:rPr>
            <w:rStyle w:val="Hyperlink"/>
            <w:rFonts w:ascii="Arial" w:hAnsi="Arial" w:cs="Arial"/>
            <w:sz w:val="22"/>
            <w:szCs w:val="22"/>
          </w:rPr>
          <w:t>https://doi.org/10.7326/M18-0850</w:t>
        </w:r>
      </w:hyperlink>
    </w:p>
    <w:p w14:paraId="22A8DF71"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Tsamakis, K., Rizos, E., Manolis, A.J., Chaidou, S., Kympouropoulos, S. </w:t>
      </w:r>
      <w:r w:rsidRPr="00453378">
        <w:rPr>
          <w:rStyle w:val="Emphasis"/>
          <w:rFonts w:ascii="Arial" w:hAnsi="Arial" w:cs="Arial"/>
          <w:sz w:val="22"/>
          <w:szCs w:val="22"/>
        </w:rPr>
        <w:t>et al.</w:t>
      </w:r>
      <w:r w:rsidRPr="00453378">
        <w:rPr>
          <w:rFonts w:ascii="Arial" w:hAnsi="Arial" w:cs="Arial"/>
          <w:sz w:val="22"/>
          <w:szCs w:val="22"/>
        </w:rPr>
        <w:t xml:space="preserve"> (2020) ‘COVID-19 pandemic and its impact on mental health of healthcare professionals’, </w:t>
      </w:r>
      <w:r w:rsidRPr="00453378">
        <w:rPr>
          <w:rStyle w:val="Emphasis"/>
          <w:rFonts w:ascii="Arial" w:hAnsi="Arial" w:cs="Arial"/>
          <w:sz w:val="22"/>
          <w:szCs w:val="22"/>
        </w:rPr>
        <w:t>Experimental and Therapeutic Medicine</w:t>
      </w:r>
      <w:r w:rsidRPr="00453378">
        <w:rPr>
          <w:rFonts w:ascii="Arial" w:hAnsi="Arial" w:cs="Arial"/>
          <w:sz w:val="22"/>
          <w:szCs w:val="22"/>
        </w:rPr>
        <w:t xml:space="preserve">, 19(6), pp. 3451–3453. </w:t>
      </w:r>
      <w:hyperlink r:id="rId80" w:history="1">
        <w:r w:rsidRPr="00453378">
          <w:rPr>
            <w:rStyle w:val="Hyperlink"/>
            <w:rFonts w:ascii="Arial" w:hAnsi="Arial" w:cs="Arial"/>
            <w:sz w:val="22"/>
            <w:szCs w:val="22"/>
          </w:rPr>
          <w:t>https://doi.org/10.3892/etm.2020.8646</w:t>
        </w:r>
      </w:hyperlink>
      <w:r w:rsidRPr="00453378">
        <w:rPr>
          <w:rFonts w:ascii="Arial" w:hAnsi="Arial" w:cs="Arial"/>
          <w:sz w:val="22"/>
          <w:szCs w:val="22"/>
        </w:rPr>
        <w:t xml:space="preserve"> </w:t>
      </w:r>
    </w:p>
    <w:p w14:paraId="4390AE98"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Vizheh, M., Qorbani, M., Arzaghi, S.M., Muhidin, S., Javanmard, Z. &amp; Esmaeili, M. (2020) ‘The mental health of HCWs in the COVID-19 pandemic: A systematic review’, </w:t>
      </w:r>
      <w:r w:rsidRPr="00453378">
        <w:rPr>
          <w:rStyle w:val="Emphasis"/>
          <w:rFonts w:ascii="Arial" w:hAnsi="Arial" w:cs="Arial"/>
          <w:sz w:val="22"/>
          <w:szCs w:val="22"/>
        </w:rPr>
        <w:t>Journal of Diabetes &amp; Metabolic Disorders</w:t>
      </w:r>
      <w:r w:rsidRPr="00453378">
        <w:rPr>
          <w:rFonts w:ascii="Arial" w:hAnsi="Arial" w:cs="Arial"/>
          <w:sz w:val="22"/>
          <w:szCs w:val="22"/>
        </w:rPr>
        <w:t xml:space="preserve">, 19, pp. 1967–1978. </w:t>
      </w:r>
      <w:hyperlink r:id="rId81" w:history="1">
        <w:r w:rsidRPr="00453378">
          <w:rPr>
            <w:rStyle w:val="Hyperlink"/>
            <w:rFonts w:ascii="Arial" w:hAnsi="Arial" w:cs="Arial"/>
            <w:sz w:val="22"/>
            <w:szCs w:val="22"/>
          </w:rPr>
          <w:t>https://doi.org/10.1007/s40200-020-00643-9</w:t>
        </w:r>
      </w:hyperlink>
    </w:p>
    <w:p w14:paraId="2086CE12"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West, M.A., Eckert, R., Collins, B. &amp; Chowla, R. (2014) </w:t>
      </w:r>
      <w:r w:rsidRPr="00453378">
        <w:rPr>
          <w:rStyle w:val="Emphasis"/>
          <w:rFonts w:ascii="Arial" w:hAnsi="Arial" w:cs="Arial"/>
          <w:sz w:val="22"/>
          <w:szCs w:val="22"/>
        </w:rPr>
        <w:t>Caring to Change: How compassionate leadership can stimulate innovation in health care</w:t>
      </w:r>
      <w:r w:rsidRPr="00453378">
        <w:rPr>
          <w:rFonts w:ascii="Arial" w:hAnsi="Arial" w:cs="Arial"/>
          <w:sz w:val="22"/>
          <w:szCs w:val="22"/>
        </w:rPr>
        <w:t xml:space="preserve">. London: The King’s Fund. </w:t>
      </w:r>
      <w:hyperlink r:id="rId82" w:tgtFrame="_new" w:history="1">
        <w:r w:rsidRPr="00453378">
          <w:rPr>
            <w:rStyle w:val="Hyperlink"/>
            <w:rFonts w:ascii="Arial" w:hAnsi="Arial" w:cs="Arial"/>
            <w:sz w:val="22"/>
            <w:szCs w:val="22"/>
          </w:rPr>
          <w:t>https://www.kingsfund.org.uk/publications/caring-change</w:t>
        </w:r>
      </w:hyperlink>
    </w:p>
    <w:p w14:paraId="6E9C3BA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WHO (2020) </w:t>
      </w:r>
      <w:r w:rsidRPr="00453378">
        <w:rPr>
          <w:rStyle w:val="Emphasis"/>
          <w:rFonts w:ascii="Arial" w:hAnsi="Arial" w:cs="Arial"/>
          <w:sz w:val="22"/>
          <w:szCs w:val="22"/>
        </w:rPr>
        <w:t>Coronavirus disease (COVID-19): Occupational health and safety for health workers</w:t>
      </w:r>
      <w:r w:rsidRPr="00453378">
        <w:rPr>
          <w:rFonts w:ascii="Arial" w:hAnsi="Arial" w:cs="Arial"/>
          <w:sz w:val="22"/>
          <w:szCs w:val="22"/>
        </w:rPr>
        <w:t xml:space="preserve">. World Health Organization. </w:t>
      </w:r>
      <w:hyperlink r:id="rId83" w:tgtFrame="_new" w:history="1">
        <w:r w:rsidRPr="00453378">
          <w:rPr>
            <w:rStyle w:val="Hyperlink"/>
            <w:rFonts w:ascii="Arial" w:hAnsi="Arial" w:cs="Arial"/>
            <w:sz w:val="22"/>
            <w:szCs w:val="22"/>
          </w:rPr>
          <w:t>https://www.who.int/publications/i/item/WHO-2019-nCoV-HCW_advice-2021.1</w:t>
        </w:r>
      </w:hyperlink>
    </w:p>
    <w:p w14:paraId="7AA8D7C5"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ILO (2022) </w:t>
      </w:r>
      <w:r w:rsidRPr="00453378">
        <w:rPr>
          <w:rStyle w:val="Emphasis"/>
          <w:rFonts w:ascii="Arial" w:hAnsi="Arial" w:cs="Arial"/>
          <w:sz w:val="22"/>
          <w:szCs w:val="22"/>
        </w:rPr>
        <w:t>Mental health at work: Policy brief</w:t>
      </w:r>
      <w:r w:rsidRPr="00453378">
        <w:rPr>
          <w:rFonts w:ascii="Arial" w:hAnsi="Arial" w:cs="Arial"/>
          <w:sz w:val="22"/>
          <w:szCs w:val="22"/>
        </w:rPr>
        <w:t xml:space="preserve">. World Health Organization &amp; International Labour Organization. </w:t>
      </w:r>
      <w:hyperlink r:id="rId84" w:tgtFrame="_new" w:history="1">
        <w:r w:rsidRPr="00453378">
          <w:rPr>
            <w:rStyle w:val="Hyperlink"/>
            <w:rFonts w:ascii="Arial" w:hAnsi="Arial" w:cs="Arial"/>
            <w:sz w:val="22"/>
            <w:szCs w:val="22"/>
          </w:rPr>
          <w:t>https://www.who.int/publications/i/item/9789240053052</w:t>
        </w:r>
      </w:hyperlink>
    </w:p>
    <w:p w14:paraId="3A6A8EA3" w14:textId="77777777" w:rsidR="00B61AF6" w:rsidRPr="00453378" w:rsidRDefault="00B61AF6" w:rsidP="00B61AF6">
      <w:pPr>
        <w:pStyle w:val="NormalWeb"/>
        <w:spacing w:line="360" w:lineRule="auto"/>
        <w:jc w:val="both"/>
        <w:rPr>
          <w:rFonts w:ascii="Arial" w:hAnsi="Arial" w:cs="Arial"/>
          <w:sz w:val="22"/>
          <w:szCs w:val="22"/>
        </w:rPr>
      </w:pPr>
      <w:r w:rsidRPr="00453378">
        <w:rPr>
          <w:rFonts w:ascii="Arial" w:hAnsi="Arial" w:cs="Arial"/>
          <w:sz w:val="22"/>
          <w:szCs w:val="22"/>
        </w:rPr>
        <w:t xml:space="preserve">Wu, P.E., Styra, R. &amp; Gold, W.L. (2020) ‘Mitigating the psychological effects of COVID-19 on health care workers’, </w:t>
      </w:r>
      <w:r w:rsidRPr="00453378">
        <w:rPr>
          <w:rStyle w:val="Emphasis"/>
          <w:rFonts w:ascii="Arial" w:hAnsi="Arial" w:cs="Arial"/>
          <w:sz w:val="22"/>
          <w:szCs w:val="22"/>
        </w:rPr>
        <w:t>CMAJ</w:t>
      </w:r>
      <w:r w:rsidRPr="00453378">
        <w:rPr>
          <w:rFonts w:ascii="Arial" w:hAnsi="Arial" w:cs="Arial"/>
          <w:sz w:val="22"/>
          <w:szCs w:val="22"/>
        </w:rPr>
        <w:t xml:space="preserve">, 92(17), E459–E460. </w:t>
      </w:r>
      <w:hyperlink r:id="rId85" w:history="1">
        <w:r w:rsidRPr="00453378">
          <w:rPr>
            <w:rStyle w:val="Hyperlink"/>
            <w:rFonts w:ascii="Arial" w:hAnsi="Arial" w:cs="Arial"/>
            <w:sz w:val="22"/>
            <w:szCs w:val="22"/>
          </w:rPr>
          <w:t>https://doi.org/10.1503/cmaj.200519</w:t>
        </w:r>
      </w:hyperlink>
      <w:r w:rsidRPr="00453378">
        <w:rPr>
          <w:rFonts w:ascii="Arial" w:hAnsi="Arial" w:cs="Arial"/>
          <w:sz w:val="22"/>
          <w:szCs w:val="22"/>
        </w:rPr>
        <w:t xml:space="preserve"> </w:t>
      </w:r>
    </w:p>
    <w:p w14:paraId="24EED69D" w14:textId="77777777" w:rsidR="00B61AF6" w:rsidRPr="00453378" w:rsidRDefault="00B61AF6" w:rsidP="00B61AF6">
      <w:pPr>
        <w:pStyle w:val="NormalWeb"/>
        <w:spacing w:line="360" w:lineRule="auto"/>
        <w:jc w:val="both"/>
        <w:rPr>
          <w:rFonts w:ascii="Arial" w:hAnsi="Arial" w:cs="Arial"/>
          <w:sz w:val="22"/>
          <w:szCs w:val="22"/>
        </w:rPr>
      </w:pPr>
    </w:p>
    <w:p w14:paraId="79ABFEE0" w14:textId="77777777" w:rsidR="00B61AF6" w:rsidRPr="00453378" w:rsidRDefault="00B61AF6" w:rsidP="00B61AF6">
      <w:pPr>
        <w:pStyle w:val="NormalWeb"/>
        <w:spacing w:line="360" w:lineRule="auto"/>
        <w:jc w:val="both"/>
        <w:rPr>
          <w:rFonts w:ascii="Arial" w:hAnsi="Arial" w:cs="Arial"/>
          <w:sz w:val="22"/>
          <w:szCs w:val="22"/>
        </w:rPr>
      </w:pPr>
    </w:p>
    <w:p w14:paraId="565DE045" w14:textId="77777777" w:rsidR="009D728F" w:rsidRDefault="009D728F"/>
    <w:sectPr w:rsidR="009D728F" w:rsidSect="00214C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F17AF"/>
    <w:multiLevelType w:val="hybridMultilevel"/>
    <w:tmpl w:val="837A5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0673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AF6"/>
    <w:rsid w:val="00214C3A"/>
    <w:rsid w:val="009D728F"/>
    <w:rsid w:val="00B61AF6"/>
    <w:rsid w:val="00CF4D08"/>
    <w:rsid w:val="00D20C28"/>
    <w:rsid w:val="00D506F0"/>
    <w:rsid w:val="00DE0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A3C7"/>
  <w15:chartTrackingRefBased/>
  <w15:docId w15:val="{043A75A6-F8EF-4C08-B575-CFDD7DAF1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AF6"/>
  </w:style>
  <w:style w:type="paragraph" w:styleId="Heading1">
    <w:name w:val="heading 1"/>
    <w:basedOn w:val="Normal"/>
    <w:next w:val="Normal"/>
    <w:link w:val="Heading1Char"/>
    <w:autoRedefine/>
    <w:uiPriority w:val="9"/>
    <w:qFormat/>
    <w:rsid w:val="00B61AF6"/>
    <w:pPr>
      <w:keepNext/>
      <w:keepLines/>
      <w:spacing w:before="120" w:after="120" w:line="360" w:lineRule="auto"/>
      <w:jc w:val="center"/>
      <w:outlineLvl w:val="0"/>
    </w:pPr>
    <w:rPr>
      <w:rFonts w:ascii="Arial" w:eastAsia="Times New Roman" w:hAnsi="Arial" w:cs="Arial"/>
      <w:b/>
      <w:color w:val="000000" w:themeColor="text1"/>
      <w:sz w:val="32"/>
    </w:rPr>
  </w:style>
  <w:style w:type="paragraph" w:styleId="Heading2">
    <w:name w:val="heading 2"/>
    <w:basedOn w:val="Normal"/>
    <w:next w:val="Normal"/>
    <w:link w:val="Heading2Char"/>
    <w:uiPriority w:val="9"/>
    <w:unhideWhenUsed/>
    <w:qFormat/>
    <w:rsid w:val="00B61A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1A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AF6"/>
    <w:rPr>
      <w:rFonts w:ascii="Arial" w:eastAsia="Times New Roman" w:hAnsi="Arial" w:cs="Arial"/>
      <w:b/>
      <w:color w:val="000000" w:themeColor="text1"/>
      <w:sz w:val="32"/>
    </w:rPr>
  </w:style>
  <w:style w:type="character" w:customStyle="1" w:styleId="Heading2Char">
    <w:name w:val="Heading 2 Char"/>
    <w:basedOn w:val="DefaultParagraphFont"/>
    <w:link w:val="Heading2"/>
    <w:uiPriority w:val="9"/>
    <w:rsid w:val="00B61AF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61AF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B61AF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61AF6"/>
    <w:rPr>
      <w:i/>
      <w:iCs/>
    </w:rPr>
  </w:style>
  <w:style w:type="character" w:styleId="Hyperlink">
    <w:name w:val="Hyperlink"/>
    <w:basedOn w:val="DefaultParagraphFont"/>
    <w:uiPriority w:val="99"/>
    <w:unhideWhenUsed/>
    <w:rsid w:val="00B61AF6"/>
    <w:rPr>
      <w:color w:val="0000FF"/>
      <w:u w:val="single"/>
    </w:rPr>
  </w:style>
  <w:style w:type="character" w:customStyle="1" w:styleId="ej-journal-doi">
    <w:name w:val="ej-journal-doi"/>
    <w:basedOn w:val="DefaultParagraphFont"/>
    <w:rsid w:val="00B61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 /><Relationship Id="rId18" Type="http://schemas.openxmlformats.org/officeDocument/2006/relationships/hyperlink" Target="https://www.ficm.ac.uk/wellbeing" TargetMode="External" /><Relationship Id="rId26" Type="http://schemas.openxmlformats.org/officeDocument/2006/relationships/hyperlink" Target="https://doi.org/10.1002/9781119536604" TargetMode="External" /><Relationship Id="rId39" Type="http://schemas.openxmlformats.org/officeDocument/2006/relationships/hyperlink" Target="https://onlinelibrary.wiley.com/doi/abs/10.1002/job.4030020205" TargetMode="External" /><Relationship Id="rId21" Type="http://schemas.openxmlformats.org/officeDocument/2006/relationships/hyperlink" Target="https://link.springer.com/article/10.1007/BF03405108" TargetMode="External" /><Relationship Id="rId34" Type="http://schemas.openxmlformats.org/officeDocument/2006/relationships/hyperlink" Target="https://www.bmj.com/content/369/bmj.m1642" TargetMode="External" /><Relationship Id="rId42" Type="http://schemas.openxmlformats.org/officeDocument/2006/relationships/hyperlink" Target="https://www.nhsconfed.org/themes/workforce" TargetMode="External" /><Relationship Id="rId47" Type="http://schemas.openxmlformats.org/officeDocument/2006/relationships/hyperlink" Target="https://www.nhsstaffsurveys.com" TargetMode="External" /><Relationship Id="rId50" Type="http://schemas.openxmlformats.org/officeDocument/2006/relationships/hyperlink" Target="https://wwwnc.cdc.gov/eid/article/10/5/03-0703_article" TargetMode="External" /><Relationship Id="rId55" Type="http://schemas.openxmlformats.org/officeDocument/2006/relationships/hyperlink" Target="https://jamanetwork.com/journals/jamainternalmedicine/article-abstract/2686141" TargetMode="External" /><Relationship Id="rId63" Type="http://schemas.openxmlformats.org/officeDocument/2006/relationships/hyperlink" Target="https://onlinelibrary.wiley.com/doi/full/10.1111/joop.12120" TargetMode="External" /><Relationship Id="rId68" Type="http://schemas.openxmlformats.org/officeDocument/2006/relationships/hyperlink" Target="https://doi.org/10.1186/1472-6947-7-16" TargetMode="External" /><Relationship Id="rId76" Type="http://schemas.openxmlformats.org/officeDocument/2006/relationships/hyperlink" Target="https://doi.org/10.7326/m20-1083" TargetMode="External" /><Relationship Id="rId84" Type="http://schemas.openxmlformats.org/officeDocument/2006/relationships/hyperlink" Target="https://www.who.int/publications/i/item/9789240053052" TargetMode="External" /><Relationship Id="rId7" Type="http://schemas.openxmlformats.org/officeDocument/2006/relationships/hyperlink" Target="https://doi.org/10.1108/eb024320" TargetMode="External" /><Relationship Id="rId71" Type="http://schemas.openxmlformats.org/officeDocument/2006/relationships/hyperlink" Target="https://doi.org/10.1001/jama.2014.17934" TargetMode="External" /><Relationship Id="rId2" Type="http://schemas.openxmlformats.org/officeDocument/2006/relationships/styles" Target="styles.xml" /><Relationship Id="rId16" Type="http://schemas.openxmlformats.org/officeDocument/2006/relationships/hyperlink" Target="https://bmcpublichealth.biomedcentral.com/articles/10.1186/s12889-020-10070-3" TargetMode="External" /><Relationship Id="rId29" Type="http://schemas.openxmlformats.org/officeDocument/2006/relationships/hyperlink" Target="https://www.hse.gov.uk/stress/standards/index.htm" TargetMode="External" /><Relationship Id="rId11" Type="http://schemas.openxmlformats.org/officeDocument/2006/relationships/hyperlink" Target="https://www.bma.org.uk/advice-and-support/covid-19" TargetMode="External" /><Relationship Id="rId24" Type="http://schemas.openxmlformats.org/officeDocument/2006/relationships/hyperlink" Target="https://europepmc.org/articles/PMC8611576/?utm_source=chatgpt.com" TargetMode="External" /><Relationship Id="rId32" Type="http://schemas.openxmlformats.org/officeDocument/2006/relationships/hyperlink" Target="https://www.jstor.org/stable/2392498" TargetMode="External" /><Relationship Id="rId37" Type="http://schemas.openxmlformats.org/officeDocument/2006/relationships/hyperlink" Target="https://www.sciencedirect.com/science/article/pii/S0272735809000907" TargetMode="External" /><Relationship Id="rId40" Type="http://schemas.openxmlformats.org/officeDocument/2006/relationships/hyperlink" Target="https://www.sciencedirect.com/science/article/pii/B9780128009512000443" TargetMode="External" /><Relationship Id="rId45" Type="http://schemas.openxmlformats.org/officeDocument/2006/relationships/hyperlink" Target="https://www.nhsstaffsurveys.com" TargetMode="External" /><Relationship Id="rId53" Type="http://schemas.openxmlformats.org/officeDocument/2006/relationships/hyperlink" Target="https://www.scielosp.org/article/csp/2020.v36n4/e00063520/en/?utm_source=chatgpt.com" TargetMode="External" /><Relationship Id="rId58" Type="http://schemas.openxmlformats.org/officeDocument/2006/relationships/hyperlink" Target="https://assets.publishing.service.gov.uk/government/uploads/system/uploads/attachment_data/file/892376/COVID_stakeholder_engagement_synthesis_beyond_the_data.pdf" TargetMode="External" /><Relationship Id="rId66" Type="http://schemas.openxmlformats.org/officeDocument/2006/relationships/hyperlink" Target="https://doi.org/10.1002/1348-9585.12175" TargetMode="External" /><Relationship Id="rId74" Type="http://schemas.openxmlformats.org/officeDocument/2006/relationships/hyperlink" Target="https://doi.org/10.1016/j.ajp.2020.102119" TargetMode="External" /><Relationship Id="rId79" Type="http://schemas.openxmlformats.org/officeDocument/2006/relationships/hyperlink" Target="https://doi.org/10.7326/M18-0850" TargetMode="External" /><Relationship Id="rId87" Type="http://schemas.openxmlformats.org/officeDocument/2006/relationships/theme" Target="theme/theme1.xml" /><Relationship Id="rId5" Type="http://schemas.openxmlformats.org/officeDocument/2006/relationships/hyperlink" Target="https://www.thelancet.com/journals/lancet/article/PIIS0140-6736(13)62631-8/fulltext" TargetMode="External" /><Relationship Id="rId61" Type="http://schemas.openxmlformats.org/officeDocument/2006/relationships/hyperlink" Target="https://www.rcn.org.uk" TargetMode="External" /><Relationship Id="rId82" Type="http://schemas.openxmlformats.org/officeDocument/2006/relationships/hyperlink" Target="https://www.kingsfund.org.uk/publications/caring-change" TargetMode="External" /><Relationship Id="rId19" Type="http://schemas.openxmlformats.org/officeDocument/2006/relationships/hyperlink" Target="https://uk.sagepub.com/en-gb/eur/an-introduction-to-systematic-reviews/book237865" TargetMode="External" /><Relationship Id="rId4" Type="http://schemas.openxmlformats.org/officeDocument/2006/relationships/webSettings" Target="webSettings.xml" /><Relationship Id="rId9" Type="http://schemas.openxmlformats.org/officeDocument/2006/relationships/hyperlink" Target="https://doi.org/10.3390/ijerph17092997" TargetMode="External" /><Relationship Id="rId14" Type="http://schemas.openxmlformats.org/officeDocument/2006/relationships/hyperlink" Target="https://www.bmj.com/content/347/bmj.f7332" TargetMode="External" /><Relationship Id="rId22" Type="http://schemas.openxmlformats.org/officeDocument/2006/relationships/hyperlink" Target="https://www.bmj.com/content/368/bmj.m1211" TargetMode="External" /><Relationship Id="rId27" Type="http://schemas.openxmlformats.org/officeDocument/2006/relationships/hyperlink" Target="https://psycnet.apa.org/record/1989-29736-001" TargetMode="External" /><Relationship Id="rId30" Type="http://schemas.openxmlformats.org/officeDocument/2006/relationships/hyperlink" Target="https://www.hse.gov.uk/coronavirus/index.htm" TargetMode="External" /><Relationship Id="rId35" Type="http://schemas.openxmlformats.org/officeDocument/2006/relationships/hyperlink" Target="https://jamanetwork.com/journals/jamanetworkopen/fullarticle/2763229" TargetMode="External" /><Relationship Id="rId43" Type="http://schemas.openxmlformats.org/officeDocument/2006/relationships/hyperlink" Target="https://www.england.nhs.uk/ournhspeople/" TargetMode="External" /><Relationship Id="rId48" Type="http://schemas.openxmlformats.org/officeDocument/2006/relationships/hyperlink" Target="https://www.nice.org.uk/guidance/ng116" TargetMode="External" /><Relationship Id="rId56" Type="http://schemas.openxmlformats.org/officeDocument/2006/relationships/hyperlink" Target="https://doi.org/10.1016/j.bbi.2020.05.026" TargetMode="External" /><Relationship Id="rId64" Type="http://schemas.openxmlformats.org/officeDocument/2006/relationships/hyperlink" Target="https://www.sciencedirect.com/science/article/pii/S0165178120312319" TargetMode="External" /><Relationship Id="rId69" Type="http://schemas.openxmlformats.org/officeDocument/2006/relationships/hyperlink" Target="https://doi.org/10.1016/j.jad.2020.08.034" TargetMode="External" /><Relationship Id="rId77" Type="http://schemas.openxmlformats.org/officeDocument/2006/relationships/hyperlink" Target="https://doi.org/10.1186/1471-2288-8-45" TargetMode="External" /><Relationship Id="rId8" Type="http://schemas.openxmlformats.org/officeDocument/2006/relationships/hyperlink" Target="https://bmchealthservres.biomedcentral.com/articles/10.1186/s12913-021-06917-z" TargetMode="External" /><Relationship Id="rId51" Type="http://schemas.openxmlformats.org/officeDocument/2006/relationships/hyperlink" Target="https://doi.org/10.1177/1609406917733847" TargetMode="External" /><Relationship Id="rId72" Type="http://schemas.openxmlformats.org/officeDocument/2006/relationships/hyperlink" Target="https://doi.org/10.1037//1076-8998.1.1.27" TargetMode="External" /><Relationship Id="rId80" Type="http://schemas.openxmlformats.org/officeDocument/2006/relationships/hyperlink" Target="https://doi.org/10.3892/etm.2020.8646" TargetMode="External" /><Relationship Id="rId85" Type="http://schemas.openxmlformats.org/officeDocument/2006/relationships/hyperlink" Target="https://doi.org/10.1503/cmaj.200519" TargetMode="External" /><Relationship Id="rId3" Type="http://schemas.openxmlformats.org/officeDocument/2006/relationships/settings" Target="settings.xml" /><Relationship Id="rId12" Type="http://schemas.openxmlformats.org/officeDocument/2006/relationships/hyperlink" Target="https://uk.sagepub.com/en-gb/eur/systematic-approaches-to-a-successful-literature-review/book245351" TargetMode="External" /><Relationship Id="rId17" Type="http://schemas.openxmlformats.org/officeDocument/2006/relationships/hyperlink" Target="https://psycnet.apa.org/record/2001-18266-015" TargetMode="External" /><Relationship Id="rId25" Type="http://schemas.openxmlformats.org/officeDocument/2006/relationships/hyperlink" Target="https://doi.org/10.1097/01.jaa.0000669772.78848.8c" TargetMode="External" /><Relationship Id="rId33" Type="http://schemas.openxmlformats.org/officeDocument/2006/relationships/hyperlink" Target="https://www.som.org.uk/sites/som.org.uk/files/SOM_COVID-19_Frontline_Healthcare_Worker_Wellbeing_Guidance.pdf" TargetMode="External" /><Relationship Id="rId38" Type="http://schemas.openxmlformats.org/officeDocument/2006/relationships/hyperlink" Target="https://www.mdpi.com/1660-4601/17/15/5514" TargetMode="External" /><Relationship Id="rId46" Type="http://schemas.openxmlformats.org/officeDocument/2006/relationships/hyperlink" Target="https://www.nhsstaffsurveys.com" TargetMode="External" /><Relationship Id="rId59" Type="http://schemas.openxmlformats.org/officeDocument/2006/relationships/hyperlink" Target="https://apps.who.int/iris/bitstream/handle/10665/336303/Eurohealth-26-2-77-82-eng.pdf" TargetMode="External" /><Relationship Id="rId67" Type="http://schemas.openxmlformats.org/officeDocument/2006/relationships/hyperlink" Target="https://doi.org/10.1007/978-1-4614-6814-1" TargetMode="External" /><Relationship Id="rId20" Type="http://schemas.openxmlformats.org/officeDocument/2006/relationships/hyperlink" Target="https://bmcinfectdis.biomedcentral.com/articles/10.1186/1471-2334-10-322" TargetMode="External" /><Relationship Id="rId41" Type="http://schemas.openxmlformats.org/officeDocument/2006/relationships/hyperlink" Target="https://www.cmaj.ca/content/168/10/1245" TargetMode="External" /><Relationship Id="rId54" Type="http://schemas.openxmlformats.org/officeDocument/2006/relationships/hyperlink" Target="https://www.bmj.com/content/372/bmj.n71" TargetMode="External" /><Relationship Id="rId62" Type="http://schemas.openxmlformats.org/officeDocument/2006/relationships/hyperlink" Target="https://www.rcplondon.ac.uk" TargetMode="External" /><Relationship Id="rId70" Type="http://schemas.openxmlformats.org/officeDocument/2006/relationships/hyperlink" Target="https://doi.org/10.1001/jama.2020.5893" TargetMode="External" /><Relationship Id="rId75" Type="http://schemas.openxmlformats.org/officeDocument/2006/relationships/hyperlink" Target="https://doi.org/10.3389/fpsyg.2021.626547" TargetMode="External" /><Relationship Id="rId83" Type="http://schemas.openxmlformats.org/officeDocument/2006/relationships/hyperlink" Target="https://www.who.int/publications/i/item/WHO-2019-nCoV-HCW_advice-2021.1" TargetMode="External" /><Relationship Id="rId1" Type="http://schemas.openxmlformats.org/officeDocument/2006/relationships/numbering" Target="numbering.xml" /><Relationship Id="rId6" Type="http://schemas.openxmlformats.org/officeDocument/2006/relationships/hyperlink" Target="https://doi.org/10.1108/02683940710733115" TargetMode="External" /><Relationship Id="rId15" Type="http://schemas.openxmlformats.org/officeDocument/2006/relationships/hyperlink" Target="https://doi.org/10.1055/s-0040-1722811" TargetMode="External" /><Relationship Id="rId23" Type="http://schemas.openxmlformats.org/officeDocument/2006/relationships/hyperlink" Target="https://doi.org/10.1111/eci.12931" TargetMode="External" /><Relationship Id="rId28" Type="http://schemas.openxmlformats.org/officeDocument/2006/relationships/hyperlink" Target="https://psycnet.apa.org/record/2018-11330-001" TargetMode="External" /><Relationship Id="rId36" Type="http://schemas.openxmlformats.org/officeDocument/2006/relationships/hyperlink" Target="https://link.springer.com/book/10.1007/978-1-4419-1005-9" TargetMode="External" /><Relationship Id="rId49" Type="http://schemas.openxmlformats.org/officeDocument/2006/relationships/hyperlink" Target="https://www.nice.org.uk" TargetMode="External" /><Relationship Id="rId57" Type="http://schemas.openxmlformats.org/officeDocument/2006/relationships/hyperlink" Target="https://doi.org/10.1002/9780470754887" TargetMode="External" /><Relationship Id="rId10" Type="http://schemas.openxmlformats.org/officeDocument/2006/relationships/hyperlink" Target="https://commons.emich.edu/loexquarterly/vol31/iss3/4/" TargetMode="External" /><Relationship Id="rId31" Type="http://schemas.openxmlformats.org/officeDocument/2006/relationships/hyperlink" Target="https://www.worldcat.org/title/10147702" TargetMode="External" /><Relationship Id="rId44" Type="http://schemas.openxmlformats.org/officeDocument/2006/relationships/hyperlink" Target="https://www.england.nhs.uk/ournhspeople/peoplepromise/" TargetMode="External" /><Relationship Id="rId52" Type="http://schemas.openxmlformats.org/officeDocument/2006/relationships/hyperlink" Target="https://www.oecd.org/coronavirus/policy-responses" TargetMode="External" /><Relationship Id="rId60" Type="http://schemas.openxmlformats.org/officeDocument/2006/relationships/hyperlink" Target="https://www.rcgp.org.uk/~/media/Files/Policy/A-Z-policy/2020/RCGP-General-Practice-post-Covid.ashx" TargetMode="External" /><Relationship Id="rId65" Type="http://schemas.openxmlformats.org/officeDocument/2006/relationships/hyperlink" Target="https://www.cambridge.org/core/journals/european-psychiatry/article/impact-of-coronavirus-syndrome-2019-covid19-on-the-mental-health-of-health-care-workers/" TargetMode="External" /><Relationship Id="rId73" Type="http://schemas.openxmlformats.org/officeDocument/2006/relationships/hyperlink" Target="https://doi.org/10.1016/j.jbusres.2019.07.039" TargetMode="External" /><Relationship Id="rId78" Type="http://schemas.openxmlformats.org/officeDocument/2006/relationships/hyperlink" Target="https://doi.org/10.1093/intqhc/mzm042" TargetMode="External" /><Relationship Id="rId81" Type="http://schemas.openxmlformats.org/officeDocument/2006/relationships/hyperlink" Target="https://doi.org/10.1007/s40200-020-00643-9" TargetMode="External" /><Relationship Id="rId8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9744</Words>
  <Characters>55541</Characters>
  <Application>Microsoft Office Word</Application>
  <DocSecurity>0</DocSecurity>
  <Lines>462</Lines>
  <Paragraphs>130</Paragraphs>
  <ScaleCrop>false</ScaleCrop>
  <Company>MRT www.Win2Farsi.com</Company>
  <LinksUpToDate>false</LinksUpToDate>
  <CharactersWithSpaces>65155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Shazia Shaban</cp:lastModifiedBy>
  <cp:revision>2</cp:revision>
  <dcterms:created xsi:type="dcterms:W3CDTF">2025-10-11T23:06:00Z</dcterms:created>
  <dcterms:modified xsi:type="dcterms:W3CDTF">2025-10-11T23:06:00Z</dcterms:modified>
</cp:coreProperties>
</file>