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auto"/>
          <w:sz w:val="22"/>
          <w:szCs w:val="22"/>
          <w:lang w:val="en-GB"/>
        </w:rPr>
        <w:id w:val="-2079583832"/>
        <w:docPartObj>
          <w:docPartGallery w:val="Table of Contents"/>
          <w:docPartUnique/>
        </w:docPartObj>
      </w:sdtPr>
      <w:sdtEndPr>
        <w:rPr>
          <w:b/>
          <w:bCs/>
          <w:noProof/>
        </w:rPr>
      </w:sdtEndPr>
      <w:sdtContent>
        <w:p w14:paraId="7266F08B" w14:textId="5601B057" w:rsidR="00374DC9" w:rsidRDefault="00374DC9" w:rsidP="00374DC9">
          <w:pPr>
            <w:pStyle w:val="TOCHeading"/>
          </w:pPr>
          <w:r>
            <w:rPr>
              <w:noProof/>
            </w:rPr>
            <mc:AlternateContent>
              <mc:Choice Requires="wpg">
                <w:drawing>
                  <wp:anchor distT="0" distB="0" distL="114300" distR="114300" simplePos="0" relativeHeight="251658240" behindDoc="1" locked="0" layoutInCell="1" allowOverlap="1" wp14:anchorId="52452E00" wp14:editId="7EAD365D">
                    <wp:simplePos x="0" y="0"/>
                    <wp:positionH relativeFrom="page">
                      <wp:posOffset>740410</wp:posOffset>
                    </wp:positionH>
                    <wp:positionV relativeFrom="page">
                      <wp:posOffset>812800</wp:posOffset>
                    </wp:positionV>
                    <wp:extent cx="5012055" cy="6828155"/>
                    <wp:effectExtent l="0" t="0" r="0" b="0"/>
                    <wp:wrapNone/>
                    <wp:docPr id="1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2055" cy="6828155"/>
                              <a:chOff x="1184" y="1160"/>
                              <a:chExt cx="8011" cy="9697"/>
                            </a:xfrm>
                          </wpg:grpSpPr>
                          <pic:pic xmlns:pic="http://schemas.openxmlformats.org/drawingml/2006/picture">
                            <pic:nvPicPr>
                              <pic:cNvPr id="18"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extLst>
                                <a:ext uri="{909E8E84-426E-40DD-AFC4-6F175D3DCCD1}">
                                  <a14:hiddenFill xmlns:a14="http://schemas.microsoft.com/office/drawing/2010/main">
                                    <a:solidFill>
                                      <a:srgbClr val="FFFFFF"/>
                                    </a:solidFill>
                                  </a14:hiddenFill>
                                </a:ext>
                              </a:extLst>
                            </pic:spPr>
                          </pic:pic>
                          <wps:wsp>
                            <wps:cNvPr id="20" name="AutoShape 42"/>
                            <wps:cNvSpPr>
                              <a:spLocks/>
                            </wps:cNvSpPr>
                            <wps:spPr bwMode="auto">
                              <a:xfrm>
                                <a:off x="5287" y="7548"/>
                                <a:ext cx="3908" cy="3309"/>
                              </a:xfrm>
                              <a:custGeom>
                                <a:avLst/>
                                <a:gdLst>
                                  <a:gd name="T0" fmla="*/ 2439 w 5385"/>
                                  <a:gd name="T1" fmla="*/ 4692 h 5380"/>
                                  <a:gd name="T2" fmla="*/ 1122 w 5385"/>
                                  <a:gd name="T3" fmla="*/ 4802 h 5380"/>
                                  <a:gd name="T4" fmla="*/ 851 w 5385"/>
                                  <a:gd name="T5" fmla="*/ 4938 h 5380"/>
                                  <a:gd name="T6" fmla="*/ 610 w 5385"/>
                                  <a:gd name="T7" fmla="*/ 5098 h 5380"/>
                                  <a:gd name="T8" fmla="*/ 402 w 5385"/>
                                  <a:gd name="T9" fmla="*/ 5294 h 5380"/>
                                  <a:gd name="T10" fmla="*/ 233 w 5385"/>
                                  <a:gd name="T11" fmla="*/ 5516 h 5380"/>
                                  <a:gd name="T12" fmla="*/ 107 w 5385"/>
                                  <a:gd name="T13" fmla="*/ 5762 h 5380"/>
                                  <a:gd name="T14" fmla="*/ 28 w 5385"/>
                                  <a:gd name="T15" fmla="*/ 6020 h 5380"/>
                                  <a:gd name="T16" fmla="*/ 0 w 5385"/>
                                  <a:gd name="T17" fmla="*/ 6303 h 5380"/>
                                  <a:gd name="T18" fmla="*/ 28 w 5385"/>
                                  <a:gd name="T19" fmla="*/ 6574 h 5380"/>
                                  <a:gd name="T20" fmla="*/ 107 w 5385"/>
                                  <a:gd name="T21" fmla="*/ 6844 h 5380"/>
                                  <a:gd name="T22" fmla="*/ 233 w 5385"/>
                                  <a:gd name="T23" fmla="*/ 7090 h 5380"/>
                                  <a:gd name="T24" fmla="*/ 402 w 5385"/>
                                  <a:gd name="T25" fmla="*/ 7312 h 5380"/>
                                  <a:gd name="T26" fmla="*/ 610 w 5385"/>
                                  <a:gd name="T27" fmla="*/ 7509 h 5380"/>
                                  <a:gd name="T28" fmla="*/ 851 w 5385"/>
                                  <a:gd name="T29" fmla="*/ 7669 h 5380"/>
                                  <a:gd name="T30" fmla="*/ 1169 w 5385"/>
                                  <a:gd name="T31" fmla="*/ 7816 h 5380"/>
                                  <a:gd name="T32" fmla="*/ 2690 w 5385"/>
                                  <a:gd name="T33" fmla="*/ 7841 h 5380"/>
                                  <a:gd name="T34" fmla="*/ 3014 w 5385"/>
                                  <a:gd name="T35" fmla="*/ 7693 h 5380"/>
                                  <a:gd name="T36" fmla="*/ 3241 w 5385"/>
                                  <a:gd name="T37" fmla="*/ 7546 h 5380"/>
                                  <a:gd name="T38" fmla="*/ 1480 w 5385"/>
                                  <a:gd name="T39" fmla="*/ 7484 h 5380"/>
                                  <a:gd name="T40" fmla="*/ 1155 w 5385"/>
                                  <a:gd name="T41" fmla="*/ 7349 h 5380"/>
                                  <a:gd name="T42" fmla="*/ 916 w 5385"/>
                                  <a:gd name="T43" fmla="*/ 7176 h 5380"/>
                                  <a:gd name="T44" fmla="*/ 722 w 5385"/>
                                  <a:gd name="T45" fmla="*/ 6980 h 5380"/>
                                  <a:gd name="T46" fmla="*/ 581 w 5385"/>
                                  <a:gd name="T47" fmla="*/ 6746 h 5380"/>
                                  <a:gd name="T48" fmla="*/ 501 w 5385"/>
                                  <a:gd name="T49" fmla="*/ 6488 h 5380"/>
                                  <a:gd name="T50" fmla="*/ 490 w 5385"/>
                                  <a:gd name="T51" fmla="*/ 6205 h 5380"/>
                                  <a:gd name="T52" fmla="*/ 548 w 5385"/>
                                  <a:gd name="T53" fmla="*/ 5946 h 5380"/>
                                  <a:gd name="T54" fmla="*/ 669 w 5385"/>
                                  <a:gd name="T55" fmla="*/ 5700 h 5380"/>
                                  <a:gd name="T56" fmla="*/ 845 w 5385"/>
                                  <a:gd name="T57" fmla="*/ 5491 h 5380"/>
                                  <a:gd name="T58" fmla="*/ 1070 w 5385"/>
                                  <a:gd name="T59" fmla="*/ 5307 h 5380"/>
                                  <a:gd name="T60" fmla="*/ 1335 w 5385"/>
                                  <a:gd name="T61" fmla="*/ 5171 h 5380"/>
                                  <a:gd name="T62" fmla="*/ 1790 w 5385"/>
                                  <a:gd name="T63" fmla="*/ 5061 h 5380"/>
                                  <a:gd name="T64" fmla="*/ 3057 w 5385"/>
                                  <a:gd name="T65" fmla="*/ 4938 h 5380"/>
                                  <a:gd name="T66" fmla="*/ 2787 w 5385"/>
                                  <a:gd name="T67" fmla="*/ 4802 h 5380"/>
                                  <a:gd name="T68" fmla="*/ 3248 w 5385"/>
                                  <a:gd name="T69" fmla="*/ 5061 h 5380"/>
                                  <a:gd name="T70" fmla="*/ 2526 w 5385"/>
                                  <a:gd name="T71" fmla="*/ 5159 h 5380"/>
                                  <a:gd name="T72" fmla="*/ 2796 w 5385"/>
                                  <a:gd name="T73" fmla="*/ 5282 h 5380"/>
                                  <a:gd name="T74" fmla="*/ 3028 w 5385"/>
                                  <a:gd name="T75" fmla="*/ 5454 h 5380"/>
                                  <a:gd name="T76" fmla="*/ 3213 w 5385"/>
                                  <a:gd name="T77" fmla="*/ 5663 h 5380"/>
                                  <a:gd name="T78" fmla="*/ 3344 w 5385"/>
                                  <a:gd name="T79" fmla="*/ 5897 h 5380"/>
                                  <a:gd name="T80" fmla="*/ 3413 w 5385"/>
                                  <a:gd name="T81" fmla="*/ 6168 h 5380"/>
                                  <a:gd name="T82" fmla="*/ 3413 w 5385"/>
                                  <a:gd name="T83" fmla="*/ 6438 h 5380"/>
                                  <a:gd name="T84" fmla="*/ 3344 w 5385"/>
                                  <a:gd name="T85" fmla="*/ 6709 h 5380"/>
                                  <a:gd name="T86" fmla="*/ 3213 w 5385"/>
                                  <a:gd name="T87" fmla="*/ 6943 h 5380"/>
                                  <a:gd name="T88" fmla="*/ 3028 w 5385"/>
                                  <a:gd name="T89" fmla="*/ 7152 h 5380"/>
                                  <a:gd name="T90" fmla="*/ 2796 w 5385"/>
                                  <a:gd name="T91" fmla="*/ 7324 h 5380"/>
                                  <a:gd name="T92" fmla="*/ 2478 w 5385"/>
                                  <a:gd name="T93" fmla="*/ 7459 h 5380"/>
                                  <a:gd name="T94" fmla="*/ 2064 w 5385"/>
                                  <a:gd name="T95" fmla="*/ 7546 h 5380"/>
                                  <a:gd name="T96" fmla="*/ 3407 w 5385"/>
                                  <a:gd name="T97" fmla="*/ 7410 h 5380"/>
                                  <a:gd name="T98" fmla="*/ 3596 w 5385"/>
                                  <a:gd name="T99" fmla="*/ 7201 h 5380"/>
                                  <a:gd name="T100" fmla="*/ 3744 w 5385"/>
                                  <a:gd name="T101" fmla="*/ 6967 h 5380"/>
                                  <a:gd name="T102" fmla="*/ 3847 w 5385"/>
                                  <a:gd name="T103" fmla="*/ 6709 h 5380"/>
                                  <a:gd name="T104" fmla="*/ 3901 w 5385"/>
                                  <a:gd name="T105" fmla="*/ 6438 h 5380"/>
                                  <a:gd name="T106" fmla="*/ 3901 w 5385"/>
                                  <a:gd name="T107" fmla="*/ 6155 h 5380"/>
                                  <a:gd name="T108" fmla="*/ 3847 w 5385"/>
                                  <a:gd name="T109" fmla="*/ 5885 h 5380"/>
                                  <a:gd name="T110" fmla="*/ 3744 w 5385"/>
                                  <a:gd name="T111" fmla="*/ 5639 h 5380"/>
                                  <a:gd name="T112" fmla="*/ 3596 w 5385"/>
                                  <a:gd name="T113" fmla="*/ 5405 h 5380"/>
                                  <a:gd name="T114" fmla="*/ 3407 w 5385"/>
                                  <a:gd name="T115" fmla="*/ 5196 h 5380"/>
                                  <a:gd name="T116" fmla="*/ 2282 w 5385"/>
                                  <a:gd name="T117" fmla="*/ 4667 h 5380"/>
                                  <a:gd name="T118" fmla="*/ 1734 w 5385"/>
                                  <a:gd name="T119" fmla="*/ 4655 h 5380"/>
                                  <a:gd name="T120" fmla="*/ 1788 w 5385"/>
                                  <a:gd name="T121" fmla="*/ 4655 h 5380"/>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4C7B95" id="Group 49" o:spid="_x0000_s1026" style="position:absolute;margin-left:58.3pt;margin-top:64pt;width:394.65pt;height:537.65pt;z-index:-251658240;mso-position-horizontal-relative:page;mso-position-vertical-relative:page" coordorigin="1184,1160" coordsize="8011,9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sof54OEAAAAMAQAADwAAAGRycy9kb3ducmV2&#10;LnhtbEyPQWvCQBCF74X+h2UKvdVNDAZNsxGRticpVAultzE7JsHsbsiuSfz3HU/1Nm/m8eZ7+Xoy&#10;rRio942zCuJZBIJs6XRjKwXfh/eXJQgf0GpsnSUFV/KwLh4fcsy0G+0XDftQCQ6xPkMFdQhdJqUv&#10;azLoZ64jy7eT6w0Gln0ldY8jh5tWzqMolQYbyx9q7GhbU3neX4yCjxHHTRK/DbvzaXv9PSw+f3Yx&#10;KfX8NG1eQQSawr8ZbviMDgUzHd3Fai9a1nGaspWH+ZJLsWMVLVYgjrdNlCQgi1zelyj+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">
                      <v:imagedata r:id="rId12" o:title=""/>
                    </v:shape>
                    <v:shape id="AutoShape 42" o:spid="_x0000_s1028"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1770,2886;814,2953;618,3037;443,3136;292,3256;169,3393;78,3544;20,3703;0,3877;20,4043;78,4209;169,4361;292,4497;443,4618;618,4717;848,4807;1952,4823;2187,4732;2352,4641;1074,4603;838,4520;665,4414;524,4293;422,4149;364,3990;356,3816;398,3657;486,3506;613,3377;777,3264;969,3180;1299,3113;2219,3037;2023,2953;2357,3113;1833,3173;2029,3249;2197,3355;2332,3483;2427,3627;2477,3794;2477,3960;2427,4126;2332,4270;2197,4399;2029,4505;1798,4588;1498,4641;2473,4558;2610,4429;2717,4285;2792,4126;2831,3960;2831,3786;2792,3620;2717,3468;2610,3324;2473,3196;1656,2870;1258,2863;1298,2863" o:connectangles="0,0,0,0,0,0,0,0,0,0,0,0,0,0,0,0,0,0,0,0,0,0,0,0,0,0,0,0,0,0,0,0,0,0,0,0,0,0,0,0,0,0,0,0,0,0,0,0,0,0,0,0,0,0,0,0,0,0,0,0,0"/>
                    </v:shape>
                    <w10:wrap anchorx="page" anchory="page"/>
                  </v:group>
                </w:pict>
              </mc:Fallback>
            </mc:AlternateContent>
          </w:r>
        </w:p>
        <w:p w14:paraId="4F72F4F0" w14:textId="77777777" w:rsidR="00374DC9" w:rsidRDefault="00014EDF" w:rsidP="00374DC9">
          <w:pPr>
            <w:rPr>
              <w:b/>
              <w:bCs/>
              <w:noProof/>
            </w:rPr>
          </w:pPr>
        </w:p>
      </w:sdtContent>
    </w:sdt>
    <w:p w14:paraId="465815BD" w14:textId="70AA4701" w:rsidR="00E86F72" w:rsidRPr="00374DC9" w:rsidRDefault="0072235C" w:rsidP="00374DC9">
      <w:r>
        <w:rPr>
          <w:noProof/>
        </w:rPr>
        <mc:AlternateContent>
          <mc:Choice Requires="wps">
            <w:drawing>
              <wp:anchor distT="0" distB="0" distL="114300" distR="114300" simplePos="0" relativeHeight="251656192" behindDoc="1" locked="0" layoutInCell="1" allowOverlap="1" wp14:anchorId="1C9A5C3E" wp14:editId="3B696AD5">
                <wp:simplePos x="0" y="0"/>
                <wp:positionH relativeFrom="page">
                  <wp:posOffset>3821430</wp:posOffset>
                </wp:positionH>
                <wp:positionV relativeFrom="page">
                  <wp:posOffset>5213350</wp:posOffset>
                </wp:positionV>
                <wp:extent cx="415290" cy="41529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C83F0" id="Freeform: Shape 16" o:spid="_x0000_s1026" style="position:absolute;margin-left:300.9pt;margin-top:410.5pt;width:32.7pt;height:32.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3C46D524"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76E4D61B" w:rsidR="00E86F72" w:rsidRDefault="0072235C">
            <w:pPr>
              <w:pStyle w:val="TableParagraph"/>
              <w:spacing w:before="187"/>
              <w:ind w:left="200"/>
              <w:rPr>
                <w:b/>
                <w:sz w:val="28"/>
              </w:rPr>
            </w:pPr>
            <w:r>
              <w:rPr>
                <w:noProof/>
              </w:rPr>
              <mc:AlternateContent>
                <mc:Choice Requires="wpg">
                  <w:drawing>
                    <wp:anchor distT="0" distB="0" distL="114300" distR="114300" simplePos="0" relativeHeight="251657216" behindDoc="0" locked="0" layoutInCell="1" allowOverlap="1" wp14:anchorId="274787EC" wp14:editId="7BE40D72">
                      <wp:simplePos x="0" y="0"/>
                      <wp:positionH relativeFrom="column">
                        <wp:posOffset>3049270</wp:posOffset>
                      </wp:positionH>
                      <wp:positionV relativeFrom="paragraph">
                        <wp:posOffset>791210</wp:posOffset>
                      </wp:positionV>
                      <wp:extent cx="2641600" cy="25082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91F324" id="Group 15" o:spid="_x0000_s1026" style="position:absolute;margin-left:240.1pt;margin-top:62.3pt;width:208pt;height:197.5pt;z-index:251657216;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D38BB9" w:rsidR="00124F03" w:rsidRPr="00980D08" w:rsidRDefault="00124F03" w:rsidP="00593050">
            <w:pPr>
              <w:rPr>
                <w:sz w:val="22"/>
                <w:szCs w:val="22"/>
              </w:rPr>
            </w:pPr>
            <w:r w:rsidRPr="00980D08">
              <w:rPr>
                <w:sz w:val="22"/>
                <w:szCs w:val="22"/>
              </w:rPr>
              <w:t xml:space="preserve"> </w:t>
            </w:r>
            <w:r w:rsidR="00817832">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9F1B770" w:rsidR="00124F03" w:rsidRPr="00980D08" w:rsidRDefault="00817832"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3916FD02" w:rsidR="00124F03" w:rsidRPr="00980D08" w:rsidRDefault="00817832"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4864E7E4" w:rsidR="00124F03" w:rsidRPr="00980D08" w:rsidRDefault="005911F9" w:rsidP="00593050">
            <w:pPr>
              <w:rPr>
                <w:sz w:val="22"/>
                <w:szCs w:val="22"/>
              </w:rPr>
            </w:pPr>
            <w:r>
              <w:rPr>
                <w:sz w:val="22"/>
                <w:szCs w:val="22"/>
              </w:rPr>
              <w:t>CARMARTHEN</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030D3AA" w:rsidR="00124F03" w:rsidRPr="00980D08" w:rsidRDefault="00124F03" w:rsidP="00593050">
            <w:pPr>
              <w:rPr>
                <w:sz w:val="22"/>
                <w:szCs w:val="22"/>
              </w:rPr>
            </w:pPr>
            <w:r w:rsidRPr="00980D08">
              <w:rPr>
                <w:sz w:val="22"/>
                <w:szCs w:val="22"/>
              </w:rPr>
              <w:t xml:space="preserve"> </w:t>
            </w:r>
            <w:r w:rsidR="00C65000">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8C8A47B" w:rsidR="00124F03" w:rsidRPr="00980D08" w:rsidRDefault="00C65000" w:rsidP="00593050">
            <w:pPr>
              <w:rPr>
                <w:sz w:val="22"/>
                <w:szCs w:val="22"/>
              </w:rPr>
            </w:pPr>
            <w:r>
              <w:rPr>
                <w:sz w:val="22"/>
                <w:szCs w:val="22"/>
              </w:rPr>
              <w:t>6</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645AB9FB" w:rsidR="00124F03" w:rsidRPr="00980D08" w:rsidRDefault="00C65000" w:rsidP="00593050">
            <w:pPr>
              <w:rPr>
                <w:sz w:val="22"/>
                <w:szCs w:val="22"/>
              </w:rPr>
            </w:pPr>
            <w:r>
              <w:rPr>
                <w:sz w:val="22"/>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079DADF9" w:rsidR="00124F03" w:rsidRPr="00980D08" w:rsidRDefault="00C65000" w:rsidP="00593050">
            <w:pPr>
              <w:rPr>
                <w:sz w:val="22"/>
                <w:szCs w:val="22"/>
              </w:rPr>
            </w:pPr>
            <w:r>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727F07D" w:rsidR="00124F03" w:rsidRPr="00980D08" w:rsidRDefault="00C65000" w:rsidP="00593050">
            <w:pPr>
              <w:rPr>
                <w:sz w:val="22"/>
                <w:szCs w:val="22"/>
              </w:rPr>
            </w:pPr>
            <w:r>
              <w:rPr>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6241CCBE" w:rsidR="00124F03" w:rsidRPr="00980D08" w:rsidRDefault="00C65000" w:rsidP="00593050">
            <w:pPr>
              <w:rPr>
                <w:sz w:val="22"/>
                <w:szCs w:val="22"/>
              </w:rPr>
            </w:pPr>
            <w:r>
              <w:rPr>
                <w:sz w:val="22"/>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11586CFE" w:rsidR="00124F03" w:rsidRPr="00980D08" w:rsidRDefault="00C65000" w:rsidP="00593050">
            <w:pPr>
              <w:rPr>
                <w:sz w:val="22"/>
                <w:szCs w:val="22"/>
              </w:rPr>
            </w:pPr>
            <w:r>
              <w:rPr>
                <w:sz w:val="22"/>
                <w:szCs w:val="22"/>
              </w:rPr>
              <w:t>4</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C4F24C9" w:rsidR="00124F03" w:rsidRPr="00980D08" w:rsidRDefault="00124F03" w:rsidP="00593050">
            <w:pPr>
              <w:rPr>
                <w:sz w:val="22"/>
                <w:szCs w:val="22"/>
              </w:rPr>
            </w:pPr>
            <w:r w:rsidRPr="00980D08">
              <w:rPr>
                <w:sz w:val="22"/>
                <w:szCs w:val="22"/>
              </w:rPr>
              <w:t xml:space="preserve"> </w:t>
            </w:r>
            <w:r w:rsidR="005911F9">
              <w:rPr>
                <w:sz w:val="22"/>
                <w:szCs w:val="22"/>
              </w:rPr>
              <w:t>JONES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CFA0ACC" w:rsidR="00124F03" w:rsidRPr="00980D08" w:rsidRDefault="00124F03" w:rsidP="00593050">
            <w:pPr>
              <w:rPr>
                <w:sz w:val="22"/>
                <w:szCs w:val="22"/>
              </w:rPr>
            </w:pPr>
            <w:r w:rsidRPr="00980D08">
              <w:rPr>
                <w:sz w:val="22"/>
                <w:szCs w:val="22"/>
              </w:rPr>
              <w:t xml:space="preserve"> </w:t>
            </w:r>
            <w:r w:rsidR="00817832">
              <w:rPr>
                <w:sz w:val="22"/>
                <w:szCs w:val="22"/>
              </w:rPr>
              <w:t>T</w:t>
            </w:r>
            <w:r w:rsidR="005911F9">
              <w:rPr>
                <w:sz w:val="22"/>
                <w:szCs w:val="22"/>
              </w:rPr>
              <w:t>HOMAS</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0272779E" w:rsidR="00124F03" w:rsidRPr="00980D08" w:rsidRDefault="00817832" w:rsidP="00593050">
            <w:pPr>
              <w:rPr>
                <w:sz w:val="22"/>
                <w:szCs w:val="22"/>
              </w:rPr>
            </w:pPr>
            <w:r>
              <w:rPr>
                <w:sz w:val="22"/>
                <w:szCs w:val="22"/>
              </w:rPr>
              <w:t>08/11/2</w:t>
            </w:r>
            <w:r w:rsidR="00374DC9">
              <w:rPr>
                <w:sz w:val="22"/>
                <w:szCs w:val="22"/>
              </w:rPr>
              <w:t>02</w:t>
            </w:r>
            <w:r>
              <w:rPr>
                <w:sz w:val="22"/>
                <w:szCs w:val="22"/>
              </w:rPr>
              <w:t>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42835119" w:rsidR="00124F03" w:rsidRPr="00980D08" w:rsidRDefault="00374DC9" w:rsidP="00593050">
            <w:pPr>
              <w:rPr>
                <w:sz w:val="22"/>
                <w:szCs w:val="22"/>
              </w:rPr>
            </w:pPr>
            <w:r>
              <w:rPr>
                <w:sz w:val="22"/>
                <w:szCs w:val="22"/>
              </w:rPr>
              <w:t>04/12/2023</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3EA83103" w:rsidR="00124F03" w:rsidRPr="00980D08" w:rsidRDefault="00910134" w:rsidP="00593050">
            <w:pPr>
              <w:rPr>
                <w:sz w:val="22"/>
                <w:szCs w:val="22"/>
              </w:rPr>
            </w:pPr>
            <w:r>
              <w:rPr>
                <w:sz w:val="22"/>
                <w:szCs w:val="22"/>
              </w:rPr>
              <w:t>3696</w:t>
            </w:r>
          </w:p>
        </w:tc>
      </w:tr>
    </w:tbl>
    <w:p w14:paraId="07084062" w14:textId="77777777" w:rsidR="00D543D4" w:rsidRDefault="00D543D4" w:rsidP="00D543D4">
      <w:pPr>
        <w:pStyle w:val="BodyText"/>
        <w:spacing w:before="6" w:after="1"/>
        <w:rPr>
          <w:rFonts w:ascii="Times New Roman"/>
          <w:sz w:val="25"/>
        </w:rPr>
      </w:pPr>
    </w:p>
    <w:p w14:paraId="037E1899" w14:textId="2F03EEE4" w:rsidR="00817832" w:rsidRPr="002A6888" w:rsidRDefault="00D543D4" w:rsidP="002A6888">
      <w:pPr>
        <w:rPr>
          <w:b/>
          <w:color w:val="004146"/>
          <w:sz w:val="48"/>
        </w:rPr>
      </w:pPr>
      <w:r>
        <w:rPr>
          <w:b/>
          <w:color w:val="004146"/>
          <w:sz w:val="48"/>
        </w:rPr>
        <w:br w:type="page"/>
      </w:r>
    </w:p>
    <w:p w14:paraId="7BB407BE" w14:textId="2A6F314A" w:rsidR="00817832" w:rsidRPr="00BE46E6" w:rsidRDefault="00817832" w:rsidP="003D5E80">
      <w:pPr>
        <w:ind w:right="277"/>
        <w:contextualSpacing/>
      </w:pPr>
    </w:p>
    <w:p w14:paraId="2DDA4334" w14:textId="31C66A2A" w:rsidR="00817832" w:rsidRPr="00BE46E6" w:rsidRDefault="001D34F6" w:rsidP="003D5E80">
      <w:pPr>
        <w:ind w:right="277"/>
        <w:contextualSpacing/>
      </w:pPr>
      <w:r w:rsidRPr="00BE46E6">
        <w:t>In response to</w:t>
      </w:r>
      <w:r w:rsidR="00225473" w:rsidRPr="00BE46E6">
        <w:t xml:space="preserve"> the recent Senior Management meeting, I have prepared a report below, that will outline the essence of Evidence Based Practice and how it can support our decision making as an organisation. The benefits of adopting this thesis</w:t>
      </w:r>
      <w:r w:rsidR="00FA72EE" w:rsidRPr="00BE46E6">
        <w:t xml:space="preserve">, may help us </w:t>
      </w:r>
      <w:r w:rsidR="00240ADC" w:rsidRPr="00BE46E6">
        <w:t xml:space="preserve">achieve even greater success and provide us with confidence in knowing the way that we reach our conclusions are conducted in a transparent manner whilst </w:t>
      </w:r>
      <w:r w:rsidR="00FA72EE" w:rsidRPr="00BE46E6">
        <w:t>maintain</w:t>
      </w:r>
      <w:r w:rsidR="00E14D00" w:rsidRPr="00BE46E6">
        <w:t>ing</w:t>
      </w:r>
      <w:r w:rsidR="00FA72EE" w:rsidRPr="00BE46E6">
        <w:t xml:space="preserve"> our core values.</w:t>
      </w:r>
      <w:r w:rsidR="00AB2028" w:rsidRPr="00BE46E6">
        <w:t xml:space="preserve"> </w:t>
      </w:r>
    </w:p>
    <w:p w14:paraId="1EFEF2D6" w14:textId="068D6F5D" w:rsidR="00817832" w:rsidRPr="00BE46E6" w:rsidRDefault="00817832" w:rsidP="003D5E80">
      <w:pPr>
        <w:ind w:right="277"/>
        <w:contextualSpacing/>
      </w:pPr>
    </w:p>
    <w:p w14:paraId="7AF5EA32" w14:textId="13AA34C4" w:rsidR="00817832" w:rsidRPr="00BE46E6" w:rsidRDefault="00817832" w:rsidP="003D5E80">
      <w:pPr>
        <w:ind w:right="277"/>
        <w:contextualSpacing/>
      </w:pPr>
      <w:r w:rsidRPr="00BE46E6">
        <w:t xml:space="preserve">Evidence based practice is </w:t>
      </w:r>
      <w:r w:rsidR="004B384C" w:rsidRPr="00BE46E6">
        <w:t xml:space="preserve">a theory whereby we make the best decisions, or </w:t>
      </w:r>
      <w:r w:rsidR="00225473" w:rsidRPr="00BE46E6">
        <w:t>best-informed</w:t>
      </w:r>
      <w:r w:rsidR="004B384C" w:rsidRPr="00BE46E6">
        <w:t xml:space="preserve"> decisions using the</w:t>
      </w:r>
      <w:r w:rsidR="00F17793" w:rsidRPr="00BE46E6">
        <w:t xml:space="preserve"> best of the</w:t>
      </w:r>
      <w:r w:rsidR="004B384C" w:rsidRPr="00BE46E6">
        <w:t xml:space="preserve"> information available. </w:t>
      </w:r>
      <w:r w:rsidR="00225473" w:rsidRPr="00BE46E6">
        <w:t>This is an invaluable tool for p</w:t>
      </w:r>
      <w:r w:rsidR="004B384C" w:rsidRPr="00BE46E6">
        <w:t xml:space="preserve">eople </w:t>
      </w:r>
      <w:r w:rsidR="00225473" w:rsidRPr="00BE46E6">
        <w:t xml:space="preserve">practitioners in assessing </w:t>
      </w:r>
      <w:r w:rsidR="00EB2973" w:rsidRPr="00BE46E6">
        <w:t xml:space="preserve">how best to solve issues that arise in the workplace. It is a powerful tool that can accompany us in dealing with complex issues using the best sources available to us at that given time, to make a more informed decision. </w:t>
      </w:r>
    </w:p>
    <w:p w14:paraId="2675DD37" w14:textId="77777777" w:rsidR="00AD0D34" w:rsidRPr="00BE46E6" w:rsidRDefault="00514328" w:rsidP="00514328">
      <w:pPr>
        <w:ind w:right="277"/>
        <w:contextualSpacing/>
      </w:pPr>
      <w:r w:rsidRPr="00BE46E6">
        <w:t xml:space="preserve">The CIPD (Chartered Institute of Personnel and Development) members abide by a </w:t>
      </w:r>
      <w:r w:rsidRPr="00BE46E6">
        <w:rPr>
          <w:i/>
          <w:iCs/>
        </w:rPr>
        <w:t>Profession Map</w:t>
      </w:r>
      <w:r w:rsidRPr="00BE46E6">
        <w:rPr>
          <w:rStyle w:val="FootnoteReference"/>
          <w:i/>
          <w:iCs/>
        </w:rPr>
        <w:footnoteReference w:id="2"/>
      </w:r>
      <w:r w:rsidRPr="00BE46E6">
        <w:t xml:space="preserve">, that has Evidence-based at the core of its purpose (please see diagram below). By using Evidence-based methods, we can aim to get the desired outcomes </w:t>
      </w:r>
      <w:r w:rsidR="008D3362" w:rsidRPr="00BE46E6">
        <w:t xml:space="preserve">whilst maintaining a high level of professionalism. </w:t>
      </w:r>
      <w:r w:rsidR="00900B6C" w:rsidRPr="00BE46E6">
        <w:t xml:space="preserve">Often People professionals will work with senior leaders to drive a business forward, this is usually best displayed when an Evidence-based approach is adopted. </w:t>
      </w:r>
    </w:p>
    <w:p w14:paraId="6E214B5D" w14:textId="2F673C02" w:rsidR="00222B58" w:rsidRDefault="00514328" w:rsidP="00514328">
      <w:pPr>
        <w:ind w:right="277"/>
        <w:contextualSpacing/>
        <w:rPr>
          <w:b/>
          <w:bCs/>
        </w:rPr>
      </w:pPr>
      <w:r w:rsidRPr="00514328">
        <w:rPr>
          <w:b/>
          <w:bCs/>
          <w:noProof/>
        </w:rPr>
        <w:drawing>
          <wp:inline distT="0" distB="0" distL="0" distR="0" wp14:anchorId="028FE0B3" wp14:editId="7288C496">
            <wp:extent cx="3172265" cy="2850198"/>
            <wp:effectExtent l="0" t="0" r="9525" b="7620"/>
            <wp:docPr id="6" name="Picture 6" descr="diagram of the Profess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the Profession Ma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8708" cy="2855987"/>
                    </a:xfrm>
                    <a:prstGeom prst="rect">
                      <a:avLst/>
                    </a:prstGeom>
                    <a:noFill/>
                    <a:ln>
                      <a:noFill/>
                    </a:ln>
                  </pic:spPr>
                </pic:pic>
              </a:graphicData>
            </a:graphic>
          </wp:inline>
        </w:drawing>
      </w:r>
    </w:p>
    <w:p w14:paraId="3CBB00CF" w14:textId="77777777" w:rsidR="00FA7476" w:rsidRPr="00BE46E6" w:rsidRDefault="00FA7476" w:rsidP="00514328">
      <w:pPr>
        <w:ind w:right="277"/>
        <w:contextualSpacing/>
      </w:pPr>
    </w:p>
    <w:p w14:paraId="69DA48E1" w14:textId="77777777" w:rsidR="00422AE8" w:rsidRPr="00BE46E6" w:rsidRDefault="00422AE8" w:rsidP="00514328">
      <w:pPr>
        <w:ind w:right="277"/>
        <w:contextualSpacing/>
      </w:pPr>
    </w:p>
    <w:p w14:paraId="358ADEE2" w14:textId="22E61586" w:rsidR="0019705E" w:rsidRPr="00BE46E6" w:rsidRDefault="0019705E" w:rsidP="00514328">
      <w:pPr>
        <w:ind w:right="277"/>
        <w:contextualSpacing/>
      </w:pPr>
      <w:r w:rsidRPr="00BE46E6">
        <w:t>Evidence based practice and people professionals are slowly becoming intertwined</w:t>
      </w:r>
      <w:r w:rsidR="00C07D35" w:rsidRPr="00BE46E6">
        <w:t xml:space="preserve">. It is providing the profession with </w:t>
      </w:r>
      <w:proofErr w:type="gramStart"/>
      <w:r w:rsidR="00C07D35" w:rsidRPr="00BE46E6">
        <w:t>a</w:t>
      </w:r>
      <w:proofErr w:type="gramEnd"/>
      <w:r w:rsidR="00C07D35" w:rsidRPr="00BE46E6">
        <w:t xml:space="preserve"> kudos by adopting a widely used strategy that has existed for many a year across other fields. However, </w:t>
      </w:r>
      <w:r w:rsidR="00422AE8" w:rsidRPr="00BE46E6">
        <w:rPr>
          <w:u w:val="single"/>
        </w:rPr>
        <w:t>Susan Reid Elder</w:t>
      </w:r>
      <w:r w:rsidR="00422AE8" w:rsidRPr="00BE46E6">
        <w:t xml:space="preserve"> and</w:t>
      </w:r>
      <w:r w:rsidR="00422AE8" w:rsidRPr="00BE46E6">
        <w:rPr>
          <w:u w:val="single"/>
        </w:rPr>
        <w:t xml:space="preserve"> Moira </w:t>
      </w:r>
      <w:proofErr w:type="spellStart"/>
      <w:r w:rsidR="00422AE8" w:rsidRPr="00BE46E6">
        <w:rPr>
          <w:u w:val="single"/>
        </w:rPr>
        <w:t>Nikodem</w:t>
      </w:r>
      <w:proofErr w:type="spellEnd"/>
      <w:r w:rsidR="00422AE8" w:rsidRPr="00BE46E6">
        <w:t xml:space="preserve"> are cautious on how potentially weak the four main evidence sources available are to people professionals when </w:t>
      </w:r>
      <w:proofErr w:type="spellStart"/>
      <w:r w:rsidR="00422AE8" w:rsidRPr="00BE46E6">
        <w:t>strategising</w:t>
      </w:r>
      <w:proofErr w:type="spellEnd"/>
      <w:r w:rsidR="00422AE8" w:rsidRPr="00BE46E6">
        <w:t xml:space="preserve"> using Evidence Based Practice in their recent People Management article</w:t>
      </w:r>
      <w:r w:rsidR="00422AE8" w:rsidRPr="00BE46E6">
        <w:rPr>
          <w:rStyle w:val="FootnoteReference"/>
        </w:rPr>
        <w:footnoteReference w:id="3"/>
      </w:r>
      <w:r w:rsidR="00422AE8" w:rsidRPr="00BE46E6">
        <w:t>.</w:t>
      </w:r>
    </w:p>
    <w:p w14:paraId="60D51427" w14:textId="27BBC251" w:rsidR="00222B58" w:rsidRDefault="00222B58" w:rsidP="00514328">
      <w:pPr>
        <w:ind w:right="277"/>
        <w:contextualSpacing/>
      </w:pPr>
      <w:r w:rsidRPr="00BE46E6">
        <w:t xml:space="preserve">Perhaps the clearest examples of Evidence based practice in action is contained within the Judicial system. </w:t>
      </w:r>
      <w:r w:rsidR="00D90E0C" w:rsidRPr="00BE46E6">
        <w:t xml:space="preserve">For example: </w:t>
      </w:r>
      <w:r w:rsidRPr="00BE46E6">
        <w:rPr>
          <w:u w:val="single"/>
        </w:rPr>
        <w:t>Briner (2019)</w:t>
      </w:r>
      <w:r w:rsidR="007A2125" w:rsidRPr="00BE46E6">
        <w:rPr>
          <w:rStyle w:val="FootnoteReference"/>
        </w:rPr>
        <w:footnoteReference w:id="4"/>
      </w:r>
      <w:r w:rsidRPr="00BE46E6">
        <w:t xml:space="preserve"> </w:t>
      </w:r>
      <w:r w:rsidR="00D90E0C" w:rsidRPr="00BE46E6">
        <w:t xml:space="preserve">makes clear correlations between his hypothesis on Evidence Based Practice in his 2019 Journal Article and proving someone’s guilt in a courtroom. </w:t>
      </w:r>
      <w:r w:rsidR="00D90E0C" w:rsidRPr="00BE46E6">
        <w:rPr>
          <w:u w:val="single"/>
        </w:rPr>
        <w:t>Professor Briner</w:t>
      </w:r>
      <w:r w:rsidR="00D90E0C" w:rsidRPr="00BE46E6">
        <w:t xml:space="preserve"> </w:t>
      </w:r>
      <w:r w:rsidR="00E729FC" w:rsidRPr="00BE46E6">
        <w:t>refers</w:t>
      </w:r>
      <w:r w:rsidR="009C4196" w:rsidRPr="00BE46E6">
        <w:t xml:space="preserve"> to how valuable it is </w:t>
      </w:r>
      <w:r w:rsidR="00E729FC" w:rsidRPr="00BE46E6">
        <w:t xml:space="preserve">as a concept and </w:t>
      </w:r>
      <w:r w:rsidRPr="00BE46E6">
        <w:t xml:space="preserve">provides us with a clear breakdown, on how </w:t>
      </w:r>
      <w:r w:rsidR="007A2125" w:rsidRPr="00BE46E6">
        <w:t>Evidence</w:t>
      </w:r>
      <w:r w:rsidRPr="00BE46E6">
        <w:t xml:space="preserve"> Based Practice is not a n</w:t>
      </w:r>
      <w:r w:rsidR="007A2125" w:rsidRPr="00BE46E6">
        <w:t xml:space="preserve">ew phenomenon, neither is it required to be carried out by someone with professional standing; most people carry out </w:t>
      </w:r>
      <w:r w:rsidR="007A2125" w:rsidRPr="00BE46E6">
        <w:lastRenderedPageBreak/>
        <w:t xml:space="preserve">evidence-based practice in their </w:t>
      </w:r>
      <w:proofErr w:type="spellStart"/>
      <w:r w:rsidR="007A2125" w:rsidRPr="00BE46E6">
        <w:t>every day</w:t>
      </w:r>
      <w:proofErr w:type="spellEnd"/>
      <w:r w:rsidR="007A2125" w:rsidRPr="00BE46E6">
        <w:t xml:space="preserve"> lives. </w:t>
      </w:r>
      <w:r w:rsidR="00E729FC" w:rsidRPr="00BE46E6">
        <w:t>By “Making a Conscientious, Explicit and Judicious use of the best available evidence</w:t>
      </w:r>
      <w:r w:rsidR="00E729FC" w:rsidRPr="00BE46E6">
        <w:rPr>
          <w:rStyle w:val="FootnoteReference"/>
        </w:rPr>
        <w:footnoteReference w:id="5"/>
      </w:r>
      <w:r w:rsidR="00E729FC" w:rsidRPr="00BE46E6">
        <w:t xml:space="preserve">” we should be looking at a greater quality pool of evidence at the end of our exercise. In gathering a wider range of evidence, it allows us to </w:t>
      </w:r>
      <w:r w:rsidR="00D90E0C" w:rsidRPr="00BE46E6">
        <w:t xml:space="preserve">make a greater informed opinion and support our decision making. </w:t>
      </w:r>
      <w:r w:rsidR="00C07D35" w:rsidRPr="00BE46E6">
        <w:t>Within criminal proceedings it is</w:t>
      </w:r>
      <w:r w:rsidR="00A56E37" w:rsidRPr="00BE46E6">
        <w:t xml:space="preserve"> probably the most </w:t>
      </w:r>
      <w:r w:rsidR="0025373D" w:rsidRPr="00BE46E6">
        <w:t xml:space="preserve">crucial instance whereby Evidence Based Practice plays a significant role, by supporting decision making when determining someone’s innocence/guilt.  </w:t>
      </w:r>
      <w:r w:rsidR="00A56E37" w:rsidRPr="00BE46E6">
        <w:t xml:space="preserve"> </w:t>
      </w:r>
      <w:r w:rsidR="00D90E0C" w:rsidRPr="00BE46E6">
        <w:t xml:space="preserve"> </w:t>
      </w:r>
    </w:p>
    <w:p w14:paraId="601E1FB3" w14:textId="77777777" w:rsidR="00514328" w:rsidRPr="00514328" w:rsidRDefault="00514328" w:rsidP="00514328">
      <w:pPr>
        <w:ind w:right="277"/>
        <w:contextualSpacing/>
        <w:rPr>
          <w:b/>
          <w:bCs/>
        </w:rPr>
      </w:pPr>
    </w:p>
    <w:p w14:paraId="1AC592C3" w14:textId="77777777" w:rsidR="003F54C8" w:rsidRPr="00BE46E6" w:rsidRDefault="00B5024C" w:rsidP="003F54C8">
      <w:pPr>
        <w:spacing w:before="120"/>
        <w:ind w:right="277"/>
        <w:contextualSpacing/>
        <w:rPr>
          <w:szCs w:val="20"/>
        </w:rPr>
      </w:pPr>
      <w:r w:rsidRPr="00BE46E6">
        <w:rPr>
          <w:szCs w:val="20"/>
        </w:rPr>
        <w:t>A significant analysis tool that may be used by organisations to solve/counter any problems and cultivate opportunities is that of the SWOT analysis</w:t>
      </w:r>
      <w:r w:rsidR="003F2682" w:rsidRPr="00BE46E6">
        <w:rPr>
          <w:rStyle w:val="FootnoteReference"/>
          <w:szCs w:val="20"/>
        </w:rPr>
        <w:footnoteReference w:id="6"/>
      </w:r>
      <w:r w:rsidRPr="00BE46E6">
        <w:rPr>
          <w:szCs w:val="20"/>
        </w:rPr>
        <w:t>. The SWOT analysis is simply</w:t>
      </w:r>
      <w:r w:rsidR="003D5E80" w:rsidRPr="00BE46E6">
        <w:rPr>
          <w:szCs w:val="20"/>
        </w:rPr>
        <w:t xml:space="preserve"> a method in which an organisation evaluates Strengths, </w:t>
      </w:r>
      <w:r w:rsidRPr="00BE46E6">
        <w:rPr>
          <w:szCs w:val="20"/>
        </w:rPr>
        <w:t>Weaknesses</w:t>
      </w:r>
      <w:r w:rsidR="003D5E80" w:rsidRPr="00BE46E6">
        <w:rPr>
          <w:szCs w:val="20"/>
        </w:rPr>
        <w:t xml:space="preserve">, </w:t>
      </w:r>
      <w:r w:rsidRPr="00BE46E6">
        <w:rPr>
          <w:szCs w:val="20"/>
        </w:rPr>
        <w:t>Opportunities</w:t>
      </w:r>
      <w:r w:rsidR="003D5E80" w:rsidRPr="00BE46E6">
        <w:rPr>
          <w:szCs w:val="20"/>
        </w:rPr>
        <w:t xml:space="preserve"> and </w:t>
      </w:r>
      <w:r w:rsidRPr="00BE46E6">
        <w:rPr>
          <w:szCs w:val="20"/>
        </w:rPr>
        <w:t>Threats</w:t>
      </w:r>
      <w:r w:rsidR="003D5E80" w:rsidRPr="00BE46E6">
        <w:rPr>
          <w:szCs w:val="20"/>
        </w:rPr>
        <w:t xml:space="preserve"> to their operation. These factors may be both internal and external when being assessed. </w:t>
      </w:r>
    </w:p>
    <w:p w14:paraId="5901C767" w14:textId="6B3579B8" w:rsidR="003F54C8" w:rsidRDefault="003F54C8" w:rsidP="003F54C8">
      <w:pPr>
        <w:spacing w:before="120"/>
        <w:ind w:right="277"/>
        <w:contextualSpacing/>
        <w:rPr>
          <w:szCs w:val="20"/>
        </w:rPr>
      </w:pPr>
      <w:r w:rsidRPr="00BE46E6">
        <w:rPr>
          <w:szCs w:val="20"/>
        </w:rPr>
        <w:t>SWOT has been widely debated by academics</w:t>
      </w:r>
      <w:r w:rsidR="0070466E" w:rsidRPr="00BE46E6">
        <w:rPr>
          <w:szCs w:val="20"/>
        </w:rPr>
        <w:t xml:space="preserve"> </w:t>
      </w:r>
      <w:r w:rsidR="0070466E" w:rsidRPr="00BE46E6">
        <w:rPr>
          <w:szCs w:val="20"/>
          <w:u w:val="single"/>
        </w:rPr>
        <w:t xml:space="preserve">Thomas J. </w:t>
      </w:r>
      <w:proofErr w:type="spellStart"/>
      <w:r w:rsidR="0070466E" w:rsidRPr="00BE46E6">
        <w:rPr>
          <w:szCs w:val="20"/>
          <w:u w:val="single"/>
        </w:rPr>
        <w:t>Chermack</w:t>
      </w:r>
      <w:proofErr w:type="spellEnd"/>
      <w:r w:rsidR="0070466E" w:rsidRPr="0043794E">
        <w:rPr>
          <w:szCs w:val="20"/>
        </w:rPr>
        <w:t xml:space="preserve"> &amp; </w:t>
      </w:r>
      <w:r w:rsidR="0070466E" w:rsidRPr="00BE46E6">
        <w:rPr>
          <w:szCs w:val="20"/>
          <w:u w:val="single"/>
        </w:rPr>
        <w:t xml:space="preserve">Bernadette K. </w:t>
      </w:r>
      <w:proofErr w:type="spellStart"/>
      <w:r w:rsidR="0070466E" w:rsidRPr="00BE46E6">
        <w:rPr>
          <w:szCs w:val="20"/>
          <w:u w:val="single"/>
        </w:rPr>
        <w:t>Kasshanna</w:t>
      </w:r>
      <w:proofErr w:type="spellEnd"/>
      <w:r w:rsidRPr="00BE46E6">
        <w:rPr>
          <w:szCs w:val="20"/>
        </w:rPr>
        <w:t xml:space="preserve"> in </w:t>
      </w:r>
      <w:r w:rsidR="0070466E" w:rsidRPr="00BE46E6">
        <w:rPr>
          <w:szCs w:val="20"/>
        </w:rPr>
        <w:t xml:space="preserve">their 2007 article </w:t>
      </w:r>
      <w:r w:rsidR="0070466E" w:rsidRPr="0043794E">
        <w:rPr>
          <w:i/>
          <w:iCs/>
          <w:szCs w:val="20"/>
          <w:u w:val="single"/>
        </w:rPr>
        <w:t>The Use and Misuses of SWOT Analysis and Implications for HRD Professionals</w:t>
      </w:r>
      <w:r w:rsidR="0070466E" w:rsidRPr="00BE46E6">
        <w:rPr>
          <w:rStyle w:val="FootnoteReference"/>
          <w:i/>
          <w:iCs/>
          <w:szCs w:val="20"/>
        </w:rPr>
        <w:footnoteReference w:id="7"/>
      </w:r>
      <w:r w:rsidR="0070466E" w:rsidRPr="00BE46E6">
        <w:rPr>
          <w:szCs w:val="20"/>
        </w:rPr>
        <w:t xml:space="preserve"> and </w:t>
      </w:r>
      <w:r w:rsidRPr="00BE46E6">
        <w:rPr>
          <w:szCs w:val="20"/>
        </w:rPr>
        <w:t xml:space="preserve">how </w:t>
      </w:r>
      <w:r w:rsidR="003C367A" w:rsidRPr="00BE46E6">
        <w:rPr>
          <w:szCs w:val="20"/>
        </w:rPr>
        <w:t>SWOT</w:t>
      </w:r>
      <w:r w:rsidRPr="00BE46E6">
        <w:rPr>
          <w:szCs w:val="20"/>
        </w:rPr>
        <w:t xml:space="preserve"> was previously </w:t>
      </w:r>
      <w:r w:rsidR="00D75E50" w:rsidRPr="00BE46E6">
        <w:rPr>
          <w:szCs w:val="20"/>
        </w:rPr>
        <w:t>adopted by companies to</w:t>
      </w:r>
      <w:r w:rsidR="0070466E" w:rsidRPr="00BE46E6">
        <w:rPr>
          <w:szCs w:val="20"/>
        </w:rPr>
        <w:t xml:space="preserve"> develop strategy, </w:t>
      </w:r>
      <w:r w:rsidR="00D75E50" w:rsidRPr="00BE46E6">
        <w:rPr>
          <w:szCs w:val="20"/>
        </w:rPr>
        <w:t xml:space="preserve">only then be misused </w:t>
      </w:r>
      <w:r w:rsidR="0070466E" w:rsidRPr="00BE46E6">
        <w:rPr>
          <w:szCs w:val="20"/>
        </w:rPr>
        <w:t>to “justify courses of action that have already been decided</w:t>
      </w:r>
      <w:r w:rsidR="0070466E" w:rsidRPr="00BE46E6">
        <w:rPr>
          <w:rStyle w:val="FootnoteReference"/>
          <w:szCs w:val="20"/>
        </w:rPr>
        <w:footnoteReference w:id="8"/>
      </w:r>
      <w:r w:rsidR="0070466E" w:rsidRPr="00BE46E6">
        <w:rPr>
          <w:szCs w:val="20"/>
        </w:rPr>
        <w:t xml:space="preserve">.” Even though it was published in 2007 when companies’ performance </w:t>
      </w:r>
      <w:r w:rsidR="003C367A" w:rsidRPr="00BE46E6">
        <w:rPr>
          <w:szCs w:val="20"/>
        </w:rPr>
        <w:t>was</w:t>
      </w:r>
      <w:r w:rsidR="0070466E" w:rsidRPr="00BE46E6">
        <w:rPr>
          <w:szCs w:val="20"/>
        </w:rPr>
        <w:t xml:space="preserve"> not as measured by data driven metrics that are as common place as they are today, it is still </w:t>
      </w:r>
      <w:r w:rsidR="003C367A" w:rsidRPr="00BE46E6">
        <w:rPr>
          <w:szCs w:val="20"/>
        </w:rPr>
        <w:t>of relevance in how both academics determined Human Resource Development</w:t>
      </w:r>
      <w:r w:rsidR="0070466E" w:rsidRPr="00BE46E6">
        <w:rPr>
          <w:szCs w:val="20"/>
        </w:rPr>
        <w:t xml:space="preserve"> </w:t>
      </w:r>
      <w:r w:rsidR="003C367A" w:rsidRPr="00BE46E6">
        <w:rPr>
          <w:szCs w:val="20"/>
        </w:rPr>
        <w:t xml:space="preserve">teams relied on this analysis tool to provide the basis of measuring a company’s performance and potentially leading to a change in strategy to thrive or survive in forever changing environments within their industry.  </w:t>
      </w:r>
    </w:p>
    <w:p w14:paraId="0D3F8AE2" w14:textId="32CCB08C" w:rsidR="00B5024C" w:rsidRDefault="008F5AA7" w:rsidP="003D5E80">
      <w:pPr>
        <w:spacing w:before="120"/>
        <w:ind w:right="277"/>
        <w:contextualSpacing/>
        <w:rPr>
          <w:szCs w:val="20"/>
        </w:rPr>
      </w:pPr>
      <w:r>
        <w:rPr>
          <w:szCs w:val="20"/>
        </w:rPr>
        <w:t xml:space="preserve">This analysis method was developed further and came by way of </w:t>
      </w:r>
      <w:r w:rsidRPr="00851A7E">
        <w:rPr>
          <w:szCs w:val="20"/>
          <w:u w:val="single"/>
        </w:rPr>
        <w:t>Porter’s five forces strategy</w:t>
      </w:r>
      <w:r>
        <w:rPr>
          <w:szCs w:val="20"/>
        </w:rPr>
        <w:t>.</w:t>
      </w:r>
      <w:r>
        <w:rPr>
          <w:rStyle w:val="FootnoteReference"/>
          <w:szCs w:val="20"/>
        </w:rPr>
        <w:footnoteReference w:id="9"/>
      </w:r>
      <w:r>
        <w:rPr>
          <w:szCs w:val="20"/>
        </w:rPr>
        <w:t xml:space="preserve"> </w:t>
      </w:r>
      <w:r w:rsidRPr="008F5AA7">
        <w:rPr>
          <w:szCs w:val="20"/>
          <w:u w:val="single"/>
        </w:rPr>
        <w:t>Michael Porter</w:t>
      </w:r>
      <w:r>
        <w:rPr>
          <w:szCs w:val="20"/>
        </w:rPr>
        <w:t xml:space="preserve"> devised that businesses needed to assess against market forces and competition to survive and thrive within their chosen industry. </w:t>
      </w:r>
      <w:r w:rsidR="00851792">
        <w:rPr>
          <w:szCs w:val="20"/>
        </w:rPr>
        <w:t>Porter’s five sources that shape strategy are:</w:t>
      </w:r>
      <w:r>
        <w:rPr>
          <w:szCs w:val="20"/>
        </w:rPr>
        <w:t xml:space="preserve"> the market force is driven by competitive rivalry, supplier power, buyer power, the threat of substitution and the treat of new entry. </w:t>
      </w:r>
      <w:r w:rsidR="00851792">
        <w:rPr>
          <w:szCs w:val="20"/>
        </w:rPr>
        <w:t xml:space="preserve">If any of these forces are imbalanced, then it may cause a business to decline or see profits decrease, or at the very worst; be put out of business. </w:t>
      </w:r>
    </w:p>
    <w:p w14:paraId="5A62C551" w14:textId="77777777" w:rsidR="008F5AA7" w:rsidRPr="00BE46E6" w:rsidRDefault="008F5AA7" w:rsidP="003D5E80">
      <w:pPr>
        <w:spacing w:before="120"/>
        <w:ind w:right="277"/>
        <w:contextualSpacing/>
        <w:rPr>
          <w:szCs w:val="20"/>
        </w:rPr>
      </w:pPr>
    </w:p>
    <w:p w14:paraId="6D823F05" w14:textId="621CA425" w:rsidR="003D5E80" w:rsidRDefault="003D5E80" w:rsidP="003D5E80">
      <w:pPr>
        <w:spacing w:before="120"/>
        <w:ind w:right="277"/>
        <w:contextualSpacing/>
        <w:rPr>
          <w:szCs w:val="20"/>
        </w:rPr>
      </w:pPr>
      <w:r w:rsidRPr="00BE46E6">
        <w:rPr>
          <w:szCs w:val="20"/>
        </w:rPr>
        <w:t xml:space="preserve">Another analysis method </w:t>
      </w:r>
      <w:r w:rsidR="00630A05" w:rsidRPr="00BE46E6">
        <w:rPr>
          <w:szCs w:val="20"/>
        </w:rPr>
        <w:t>to be considered, is the PESTLE analysis</w:t>
      </w:r>
      <w:r w:rsidR="00920C06" w:rsidRPr="00BE46E6">
        <w:rPr>
          <w:rStyle w:val="FootnoteReference"/>
          <w:szCs w:val="20"/>
        </w:rPr>
        <w:footnoteReference w:id="10"/>
      </w:r>
      <w:r w:rsidR="00630A05" w:rsidRPr="00BE46E6">
        <w:rPr>
          <w:szCs w:val="20"/>
        </w:rPr>
        <w:t xml:space="preserve">. However, this is primarily linked to external factors that may affect </w:t>
      </w:r>
      <w:r w:rsidR="00920C06" w:rsidRPr="00BE46E6">
        <w:rPr>
          <w:szCs w:val="20"/>
        </w:rPr>
        <w:t>their</w:t>
      </w:r>
      <w:r w:rsidR="00630A05" w:rsidRPr="00BE46E6">
        <w:rPr>
          <w:szCs w:val="20"/>
        </w:rPr>
        <w:t xml:space="preserve"> operations. </w:t>
      </w:r>
      <w:r w:rsidR="00920C06" w:rsidRPr="00BE46E6">
        <w:rPr>
          <w:szCs w:val="20"/>
        </w:rPr>
        <w:t xml:space="preserve">PESTLE is an acronym that stands for Political, Economic, Sociological, Technological, Legal and Environmental. These such factors can impact </w:t>
      </w:r>
      <w:r w:rsidR="00D65610" w:rsidRPr="00BE46E6">
        <w:rPr>
          <w:szCs w:val="20"/>
        </w:rPr>
        <w:t>heavily on how an organisation may try to deal with complex issues.</w:t>
      </w:r>
      <w:r w:rsidR="00072004">
        <w:rPr>
          <w:szCs w:val="20"/>
        </w:rPr>
        <w:t xml:space="preserve"> This type of analysis is usually conducted via </w:t>
      </w:r>
      <w:r w:rsidR="00F8422C">
        <w:rPr>
          <w:szCs w:val="20"/>
        </w:rPr>
        <w:t xml:space="preserve">brainstorming sessions as part of a wider team to look at the issue at hand holistically. </w:t>
      </w:r>
    </w:p>
    <w:p w14:paraId="3D9F8767" w14:textId="2C1A3C95" w:rsidR="0043794E" w:rsidRDefault="0043794E" w:rsidP="003D5E80">
      <w:pPr>
        <w:spacing w:before="120"/>
        <w:ind w:right="277"/>
        <w:contextualSpacing/>
        <w:rPr>
          <w:szCs w:val="20"/>
        </w:rPr>
      </w:pPr>
    </w:p>
    <w:p w14:paraId="7B5E4CDA" w14:textId="2FF30D6D" w:rsidR="00920ADB" w:rsidRDefault="00920ADB" w:rsidP="00920ADB">
      <w:pPr>
        <w:pStyle w:val="BodyText"/>
        <w:spacing w:before="162" w:line="264" w:lineRule="auto"/>
        <w:ind w:right="277"/>
        <w:jc w:val="both"/>
      </w:pPr>
      <w:r>
        <w:t xml:space="preserve">The main </w:t>
      </w:r>
      <w:proofErr w:type="gramStart"/>
      <w:r w:rsidR="0015295C">
        <w:t>principles</w:t>
      </w:r>
      <w:proofErr w:type="gramEnd"/>
      <w:r>
        <w:t xml:space="preserve"> of critical thinking is</w:t>
      </w:r>
      <w:r w:rsidR="0015295C">
        <w:t xml:space="preserve">: </w:t>
      </w:r>
      <w:r w:rsidRPr="00920ADB">
        <w:t xml:space="preserve">Critiquing the arguments of others, how arguments are constructed and how critical thinking techniques </w:t>
      </w:r>
      <w:r>
        <w:t xml:space="preserve">impact </w:t>
      </w:r>
      <w:r w:rsidR="0015295C">
        <w:t xml:space="preserve">on others. There is an onus on people professionals to ensure that they have evidenced the principles when they come to portraying their case to a senior management team for example. </w:t>
      </w:r>
      <w:r w:rsidR="00DD1B07">
        <w:t xml:space="preserve">This is usually evidenced well and provided </w:t>
      </w:r>
      <w:r w:rsidR="00DD1B07">
        <w:lastRenderedPageBreak/>
        <w:t xml:space="preserve">by way of a business case that promotes change in a workplace. For this to take greater effect, it must be clear, concise and provide a senior management team/wider stakeholder with confidence that the objective will lead to a more positive outcome than what they currently have. Along with this, the consequences have been acknowledged and weighted against the evidence of making a well evidence based and sound </w:t>
      </w:r>
      <w:r w:rsidR="006E0A6A">
        <w:t>decision-making</w:t>
      </w:r>
      <w:r w:rsidR="00DD1B07">
        <w:t xml:space="preserve"> decision. </w:t>
      </w:r>
    </w:p>
    <w:p w14:paraId="1A56D4BC" w14:textId="3B17B432" w:rsidR="00DD163E" w:rsidRPr="00920ADB" w:rsidRDefault="00DD163E" w:rsidP="00920ADB">
      <w:pPr>
        <w:pStyle w:val="BodyText"/>
        <w:spacing w:before="162" w:line="264" w:lineRule="auto"/>
        <w:ind w:right="277"/>
        <w:jc w:val="both"/>
      </w:pPr>
      <w:r>
        <w:t>In the modern age, we have seen the rise of fake news and influencers taking centre stage, this has led to</w:t>
      </w:r>
      <w:r w:rsidR="00C34B93">
        <w:t xml:space="preserve"> much</w:t>
      </w:r>
      <w:r>
        <w:t xml:space="preserve"> distrust </w:t>
      </w:r>
      <w:r w:rsidR="00C34B93">
        <w:t>in how we consume our news and take facts at face-value. It is significant that the validity of statements that form the basis of our decision-making process. LinkedIn now provide a course on the importance of critical thinking</w:t>
      </w:r>
      <w:r w:rsidR="00C34B93">
        <w:rPr>
          <w:rStyle w:val="FootnoteReference"/>
        </w:rPr>
        <w:footnoteReference w:id="11"/>
      </w:r>
      <w:r w:rsidR="00C34B93">
        <w:t xml:space="preserve"> </w:t>
      </w:r>
      <w:r w:rsidR="00795151">
        <w:t xml:space="preserve">and how without assessing the problem, or not questioning the information presented can lead to us unintentionally accepting the information provided at face-value.  </w:t>
      </w:r>
    </w:p>
    <w:p w14:paraId="1F6FC7D4" w14:textId="78E12598" w:rsidR="002D7F75" w:rsidRPr="00BE46E6" w:rsidRDefault="002D7F75" w:rsidP="002D7F75">
      <w:pPr>
        <w:spacing w:before="120"/>
        <w:ind w:right="277"/>
        <w:contextualSpacing/>
        <w:rPr>
          <w:szCs w:val="20"/>
        </w:rPr>
      </w:pPr>
      <w:r w:rsidRPr="00BE46E6">
        <w:rPr>
          <w:szCs w:val="20"/>
        </w:rPr>
        <w:t xml:space="preserve">Perhaps the most famous </w:t>
      </w:r>
      <w:r w:rsidR="00F5298A" w:rsidRPr="00BE46E6">
        <w:rPr>
          <w:szCs w:val="20"/>
        </w:rPr>
        <w:t xml:space="preserve">theorem </w:t>
      </w:r>
      <w:r w:rsidR="002E7A81" w:rsidRPr="00BE46E6">
        <w:rPr>
          <w:szCs w:val="20"/>
        </w:rPr>
        <w:t>when faced with a decision-making dilemma</w:t>
      </w:r>
      <w:r w:rsidRPr="00BE46E6">
        <w:rPr>
          <w:szCs w:val="20"/>
        </w:rPr>
        <w:t xml:space="preserve"> and widely available to any organisation is best defined by </w:t>
      </w:r>
      <w:r w:rsidRPr="00BE46E6">
        <w:rPr>
          <w:szCs w:val="20"/>
          <w:u w:val="single"/>
        </w:rPr>
        <w:t>Dr Edward De Bono’s</w:t>
      </w:r>
      <w:r w:rsidRPr="00BE46E6">
        <w:rPr>
          <w:szCs w:val="20"/>
        </w:rPr>
        <w:t xml:space="preserve"> ‘Six Hats theory’.</w:t>
      </w:r>
      <w:r w:rsidRPr="00BE46E6">
        <w:rPr>
          <w:rStyle w:val="FootnoteReference"/>
          <w:szCs w:val="20"/>
        </w:rPr>
        <w:footnoteReference w:id="12"/>
      </w:r>
      <w:r w:rsidRPr="00BE46E6">
        <w:rPr>
          <w:szCs w:val="20"/>
        </w:rPr>
        <w:t xml:space="preserve"> This approach is intended to place the decisionmaker in an alternative frame of mind, the same as each coloured hat they represent. For example, the blue hat thinks of the process, the white hat values facts, the red hat is emotive, the green hat looks at it from a creativity viewpoint, the yellow hat focuses on benefits and the black hat is wearier, taking a negative view of a decision. </w:t>
      </w:r>
    </w:p>
    <w:p w14:paraId="1E51CB83" w14:textId="27884B52" w:rsidR="002D7F75" w:rsidRDefault="002D7F75" w:rsidP="002D7F75">
      <w:pPr>
        <w:spacing w:before="120"/>
        <w:ind w:right="277"/>
        <w:contextualSpacing/>
        <w:rPr>
          <w:szCs w:val="20"/>
        </w:rPr>
      </w:pPr>
      <w:r w:rsidRPr="00BE46E6">
        <w:rPr>
          <w:szCs w:val="20"/>
        </w:rPr>
        <w:t xml:space="preserve">Putting </w:t>
      </w:r>
      <w:r w:rsidRPr="00BE46E6">
        <w:rPr>
          <w:szCs w:val="20"/>
          <w:u w:val="single"/>
        </w:rPr>
        <w:t>De Bono’s</w:t>
      </w:r>
      <w:r w:rsidRPr="00BE46E6">
        <w:rPr>
          <w:rStyle w:val="FootnoteReference"/>
          <w:szCs w:val="20"/>
        </w:rPr>
        <w:footnoteReference w:id="13"/>
      </w:r>
      <w:r w:rsidRPr="00BE46E6">
        <w:rPr>
          <w:szCs w:val="20"/>
        </w:rPr>
        <w:t xml:space="preserve"> theory to action, this should enable the person with the quandary to adopt a different outlook and be more broadened on how their decision may land with others within an organisation. Each hat is as significant as the other, if emphasis is placed on one ahead of another, it may lead to conflict. </w:t>
      </w:r>
    </w:p>
    <w:p w14:paraId="32BE42C9" w14:textId="5B7D75EA" w:rsidR="0015295C" w:rsidRDefault="00CD42CF" w:rsidP="002D7F75">
      <w:pPr>
        <w:spacing w:before="120"/>
        <w:ind w:right="277"/>
        <w:contextualSpacing/>
        <w:rPr>
          <w:szCs w:val="20"/>
        </w:rPr>
      </w:pPr>
      <w:r>
        <w:rPr>
          <w:szCs w:val="20"/>
        </w:rPr>
        <w:t xml:space="preserve">Another decision-making process is </w:t>
      </w:r>
      <w:r w:rsidR="00C010BC">
        <w:rPr>
          <w:szCs w:val="20"/>
        </w:rPr>
        <w:t>provided</w:t>
      </w:r>
      <w:r w:rsidR="005A4155">
        <w:rPr>
          <w:szCs w:val="20"/>
        </w:rPr>
        <w:t xml:space="preserve"> by </w:t>
      </w:r>
      <w:r w:rsidR="005A4155" w:rsidRPr="005A4155">
        <w:rPr>
          <w:szCs w:val="20"/>
          <w:u w:val="single"/>
        </w:rPr>
        <w:t>Tannenbaum and Schmidt’s leadership continuum</w:t>
      </w:r>
      <w:r w:rsidR="005A4155" w:rsidRPr="00C010BC">
        <w:rPr>
          <w:rStyle w:val="FootnoteReference"/>
          <w:szCs w:val="20"/>
        </w:rPr>
        <w:footnoteReference w:id="14"/>
      </w:r>
      <w:r w:rsidR="005A4155" w:rsidRPr="00C010BC">
        <w:rPr>
          <w:szCs w:val="20"/>
        </w:rPr>
        <w:t xml:space="preserve"> (</w:t>
      </w:r>
      <w:r w:rsidR="005A4155">
        <w:rPr>
          <w:szCs w:val="20"/>
        </w:rPr>
        <w:t xml:space="preserve">please see </w:t>
      </w:r>
      <w:r w:rsidR="00C010BC">
        <w:rPr>
          <w:szCs w:val="20"/>
        </w:rPr>
        <w:t>diagram below)</w:t>
      </w:r>
      <w:r w:rsidR="00C010BC">
        <w:rPr>
          <w:rStyle w:val="FootnoteReference"/>
          <w:szCs w:val="20"/>
        </w:rPr>
        <w:footnoteReference w:id="15"/>
      </w:r>
      <w:r w:rsidR="00C010BC">
        <w:rPr>
          <w:szCs w:val="20"/>
        </w:rPr>
        <w:t>. It looks at seven different leadership styles and how the impact of each of the actions of the leader to a scenario can have on the team and performance. The continuum is measured from authoritative</w:t>
      </w:r>
      <w:r w:rsidR="00311988">
        <w:rPr>
          <w:szCs w:val="20"/>
        </w:rPr>
        <w:t xml:space="preserve"> on end of the spectrum</w:t>
      </w:r>
      <w:r w:rsidR="00C010BC">
        <w:rPr>
          <w:szCs w:val="20"/>
        </w:rPr>
        <w:t xml:space="preserve"> to </w:t>
      </w:r>
      <w:r w:rsidR="00311988">
        <w:rPr>
          <w:szCs w:val="20"/>
        </w:rPr>
        <w:t xml:space="preserve">one that is more ‘laissez-faire’ in attitude at the opposite end. The leader usually assesses each situation and acts in accordance with the leadership style that they feel most comfortable with. </w:t>
      </w:r>
      <w:r w:rsidR="00B36AD1">
        <w:rPr>
          <w:szCs w:val="20"/>
        </w:rPr>
        <w:t xml:space="preserve">The decision making has a direct affect </w:t>
      </w:r>
      <w:proofErr w:type="gramStart"/>
      <w:r w:rsidR="00B36AD1">
        <w:rPr>
          <w:szCs w:val="20"/>
        </w:rPr>
        <w:t>as a consequence of</w:t>
      </w:r>
      <w:proofErr w:type="gramEnd"/>
      <w:r w:rsidR="00B36AD1">
        <w:rPr>
          <w:szCs w:val="20"/>
        </w:rPr>
        <w:t xml:space="preserve"> the style of leadership depicted by the manager in this situation, positively or negatively. </w:t>
      </w:r>
      <w:r w:rsidR="00DE1319">
        <w:rPr>
          <w:szCs w:val="20"/>
        </w:rPr>
        <w:t xml:space="preserve">This direct impact will need to be determined by the decision-making ability of the manager, with </w:t>
      </w:r>
      <w:proofErr w:type="gramStart"/>
      <w:r w:rsidR="00DE1319">
        <w:rPr>
          <w:szCs w:val="20"/>
        </w:rPr>
        <w:t>particular considerations</w:t>
      </w:r>
      <w:proofErr w:type="gramEnd"/>
      <w:r w:rsidR="00DE1319">
        <w:rPr>
          <w:szCs w:val="20"/>
        </w:rPr>
        <w:t xml:space="preserve"> made to service, staff and stakeholders. </w:t>
      </w:r>
      <w:r w:rsidR="00B0580C">
        <w:rPr>
          <w:szCs w:val="20"/>
        </w:rPr>
        <w:t xml:space="preserve">In practice, if a manager is more </w:t>
      </w:r>
      <w:r w:rsidR="0088679C">
        <w:rPr>
          <w:szCs w:val="20"/>
        </w:rPr>
        <w:t>authoritarian</w:t>
      </w:r>
      <w:r w:rsidR="00B0580C">
        <w:rPr>
          <w:szCs w:val="20"/>
        </w:rPr>
        <w:t xml:space="preserve"> and tells their </w:t>
      </w:r>
      <w:r w:rsidR="0088679C">
        <w:rPr>
          <w:szCs w:val="20"/>
        </w:rPr>
        <w:t>colleagues</w:t>
      </w:r>
      <w:r w:rsidR="00B0580C">
        <w:rPr>
          <w:szCs w:val="20"/>
        </w:rPr>
        <w:t xml:space="preserve"> </w:t>
      </w:r>
      <w:r w:rsidR="0088679C">
        <w:rPr>
          <w:szCs w:val="20"/>
        </w:rPr>
        <w:t xml:space="preserve">exactly </w:t>
      </w:r>
      <w:r w:rsidR="00B0580C">
        <w:rPr>
          <w:szCs w:val="20"/>
        </w:rPr>
        <w:t>what to do</w:t>
      </w:r>
      <w:r w:rsidR="0088679C">
        <w:rPr>
          <w:szCs w:val="20"/>
        </w:rPr>
        <w:t xml:space="preserve"> and expects their colleagues to follow, it could be very problematic and lead to a lack of buy-in if the team feels they have little power to influence a decision if judged that the end result of them carrying out their duty leads to a poor result, that they must carry out, without the ability to be a part of the decision making process.  In direct opposition to this, if a manager decides to abdicate completely from providing the answer to a particular task and allows the team </w:t>
      </w:r>
      <w:r w:rsidR="00791134">
        <w:rPr>
          <w:szCs w:val="20"/>
        </w:rPr>
        <w:t>free reign</w:t>
      </w:r>
      <w:r w:rsidR="0088679C">
        <w:rPr>
          <w:szCs w:val="20"/>
        </w:rPr>
        <w:t xml:space="preserve"> to carry out their duty as they see fit, it could have a negative effect which will directly impact the manager as the </w:t>
      </w:r>
      <w:proofErr w:type="gramStart"/>
      <w:r w:rsidR="0088679C">
        <w:rPr>
          <w:szCs w:val="20"/>
        </w:rPr>
        <w:t>old adage</w:t>
      </w:r>
      <w:proofErr w:type="gramEnd"/>
      <w:r w:rsidR="0088679C">
        <w:rPr>
          <w:szCs w:val="20"/>
        </w:rPr>
        <w:t xml:space="preserve"> goes: ‘the buck stops with them.’</w:t>
      </w:r>
    </w:p>
    <w:p w14:paraId="6D9AAEF1" w14:textId="77777777" w:rsidR="00B0580C" w:rsidRDefault="00B0580C" w:rsidP="002D7F75">
      <w:pPr>
        <w:spacing w:before="120"/>
        <w:ind w:right="277"/>
        <w:contextualSpacing/>
        <w:rPr>
          <w:szCs w:val="20"/>
        </w:rPr>
      </w:pPr>
      <w:r>
        <w:rPr>
          <w:noProof/>
          <w:szCs w:val="20"/>
        </w:rPr>
        <w:lastRenderedPageBreak/>
        <w:drawing>
          <wp:inline distT="0" distB="0" distL="0" distR="0" wp14:anchorId="56190802" wp14:editId="19551337">
            <wp:extent cx="3708400" cy="1871133"/>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1421" cy="1902931"/>
                    </a:xfrm>
                    <a:prstGeom prst="rect">
                      <a:avLst/>
                    </a:prstGeom>
                    <a:noFill/>
                  </pic:spPr>
                </pic:pic>
              </a:graphicData>
            </a:graphic>
          </wp:inline>
        </w:drawing>
      </w:r>
    </w:p>
    <w:p w14:paraId="3E2B7AE6" w14:textId="1455D3A9" w:rsidR="00CE44F2" w:rsidRPr="00207CC3" w:rsidRDefault="00DE1319" w:rsidP="00207CC3">
      <w:pPr>
        <w:spacing w:before="120"/>
        <w:ind w:right="277"/>
        <w:contextualSpacing/>
        <w:rPr>
          <w:szCs w:val="20"/>
        </w:rPr>
      </w:pPr>
      <w:r>
        <w:rPr>
          <w:szCs w:val="20"/>
        </w:rPr>
        <w:t xml:space="preserve">This leads nicely into looking at the stakeholder analysis </w:t>
      </w:r>
      <w:r w:rsidR="00B4396F">
        <w:rPr>
          <w:szCs w:val="20"/>
        </w:rPr>
        <w:t>methods that provide us with decision-</w:t>
      </w:r>
      <w:r w:rsidR="00B0580C">
        <w:rPr>
          <w:szCs w:val="20"/>
        </w:rPr>
        <w:t>making</w:t>
      </w:r>
      <w:r w:rsidR="00B4396F">
        <w:rPr>
          <w:szCs w:val="20"/>
        </w:rPr>
        <w:t xml:space="preserve"> checklists that form the basis of decision-making and </w:t>
      </w:r>
      <w:r w:rsidR="00B0580C">
        <w:rPr>
          <w:szCs w:val="20"/>
        </w:rPr>
        <w:t xml:space="preserve">give justification for arriving at one conclusion over another. Stakeholder analysis </w:t>
      </w:r>
      <w:proofErr w:type="gramStart"/>
      <w:r w:rsidR="00F35E2D">
        <w:rPr>
          <w:szCs w:val="20"/>
        </w:rPr>
        <w:t>takes into account</w:t>
      </w:r>
      <w:proofErr w:type="gramEnd"/>
      <w:r w:rsidR="00F35E2D">
        <w:rPr>
          <w:szCs w:val="20"/>
        </w:rPr>
        <w:t xml:space="preserve"> the feeling of how a decision may land with a stakeholder at the heart of the decision-making process.</w:t>
      </w:r>
      <w:r w:rsidR="00B0580C">
        <w:rPr>
          <w:szCs w:val="20"/>
        </w:rPr>
        <w:t xml:space="preserve"> </w:t>
      </w:r>
    </w:p>
    <w:p w14:paraId="4802BA08" w14:textId="3D4C263A" w:rsidR="00F35E2D" w:rsidRDefault="00093016" w:rsidP="00F35E2D">
      <w:pPr>
        <w:pStyle w:val="BodyText"/>
        <w:spacing w:before="162" w:line="264" w:lineRule="auto"/>
        <w:ind w:right="277"/>
        <w:jc w:val="both"/>
      </w:pPr>
      <w:r w:rsidRPr="00093016">
        <w:t xml:space="preserve">There are </w:t>
      </w:r>
      <w:r>
        <w:t xml:space="preserve">a variety of ethical dilemmas that we consider and seek to abide by each day. Most are nurtured and collective beliefs that we follow as some sort of code. People practitioners are no different and seek to use the values of an organisation as the bedrock to promote the following of an overarching ethic ahead of another. </w:t>
      </w:r>
      <w:r w:rsidR="00094E9E">
        <w:t>The CIPD has studied this extensively and provided a broad review on ‘Eight different ethical perspectives on workplace dilemmas</w:t>
      </w:r>
      <w:r w:rsidR="00874A62">
        <w:t>’ in their 2015 Report.</w:t>
      </w:r>
      <w:r w:rsidR="00094E9E">
        <w:rPr>
          <w:rStyle w:val="FootnoteReference"/>
        </w:rPr>
        <w:footnoteReference w:id="16"/>
      </w:r>
      <w:r w:rsidR="00094E9E">
        <w:t xml:space="preserve"> </w:t>
      </w:r>
      <w:r w:rsidR="00874A62">
        <w:t>The report looked at 8 conflicting ethical lenses; “fairness, merit, markets, democracy, well-being, rights and duties, character, and handing down</w:t>
      </w:r>
      <w:r w:rsidR="00874A62">
        <w:rPr>
          <w:rStyle w:val="FootnoteReference"/>
        </w:rPr>
        <w:footnoteReference w:id="17"/>
      </w:r>
      <w:r w:rsidR="00874A62">
        <w:t xml:space="preserve">.” </w:t>
      </w:r>
      <w:r w:rsidR="00716D9C">
        <w:t xml:space="preserve">I will </w:t>
      </w:r>
      <w:r w:rsidR="00C52761">
        <w:t xml:space="preserve">further explain three perspectives in greater detail to show how they can be used it influence behaviour and decision-making. </w:t>
      </w:r>
    </w:p>
    <w:p w14:paraId="2D635457" w14:textId="1A1A18D2" w:rsidR="00C52761" w:rsidRDefault="0005400C" w:rsidP="00F35E2D">
      <w:pPr>
        <w:pStyle w:val="BodyText"/>
        <w:spacing w:before="162" w:line="264" w:lineRule="auto"/>
        <w:ind w:right="277"/>
        <w:jc w:val="both"/>
        <w:rPr>
          <w:rFonts w:asciiTheme="minorHAnsi" w:eastAsiaTheme="minorEastAsia" w:hAnsiTheme="minorHAnsi" w:cstheme="minorBidi"/>
        </w:rPr>
      </w:pPr>
      <w:r>
        <w:rPr>
          <w:rFonts w:asciiTheme="minorHAnsi" w:eastAsiaTheme="minorEastAsia" w:hAnsiTheme="minorHAnsi" w:cstheme="minorBidi"/>
        </w:rPr>
        <w:t xml:space="preserve">The first lens to consider is fairness; Using a personal example, ‘To be fair’ is one of Tai </w:t>
      </w:r>
      <w:proofErr w:type="spellStart"/>
      <w:r>
        <w:rPr>
          <w:rFonts w:asciiTheme="minorHAnsi" w:eastAsiaTheme="minorEastAsia" w:hAnsiTheme="minorHAnsi" w:cstheme="minorBidi"/>
        </w:rPr>
        <w:t>Tarian’s</w:t>
      </w:r>
      <w:proofErr w:type="spellEnd"/>
      <w:r>
        <w:rPr>
          <w:rFonts w:asciiTheme="minorHAnsi" w:eastAsiaTheme="minorEastAsia" w:hAnsiTheme="minorHAnsi" w:cstheme="minorBidi"/>
        </w:rPr>
        <w:t xml:space="preserve"> three recently re-branded values that hope to instil a culture within our organisation that pits fairness highly among the thinking and how </w:t>
      </w:r>
      <w:r w:rsidR="00D94176">
        <w:rPr>
          <w:rFonts w:asciiTheme="minorHAnsi" w:eastAsiaTheme="minorEastAsia" w:hAnsiTheme="minorHAnsi" w:cstheme="minorBidi"/>
        </w:rPr>
        <w:t>colleagues</w:t>
      </w:r>
      <w:r>
        <w:rPr>
          <w:rFonts w:asciiTheme="minorHAnsi" w:eastAsiaTheme="minorEastAsia" w:hAnsiTheme="minorHAnsi" w:cstheme="minorBidi"/>
        </w:rPr>
        <w:t xml:space="preserve"> act towards each other and with external stakeholders. </w:t>
      </w:r>
      <w:r w:rsidR="00D94176">
        <w:rPr>
          <w:rFonts w:asciiTheme="minorHAnsi" w:eastAsiaTheme="minorEastAsia" w:hAnsiTheme="minorHAnsi" w:cstheme="minorBidi"/>
        </w:rPr>
        <w:t xml:space="preserve">To be fair, is hoped to provide a positive action in the promoting of fairness, it is a broad approach that hopes to encompass a lot of what fairness leads </w:t>
      </w:r>
      <w:r w:rsidR="008F163B">
        <w:rPr>
          <w:rFonts w:asciiTheme="minorHAnsi" w:eastAsiaTheme="minorEastAsia" w:hAnsiTheme="minorHAnsi" w:cstheme="minorBidi"/>
        </w:rPr>
        <w:t>to</w:t>
      </w:r>
      <w:r w:rsidR="00D94176">
        <w:rPr>
          <w:rFonts w:asciiTheme="minorHAnsi" w:eastAsiaTheme="minorEastAsia" w:hAnsiTheme="minorHAnsi" w:cstheme="minorBidi"/>
        </w:rPr>
        <w:t xml:space="preserve"> equality. The equality </w:t>
      </w:r>
      <w:r w:rsidR="008F163B">
        <w:rPr>
          <w:rFonts w:asciiTheme="minorHAnsi" w:eastAsiaTheme="minorEastAsia" w:hAnsiTheme="minorHAnsi" w:cstheme="minorBidi"/>
        </w:rPr>
        <w:t>for</w:t>
      </w:r>
      <w:r w:rsidR="00D94176">
        <w:rPr>
          <w:rFonts w:asciiTheme="minorHAnsi" w:eastAsiaTheme="minorEastAsia" w:hAnsiTheme="minorHAnsi" w:cstheme="minorBidi"/>
        </w:rPr>
        <w:t xml:space="preserve"> people </w:t>
      </w:r>
      <w:r w:rsidR="008F163B">
        <w:rPr>
          <w:rFonts w:asciiTheme="minorHAnsi" w:eastAsiaTheme="minorEastAsia" w:hAnsiTheme="minorHAnsi" w:cstheme="minorBidi"/>
        </w:rPr>
        <w:t xml:space="preserve">of all different </w:t>
      </w:r>
      <w:r w:rsidR="00D94176">
        <w:rPr>
          <w:rFonts w:asciiTheme="minorHAnsi" w:eastAsiaTheme="minorEastAsia" w:hAnsiTheme="minorHAnsi" w:cstheme="minorBidi"/>
        </w:rPr>
        <w:t xml:space="preserve">characteristics, the equality of opportunity, </w:t>
      </w:r>
      <w:r w:rsidR="008F163B">
        <w:rPr>
          <w:rFonts w:asciiTheme="minorHAnsi" w:eastAsiaTheme="minorEastAsia" w:hAnsiTheme="minorHAnsi" w:cstheme="minorBidi"/>
        </w:rPr>
        <w:t xml:space="preserve">or with the deep thought in the subconscious that </w:t>
      </w:r>
      <w:r w:rsidR="00D35955">
        <w:rPr>
          <w:rFonts w:asciiTheme="minorHAnsi" w:eastAsiaTheme="minorEastAsia" w:hAnsiTheme="minorHAnsi" w:cstheme="minorBidi"/>
        </w:rPr>
        <w:t xml:space="preserve">hopes to instil a sense of social equality. As </w:t>
      </w:r>
      <w:r w:rsidR="00D35955" w:rsidRPr="00681DEB">
        <w:rPr>
          <w:rFonts w:asciiTheme="minorHAnsi" w:eastAsiaTheme="minorEastAsia" w:hAnsiTheme="minorHAnsi" w:cstheme="minorBidi"/>
          <w:u w:val="single"/>
        </w:rPr>
        <w:t>Lady Hale</w:t>
      </w:r>
      <w:r w:rsidR="00D35955" w:rsidRPr="00681DEB">
        <w:rPr>
          <w:rFonts w:asciiTheme="minorHAnsi" w:eastAsiaTheme="minorEastAsia" w:hAnsiTheme="minorHAnsi" w:cstheme="minorBidi"/>
        </w:rPr>
        <w:t xml:space="preserve"> </w:t>
      </w:r>
      <w:r w:rsidR="00D35955">
        <w:rPr>
          <w:rFonts w:asciiTheme="minorHAnsi" w:eastAsiaTheme="minorEastAsia" w:hAnsiTheme="minorHAnsi" w:cstheme="minorBidi"/>
        </w:rPr>
        <w:t>provided</w:t>
      </w:r>
      <w:r w:rsidR="00681DEB">
        <w:rPr>
          <w:rFonts w:asciiTheme="minorHAnsi" w:eastAsiaTheme="minorEastAsia" w:hAnsiTheme="minorHAnsi" w:cstheme="minorBidi"/>
        </w:rPr>
        <w:t xml:space="preserve"> in a lecture on Equality at Oxford </w:t>
      </w:r>
      <w:r w:rsidR="00D35955">
        <w:rPr>
          <w:rFonts w:asciiTheme="minorHAnsi" w:eastAsiaTheme="minorEastAsia" w:hAnsiTheme="minorHAnsi" w:cstheme="minorBidi"/>
        </w:rPr>
        <w:t xml:space="preserve">back in 2018 around the </w:t>
      </w:r>
      <w:r w:rsidR="008F163B">
        <w:rPr>
          <w:rFonts w:asciiTheme="minorHAnsi" w:eastAsiaTheme="minorEastAsia" w:hAnsiTheme="minorHAnsi" w:cstheme="minorBidi"/>
        </w:rPr>
        <w:t>universal legal sentiment that we are all equal in the eyes of the law</w:t>
      </w:r>
      <w:r w:rsidR="00D35955">
        <w:rPr>
          <w:rFonts w:asciiTheme="minorHAnsi" w:eastAsiaTheme="minorEastAsia" w:hAnsiTheme="minorHAnsi" w:cstheme="minorBidi"/>
        </w:rPr>
        <w:t xml:space="preserve">, with </w:t>
      </w:r>
      <w:r w:rsidR="00B81F04">
        <w:rPr>
          <w:rFonts w:asciiTheme="minorHAnsi" w:eastAsiaTheme="minorEastAsia" w:hAnsiTheme="minorHAnsi" w:cstheme="minorBidi"/>
        </w:rPr>
        <w:t>equality</w:t>
      </w:r>
      <w:r w:rsidR="00D35955">
        <w:rPr>
          <w:rFonts w:asciiTheme="minorHAnsi" w:eastAsiaTheme="minorEastAsia" w:hAnsiTheme="minorHAnsi" w:cstheme="minorBidi"/>
        </w:rPr>
        <w:t xml:space="preserve"> at the forefront of the rule of law</w:t>
      </w:r>
      <w:r w:rsidR="008F163B">
        <w:rPr>
          <w:rStyle w:val="FootnoteReference"/>
          <w:rFonts w:asciiTheme="minorHAnsi" w:eastAsiaTheme="minorEastAsia" w:hAnsiTheme="minorHAnsi" w:cstheme="minorBidi"/>
        </w:rPr>
        <w:footnoteReference w:id="18"/>
      </w:r>
      <w:r w:rsidR="00D35955">
        <w:rPr>
          <w:rFonts w:asciiTheme="minorHAnsi" w:eastAsiaTheme="minorEastAsia" w:hAnsiTheme="minorHAnsi" w:cstheme="minorBidi"/>
        </w:rPr>
        <w:t xml:space="preserve">. </w:t>
      </w:r>
      <w:r w:rsidR="00207CC3">
        <w:rPr>
          <w:rFonts w:asciiTheme="minorHAnsi" w:eastAsiaTheme="minorEastAsia" w:hAnsiTheme="minorHAnsi" w:cstheme="minorBidi"/>
        </w:rPr>
        <w:t>This has significant impact on moral decision-making as fairness is highly regarded by most when faced with a moral quandary. “How might X feel in this situation?” Is a common thought process spoken aloud when determining something to be unjust.</w:t>
      </w:r>
    </w:p>
    <w:p w14:paraId="56D37207" w14:textId="646CA539" w:rsidR="00207CC3" w:rsidRDefault="00207CC3" w:rsidP="00F35E2D">
      <w:pPr>
        <w:pStyle w:val="BodyText"/>
        <w:spacing w:before="162" w:line="264" w:lineRule="auto"/>
        <w:ind w:right="277"/>
        <w:jc w:val="both"/>
        <w:rPr>
          <w:rFonts w:asciiTheme="minorHAnsi" w:eastAsiaTheme="minorEastAsia" w:hAnsiTheme="minorHAnsi" w:cstheme="minorBidi"/>
        </w:rPr>
      </w:pPr>
      <w:r>
        <w:rPr>
          <w:rFonts w:asciiTheme="minorHAnsi" w:eastAsiaTheme="minorEastAsia" w:hAnsiTheme="minorHAnsi" w:cstheme="minorBidi"/>
        </w:rPr>
        <w:t>Another pivotal ethical perspective to be considered i</w:t>
      </w:r>
      <w:r w:rsidR="00681DEB">
        <w:rPr>
          <w:rFonts w:asciiTheme="minorHAnsi" w:eastAsiaTheme="minorEastAsia" w:hAnsiTheme="minorHAnsi" w:cstheme="minorBidi"/>
        </w:rPr>
        <w:t>s</w:t>
      </w:r>
      <w:r w:rsidR="002341EE">
        <w:rPr>
          <w:rFonts w:asciiTheme="minorHAnsi" w:eastAsiaTheme="minorEastAsia" w:hAnsiTheme="minorHAnsi" w:cstheme="minorBidi"/>
        </w:rPr>
        <w:t xml:space="preserve"> </w:t>
      </w:r>
      <w:r w:rsidR="006D31F3">
        <w:rPr>
          <w:rFonts w:asciiTheme="minorHAnsi" w:eastAsiaTheme="minorEastAsia" w:hAnsiTheme="minorHAnsi" w:cstheme="minorBidi"/>
        </w:rPr>
        <w:t>Utilitarianism.</w:t>
      </w:r>
      <w:bookmarkStart w:id="4" w:name="_Hlk152619334"/>
      <w:r w:rsidR="006D31F3">
        <w:rPr>
          <w:rFonts w:asciiTheme="minorHAnsi" w:eastAsiaTheme="minorEastAsia" w:hAnsiTheme="minorHAnsi" w:cstheme="minorBidi"/>
        </w:rPr>
        <w:t xml:space="preserve"> </w:t>
      </w:r>
      <w:bookmarkEnd w:id="4"/>
      <w:r w:rsidR="006D31F3">
        <w:rPr>
          <w:rFonts w:asciiTheme="minorHAnsi" w:eastAsiaTheme="minorEastAsia" w:hAnsiTheme="minorHAnsi" w:cstheme="minorBidi"/>
        </w:rPr>
        <w:t xml:space="preserve">It seeks to make the decision maker with potential justification for carrying out an action that has consequences, all whilst seeking to maximise the positive outcome. </w:t>
      </w:r>
      <w:r w:rsidR="00AB1927" w:rsidRPr="00AB1927">
        <w:rPr>
          <w:rFonts w:asciiTheme="minorHAnsi" w:eastAsiaTheme="minorEastAsia" w:hAnsiTheme="minorHAnsi" w:cstheme="minorBidi"/>
          <w:u w:val="single"/>
        </w:rPr>
        <w:t>John Stuart Mill</w:t>
      </w:r>
      <w:r w:rsidR="00AB1927">
        <w:rPr>
          <w:rFonts w:asciiTheme="minorHAnsi" w:eastAsiaTheme="minorEastAsia" w:hAnsiTheme="minorHAnsi" w:cstheme="minorBidi"/>
        </w:rPr>
        <w:t xml:space="preserve"> sought to define what the moral obligation was on the decision-maker in his classic philosophical description of </w:t>
      </w:r>
      <w:r w:rsidR="008C1E9C">
        <w:rPr>
          <w:rFonts w:asciiTheme="minorHAnsi" w:eastAsiaTheme="minorEastAsia" w:hAnsiTheme="minorHAnsi" w:cstheme="minorBidi"/>
        </w:rPr>
        <w:t>Utilitarianism</w:t>
      </w:r>
      <w:r w:rsidR="00AB1927">
        <w:rPr>
          <w:rFonts w:asciiTheme="minorHAnsi" w:eastAsiaTheme="minorEastAsia" w:hAnsiTheme="minorHAnsi" w:cstheme="minorBidi"/>
        </w:rPr>
        <w:t xml:space="preserve"> back in the </w:t>
      </w:r>
      <w:r w:rsidR="008C1E9C">
        <w:rPr>
          <w:rFonts w:asciiTheme="minorHAnsi" w:eastAsiaTheme="minorEastAsia" w:hAnsiTheme="minorHAnsi" w:cstheme="minorBidi"/>
        </w:rPr>
        <w:t>early</w:t>
      </w:r>
      <w:r w:rsidR="00AB1927">
        <w:rPr>
          <w:rFonts w:asciiTheme="minorHAnsi" w:eastAsiaTheme="minorEastAsia" w:hAnsiTheme="minorHAnsi" w:cstheme="minorBidi"/>
        </w:rPr>
        <w:t xml:space="preserve"> 19</w:t>
      </w:r>
      <w:r w:rsidR="00AB1927" w:rsidRPr="00AB1927">
        <w:rPr>
          <w:rFonts w:asciiTheme="minorHAnsi" w:eastAsiaTheme="minorEastAsia" w:hAnsiTheme="minorHAnsi" w:cstheme="minorBidi"/>
          <w:vertAlign w:val="superscript"/>
        </w:rPr>
        <w:t>th</w:t>
      </w:r>
      <w:r w:rsidR="00AB1927">
        <w:rPr>
          <w:rFonts w:asciiTheme="minorHAnsi" w:eastAsiaTheme="minorEastAsia" w:hAnsiTheme="minorHAnsi" w:cstheme="minorBidi"/>
        </w:rPr>
        <w:t xml:space="preserve"> Century</w:t>
      </w:r>
      <w:r w:rsidR="00AB1927">
        <w:rPr>
          <w:rStyle w:val="FootnoteReference"/>
          <w:rFonts w:asciiTheme="minorHAnsi" w:eastAsiaTheme="minorEastAsia" w:hAnsiTheme="minorHAnsi" w:cstheme="minorBidi"/>
        </w:rPr>
        <w:footnoteReference w:id="19"/>
      </w:r>
      <w:r w:rsidR="00AB1927">
        <w:rPr>
          <w:rFonts w:asciiTheme="minorHAnsi" w:eastAsiaTheme="minorEastAsia" w:hAnsiTheme="minorHAnsi" w:cstheme="minorBidi"/>
        </w:rPr>
        <w:t>.</w:t>
      </w:r>
      <w:r w:rsidR="008C1E9C">
        <w:rPr>
          <w:rFonts w:asciiTheme="minorHAnsi" w:eastAsiaTheme="minorEastAsia" w:hAnsiTheme="minorHAnsi" w:cstheme="minorBidi"/>
        </w:rPr>
        <w:t xml:space="preserve"> </w:t>
      </w:r>
      <w:r w:rsidR="003F2DC0">
        <w:rPr>
          <w:rFonts w:asciiTheme="minorHAnsi" w:eastAsiaTheme="minorEastAsia" w:hAnsiTheme="minorHAnsi" w:cstheme="minorBidi"/>
        </w:rPr>
        <w:t xml:space="preserve">This carries a tremendous burden on the moral judgement </w:t>
      </w:r>
      <w:r w:rsidR="00844C11">
        <w:rPr>
          <w:rFonts w:asciiTheme="minorHAnsi" w:eastAsiaTheme="minorEastAsia" w:hAnsiTheme="minorHAnsi" w:cstheme="minorBidi"/>
        </w:rPr>
        <w:t>of an</w:t>
      </w:r>
      <w:r w:rsidR="003F2DC0">
        <w:rPr>
          <w:rFonts w:asciiTheme="minorHAnsi" w:eastAsiaTheme="minorEastAsia" w:hAnsiTheme="minorHAnsi" w:cstheme="minorBidi"/>
        </w:rPr>
        <w:t xml:space="preserve"> </w:t>
      </w:r>
      <w:r w:rsidR="003F2DC0">
        <w:rPr>
          <w:rFonts w:asciiTheme="minorHAnsi" w:eastAsiaTheme="minorEastAsia" w:hAnsiTheme="minorHAnsi" w:cstheme="minorBidi"/>
        </w:rPr>
        <w:lastRenderedPageBreak/>
        <w:t>individual and can lead to either a tremendous or terrible outcome.</w:t>
      </w:r>
    </w:p>
    <w:p w14:paraId="6A059732" w14:textId="55A12244" w:rsidR="008C1E9C" w:rsidRDefault="008C1E9C" w:rsidP="00F35E2D">
      <w:pPr>
        <w:pStyle w:val="BodyText"/>
        <w:spacing w:before="162" w:line="264" w:lineRule="auto"/>
        <w:ind w:right="277"/>
        <w:jc w:val="both"/>
        <w:rPr>
          <w:rFonts w:asciiTheme="minorHAnsi" w:eastAsiaTheme="minorEastAsia" w:hAnsiTheme="minorHAnsi" w:cstheme="minorBidi"/>
        </w:rPr>
      </w:pPr>
      <w:r>
        <w:rPr>
          <w:rFonts w:asciiTheme="minorHAnsi" w:eastAsiaTheme="minorEastAsia" w:hAnsiTheme="minorHAnsi" w:cstheme="minorBidi"/>
        </w:rPr>
        <w:t>Thirdly</w:t>
      </w:r>
      <w:r w:rsidR="00454005">
        <w:rPr>
          <w:rFonts w:asciiTheme="minorHAnsi" w:eastAsiaTheme="minorEastAsia" w:hAnsiTheme="minorHAnsi" w:cstheme="minorBidi"/>
        </w:rPr>
        <w:t xml:space="preserve"> and finally to contrast slightly with the first two perspectives is the</w:t>
      </w:r>
      <w:r>
        <w:rPr>
          <w:rFonts w:asciiTheme="minorHAnsi" w:eastAsiaTheme="minorEastAsia" w:hAnsiTheme="minorHAnsi" w:cstheme="minorBidi"/>
        </w:rPr>
        <w:t xml:space="preserve"> </w:t>
      </w:r>
      <w:r w:rsidR="001D5CDF">
        <w:rPr>
          <w:rFonts w:asciiTheme="minorHAnsi" w:eastAsiaTheme="minorEastAsia" w:hAnsiTheme="minorHAnsi" w:cstheme="minorBidi"/>
        </w:rPr>
        <w:t xml:space="preserve">principle of altruism. </w:t>
      </w:r>
      <w:r w:rsidR="001D5CDF" w:rsidRPr="001D5CDF">
        <w:rPr>
          <w:rFonts w:asciiTheme="minorHAnsi" w:eastAsiaTheme="minorEastAsia" w:hAnsiTheme="minorHAnsi" w:cstheme="minorBidi"/>
        </w:rPr>
        <w:t>This ethical concept seems to provide a sense of feeling how an action can impact some negatively and weigh up how a cause and effect may come to benefit the ‘the greater good.’</w:t>
      </w:r>
      <w:r w:rsidR="001D5CDF">
        <w:rPr>
          <w:rFonts w:asciiTheme="minorHAnsi" w:eastAsiaTheme="minorEastAsia" w:hAnsiTheme="minorHAnsi" w:cstheme="minorBidi"/>
        </w:rPr>
        <w:t xml:space="preserve"> On the face of it, it appears to be the most indiscriminate way of providing a solution, however it can potentially put the decision maker at a wider detriment. </w:t>
      </w:r>
    </w:p>
    <w:p w14:paraId="1FEFEB0A" w14:textId="3E2BFD61" w:rsidR="0015453B" w:rsidRDefault="00F35E2D" w:rsidP="00F35E2D">
      <w:pPr>
        <w:pStyle w:val="BodyText"/>
        <w:spacing w:before="162" w:line="264" w:lineRule="auto"/>
        <w:ind w:right="277"/>
        <w:jc w:val="both"/>
      </w:pPr>
      <w:r>
        <w:t>I</w:t>
      </w:r>
      <w:r w:rsidRPr="00F35E2D">
        <w:t>n financial terms</w:t>
      </w:r>
      <w:r w:rsidR="00844056">
        <w:t>, a</w:t>
      </w:r>
      <w:r w:rsidRPr="00F35E2D">
        <w:t xml:space="preserve"> </w:t>
      </w:r>
      <w:r w:rsidR="0015453B" w:rsidRPr="00F35E2D">
        <w:t>company’s</w:t>
      </w:r>
      <w:r w:rsidRPr="00F35E2D">
        <w:t xml:space="preserve"> performance is clearly measured by profit/loss </w:t>
      </w:r>
      <w:r w:rsidR="0015453B">
        <w:t>on a balance sheet</w:t>
      </w:r>
      <w:r w:rsidR="00F47E14">
        <w:t xml:space="preserve"> - </w:t>
      </w:r>
      <w:r w:rsidRPr="00F35E2D">
        <w:t xml:space="preserve">the higher the profit, </w:t>
      </w:r>
      <w:r w:rsidRPr="00F47E14">
        <w:rPr>
          <w:i/>
          <w:iCs/>
        </w:rPr>
        <w:t>prima facie</w:t>
      </w:r>
      <w:r w:rsidRPr="00F35E2D">
        <w:t xml:space="preserve">; the greater they are performing. </w:t>
      </w:r>
      <w:r>
        <w:t xml:space="preserve">Best practice states, organisations monitor their performance financially using KPI’s. This demonstrating their liquidity, success and provides a comparison against previous data and </w:t>
      </w:r>
      <w:r w:rsidR="0015453B">
        <w:t xml:space="preserve">to </w:t>
      </w:r>
      <w:r>
        <w:t xml:space="preserve">compare against projections. </w:t>
      </w:r>
    </w:p>
    <w:p w14:paraId="1DD534DE" w14:textId="484F5523" w:rsidR="00F35E2D" w:rsidRPr="00F35E2D" w:rsidRDefault="0015453B" w:rsidP="00F35E2D">
      <w:pPr>
        <w:pStyle w:val="BodyText"/>
        <w:spacing w:before="162" w:line="264" w:lineRule="auto"/>
        <w:ind w:right="277"/>
        <w:jc w:val="both"/>
      </w:pPr>
      <w:r>
        <w:t>An organisations’ performance can also be quan</w:t>
      </w:r>
      <w:r w:rsidR="00F35E2D">
        <w:t xml:space="preserve">tified by way of </w:t>
      </w:r>
      <w:r>
        <w:t>staff wellbeing surveys,</w:t>
      </w:r>
      <w:r w:rsidR="00F35E2D">
        <w:t xml:space="preserve"> </w:t>
      </w:r>
      <w:r w:rsidR="00F47E14">
        <w:t>if staff feel engaged positively, generally their overall wellbeing is positive.</w:t>
      </w:r>
      <w:r w:rsidR="005276D2">
        <w:t xml:space="preserve"> This can have a wider </w:t>
      </w:r>
      <w:r w:rsidR="00454005">
        <w:t>influence</w:t>
      </w:r>
      <w:r w:rsidR="005276D2">
        <w:t xml:space="preserve"> on staff absence and potentially turnover. </w:t>
      </w:r>
      <w:r>
        <w:t xml:space="preserve">Even </w:t>
      </w:r>
      <w:r w:rsidR="00F35E2D">
        <w:t xml:space="preserve">market influence </w:t>
      </w:r>
      <w:r>
        <w:t>in the modern social media age</w:t>
      </w:r>
      <w:r w:rsidR="00F35E2D">
        <w:t>.</w:t>
      </w:r>
      <w:r>
        <w:t xml:space="preserve"> The higher the </w:t>
      </w:r>
      <w:r w:rsidR="005276D2">
        <w:t>number</w:t>
      </w:r>
      <w:r>
        <w:t xml:space="preserve"> of followers, usually correlates to the reach of the organisation and power to influence.</w:t>
      </w:r>
      <w:r w:rsidR="00F35E2D">
        <w:t xml:space="preserve"> </w:t>
      </w:r>
    </w:p>
    <w:p w14:paraId="02613811" w14:textId="6AF2F3BD" w:rsidR="00182856" w:rsidRDefault="00F47E14" w:rsidP="00182856">
      <w:pPr>
        <w:pStyle w:val="BodyText"/>
        <w:spacing w:before="162" w:line="264" w:lineRule="auto"/>
        <w:ind w:right="277"/>
        <w:jc w:val="both"/>
      </w:pPr>
      <w:r>
        <w:t xml:space="preserve">People practitioners can positively impact an organisation </w:t>
      </w:r>
      <w:r w:rsidR="005276D2">
        <w:t xml:space="preserve">over a </w:t>
      </w:r>
      <w:r w:rsidR="00182856">
        <w:t>short term and long term</w:t>
      </w:r>
      <w:r w:rsidR="005276D2">
        <w:t xml:space="preserve"> by way of using their power to influence management into making positive changes ‘on a journey together</w:t>
      </w:r>
      <w:r w:rsidR="00207CC3">
        <w:t>’</w:t>
      </w:r>
      <w:r w:rsidR="005276D2">
        <w:t xml:space="preserve"> to enhance the prospects of the organisation. This can be described as a “strategic HR activity</w:t>
      </w:r>
      <w:r w:rsidR="004942C0">
        <w:t>.</w:t>
      </w:r>
      <w:r w:rsidR="005276D2">
        <w:t>”</w:t>
      </w:r>
      <w:r w:rsidR="004942C0">
        <w:rPr>
          <w:rStyle w:val="FootnoteReference"/>
        </w:rPr>
        <w:footnoteReference w:id="20"/>
      </w:r>
    </w:p>
    <w:p w14:paraId="6BA2BEA7" w14:textId="118A0C11" w:rsidR="008D69FE" w:rsidRDefault="00207CC3" w:rsidP="00182856">
      <w:pPr>
        <w:pStyle w:val="BodyText"/>
        <w:spacing w:before="162" w:line="264" w:lineRule="auto"/>
        <w:ind w:right="277"/>
        <w:jc w:val="both"/>
      </w:pPr>
      <w:r>
        <w:t xml:space="preserve">People </w:t>
      </w:r>
      <w:r w:rsidR="00A47780">
        <w:t>practitioners</w:t>
      </w:r>
      <w:r>
        <w:t xml:space="preserve"> will usually evidence a </w:t>
      </w:r>
      <w:r w:rsidR="00A47780">
        <w:t xml:space="preserve">key change to upper management or wider stakeholders with a cost-benefit analysis, which would hope to provide a reasoning that would bring greater profitability if their vision </w:t>
      </w:r>
      <w:r w:rsidR="007B1650">
        <w:t>were</w:t>
      </w:r>
      <w:r w:rsidR="00A47780">
        <w:t xml:space="preserve"> followed. </w:t>
      </w:r>
    </w:p>
    <w:p w14:paraId="3A525400" w14:textId="42285E8E" w:rsidR="00817832" w:rsidRDefault="00817832" w:rsidP="003D5E80">
      <w:pPr>
        <w:ind w:left="360" w:right="277"/>
        <w:contextualSpacing/>
      </w:pPr>
    </w:p>
    <w:p w14:paraId="21C046AE" w14:textId="77777777" w:rsidR="00160CCA" w:rsidRDefault="00160CCA" w:rsidP="003D5E80">
      <w:pPr>
        <w:ind w:left="360" w:right="277"/>
        <w:contextualSpacing/>
      </w:pPr>
    </w:p>
    <w:p w14:paraId="1D950C4E" w14:textId="398DEC86" w:rsidR="008269DA" w:rsidRPr="00BE46E6" w:rsidRDefault="00F14649" w:rsidP="00DF2D13">
      <w:pPr>
        <w:pStyle w:val="Heading1"/>
      </w:pPr>
      <w:bookmarkStart w:id="5" w:name="_Toc152600420"/>
      <w:r>
        <w:t>analysis review</w:t>
      </w:r>
      <w:bookmarkEnd w:id="5"/>
    </w:p>
    <w:p w14:paraId="1D958E0C" w14:textId="4A309EB4" w:rsidR="00ED057E" w:rsidRPr="00BE46E6" w:rsidRDefault="00044E53" w:rsidP="008644B4">
      <w:pPr>
        <w:ind w:right="277"/>
        <w:contextualSpacing/>
      </w:pPr>
      <w:r w:rsidRPr="00BE46E6">
        <w:t xml:space="preserve">Using the secondary data sets available, I have </w:t>
      </w:r>
      <w:r w:rsidR="00A01E1F" w:rsidRPr="00BE46E6">
        <w:t xml:space="preserve">analysed the information to </w:t>
      </w:r>
      <w:r w:rsidR="00A84690" w:rsidRPr="00BE46E6">
        <w:t xml:space="preserve">highlight key indicators included within the Equality, Diversity &amp; Inclusion salary </w:t>
      </w:r>
      <w:r w:rsidR="00C04129" w:rsidRPr="00BE46E6">
        <w:t xml:space="preserve">data. </w:t>
      </w:r>
      <w:r w:rsidR="00520FC3" w:rsidRPr="00BE46E6">
        <w:t>In total, there are 260 employees</w:t>
      </w:r>
      <w:r w:rsidR="00907E83" w:rsidRPr="00BE46E6">
        <w:t xml:space="preserve">’ key </w:t>
      </w:r>
      <w:r w:rsidR="007900F6" w:rsidRPr="00BE46E6">
        <w:t xml:space="preserve">data </w:t>
      </w:r>
      <w:r w:rsidR="00520FC3" w:rsidRPr="00BE46E6">
        <w:t>contained in the</w:t>
      </w:r>
      <w:r w:rsidR="006E2283" w:rsidRPr="00BE46E6">
        <w:t xml:space="preserve"> sample,</w:t>
      </w:r>
      <w:r w:rsidR="008E4F31" w:rsidRPr="00BE46E6">
        <w:t xml:space="preserve"> </w:t>
      </w:r>
      <w:r w:rsidR="001E4619" w:rsidRPr="00BE46E6">
        <w:t>this is an example of quantitative data,</w:t>
      </w:r>
      <w:r w:rsidR="000252A8" w:rsidRPr="00BE46E6">
        <w:t xml:space="preserve"> it is crucial </w:t>
      </w:r>
      <w:r w:rsidR="001E4619" w:rsidRPr="00BE46E6">
        <w:t>that</w:t>
      </w:r>
      <w:r w:rsidR="000252A8" w:rsidRPr="00BE46E6">
        <w:t xml:space="preserve"> we </w:t>
      </w:r>
      <w:r w:rsidR="00A65199" w:rsidRPr="00BE46E6">
        <w:t>seek to identify any patterns that are evident</w:t>
      </w:r>
      <w:r w:rsidR="00F6550D" w:rsidRPr="00BE46E6">
        <w:t>, or to further promote equality of opportunity if the</w:t>
      </w:r>
      <w:r w:rsidR="00440548" w:rsidRPr="00BE46E6">
        <w:t xml:space="preserve"> data shows </w:t>
      </w:r>
      <w:r w:rsidR="00C0181B" w:rsidRPr="00BE46E6">
        <w:t xml:space="preserve">any disproportionate </w:t>
      </w:r>
      <w:r w:rsidR="004A2D7C" w:rsidRPr="00BE46E6">
        <w:t xml:space="preserve">imbalances for </w:t>
      </w:r>
      <w:proofErr w:type="gramStart"/>
      <w:r w:rsidR="004A2D7C" w:rsidRPr="00BE46E6">
        <w:t>particular groups</w:t>
      </w:r>
      <w:proofErr w:type="gramEnd"/>
      <w:r w:rsidR="004A2D7C" w:rsidRPr="00BE46E6">
        <w:t xml:space="preserve"> of people. It may prompt us to </w:t>
      </w:r>
      <w:r w:rsidR="00E10977" w:rsidRPr="00BE46E6">
        <w:t xml:space="preserve">take “Positive Action” as </w:t>
      </w:r>
      <w:r w:rsidR="009F44A0" w:rsidRPr="00BE46E6">
        <w:t xml:space="preserve">provided </w:t>
      </w:r>
      <w:r w:rsidR="00CC2E82" w:rsidRPr="00BE46E6">
        <w:t>by</w:t>
      </w:r>
      <w:r w:rsidR="00E10977" w:rsidRPr="00BE46E6">
        <w:t xml:space="preserve"> the </w:t>
      </w:r>
      <w:r w:rsidR="00E10977" w:rsidRPr="00BE46E6">
        <w:rPr>
          <w:u w:val="single"/>
        </w:rPr>
        <w:t>Equality Act 2010</w:t>
      </w:r>
      <w:r w:rsidR="00395BFC" w:rsidRPr="00BE46E6">
        <w:rPr>
          <w:rStyle w:val="FootnoteReference"/>
        </w:rPr>
        <w:footnoteReference w:id="21"/>
      </w:r>
      <w:r w:rsidR="00395BFC" w:rsidRPr="00BE46E6">
        <w:t xml:space="preserve"> </w:t>
      </w:r>
      <w:r w:rsidR="009F44A0" w:rsidRPr="00BE46E6">
        <w:t>that is the</w:t>
      </w:r>
      <w:r w:rsidR="00A35382" w:rsidRPr="00BE46E6">
        <w:t xml:space="preserve"> all-encompassing piece of Legislation for anti-discrimination. </w:t>
      </w:r>
    </w:p>
    <w:p w14:paraId="3693C3D5" w14:textId="77777777" w:rsidR="00E303B2" w:rsidRDefault="00E303B2" w:rsidP="008269DA">
      <w:pPr>
        <w:ind w:left="360" w:right="277"/>
        <w:contextualSpacing/>
        <w:rPr>
          <w:b/>
          <w:bCs/>
        </w:rPr>
      </w:pPr>
    </w:p>
    <w:p w14:paraId="79F603B8" w14:textId="211FDF91" w:rsidR="00E303B2" w:rsidRPr="000D306F" w:rsidRDefault="00E303B2" w:rsidP="00986847">
      <w:pPr>
        <w:ind w:right="277"/>
        <w:contextualSpacing/>
      </w:pPr>
      <w:r w:rsidRPr="000D306F">
        <w:t>f)</w:t>
      </w:r>
      <w:r w:rsidR="00986847" w:rsidRPr="000D306F">
        <w:t>.</w:t>
      </w:r>
      <w:r w:rsidRPr="000D306F">
        <w:t xml:space="preserve"> </w:t>
      </w:r>
      <w:r w:rsidR="008826B1" w:rsidRPr="000D306F">
        <w:t>Of the 260 employees</w:t>
      </w:r>
      <w:r w:rsidR="00802796" w:rsidRPr="000D306F">
        <w:t>;</w:t>
      </w:r>
      <w:r w:rsidR="008826B1" w:rsidRPr="000D306F">
        <w:t xml:space="preserve"> </w:t>
      </w:r>
      <w:r w:rsidR="003D76E5" w:rsidRPr="000D306F">
        <w:t xml:space="preserve">54% are male, 45% are female and 1% </w:t>
      </w:r>
      <w:r w:rsidR="00802796" w:rsidRPr="000D306F">
        <w:t>are non-binary</w:t>
      </w:r>
      <w:r w:rsidR="003931B6">
        <w:t xml:space="preserve">. This is a near even split amongst genders in the workforce, </w:t>
      </w:r>
      <w:proofErr w:type="gramStart"/>
      <w:r w:rsidR="003931B6">
        <w:t>with the exception of</w:t>
      </w:r>
      <w:proofErr w:type="gramEnd"/>
      <w:r w:rsidR="003931B6">
        <w:t xml:space="preserve"> those identifying as ‘non-binary’ as this is a more modern phenomenon</w:t>
      </w:r>
      <w:r w:rsidR="009031EC">
        <w:t>.</w:t>
      </w:r>
    </w:p>
    <w:p w14:paraId="1C6E34CA" w14:textId="77777777" w:rsidR="00793FDB" w:rsidRPr="00A848B0" w:rsidRDefault="00793FDB" w:rsidP="008269DA">
      <w:pPr>
        <w:ind w:left="360" w:right="277"/>
        <w:contextualSpacing/>
        <w:rPr>
          <w:b/>
          <w:bCs/>
        </w:rPr>
      </w:pPr>
    </w:p>
    <w:p w14:paraId="3C69EF58" w14:textId="2681F7FB" w:rsidR="00A83E4C" w:rsidRDefault="00A83E4C" w:rsidP="003D5E80">
      <w:pPr>
        <w:ind w:right="277"/>
      </w:pPr>
    </w:p>
    <w:p w14:paraId="631330F9" w14:textId="724AA3A9" w:rsidR="00014EDF" w:rsidRDefault="00014EDF" w:rsidP="003D5E80">
      <w:pPr>
        <w:ind w:right="277"/>
      </w:pPr>
    </w:p>
    <w:p w14:paraId="3475771E" w14:textId="77777777" w:rsidR="00014EDF" w:rsidRDefault="00014EDF" w:rsidP="003D5E80">
      <w:pPr>
        <w:ind w:right="277"/>
      </w:pPr>
    </w:p>
    <w:tbl>
      <w:tblPr>
        <w:tblW w:w="3040" w:type="dxa"/>
        <w:tblInd w:w="108" w:type="dxa"/>
        <w:tblLook w:val="04A0" w:firstRow="1" w:lastRow="0" w:firstColumn="1" w:lastColumn="0" w:noHBand="0" w:noVBand="1"/>
      </w:tblPr>
      <w:tblGrid>
        <w:gridCol w:w="1380"/>
        <w:gridCol w:w="1660"/>
      </w:tblGrid>
      <w:tr w:rsidR="009E7E9B" w:rsidRPr="009E7E9B" w14:paraId="54D855BD"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0F034403"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lastRenderedPageBreak/>
              <w:t>Role</w:t>
            </w:r>
          </w:p>
        </w:tc>
        <w:tc>
          <w:tcPr>
            <w:tcW w:w="1660" w:type="dxa"/>
            <w:tcBorders>
              <w:top w:val="nil"/>
              <w:left w:val="nil"/>
              <w:bottom w:val="single" w:sz="4" w:space="0" w:color="8EA9DB"/>
              <w:right w:val="nil"/>
            </w:tcBorders>
            <w:shd w:val="clear" w:color="D9E1F2" w:fill="D9E1F2"/>
            <w:noWrap/>
            <w:vAlign w:val="bottom"/>
            <w:hideMark/>
          </w:tcPr>
          <w:p w14:paraId="0B54F219"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(All)</w:t>
            </w:r>
          </w:p>
        </w:tc>
      </w:tr>
      <w:tr w:rsidR="009E7E9B" w:rsidRPr="009E7E9B" w14:paraId="58733FF1" w14:textId="77777777" w:rsidTr="009E7E9B">
        <w:trPr>
          <w:trHeight w:val="300"/>
        </w:trPr>
        <w:tc>
          <w:tcPr>
            <w:tcW w:w="1380" w:type="dxa"/>
            <w:tcBorders>
              <w:top w:val="nil"/>
              <w:left w:val="nil"/>
              <w:bottom w:val="nil"/>
              <w:right w:val="nil"/>
            </w:tcBorders>
            <w:shd w:val="clear" w:color="auto" w:fill="auto"/>
            <w:noWrap/>
            <w:vAlign w:val="bottom"/>
            <w:hideMark/>
          </w:tcPr>
          <w:p w14:paraId="0A5E1765" w14:textId="77777777" w:rsidR="009E7E9B" w:rsidRPr="009E7E9B" w:rsidRDefault="009E7E9B" w:rsidP="009E7E9B">
            <w:pPr>
              <w:widowControl/>
              <w:autoSpaceDE/>
              <w:autoSpaceDN/>
              <w:rPr>
                <w:rFonts w:ascii="Calibri" w:eastAsia="Times New Roman" w:hAnsi="Calibri" w:cs="Calibri"/>
                <w:color w:val="000000"/>
                <w:lang w:eastAsia="en-GB"/>
              </w:rPr>
            </w:pPr>
          </w:p>
        </w:tc>
        <w:tc>
          <w:tcPr>
            <w:tcW w:w="1660" w:type="dxa"/>
            <w:tcBorders>
              <w:top w:val="nil"/>
              <w:left w:val="nil"/>
              <w:bottom w:val="nil"/>
              <w:right w:val="nil"/>
            </w:tcBorders>
            <w:shd w:val="clear" w:color="auto" w:fill="auto"/>
            <w:noWrap/>
            <w:vAlign w:val="bottom"/>
            <w:hideMark/>
          </w:tcPr>
          <w:p w14:paraId="56B4281A" w14:textId="77777777" w:rsidR="009E7E9B" w:rsidRPr="009E7E9B" w:rsidRDefault="009E7E9B" w:rsidP="009E7E9B">
            <w:pPr>
              <w:widowControl/>
              <w:autoSpaceDE/>
              <w:autoSpaceDN/>
              <w:rPr>
                <w:rFonts w:ascii="Times New Roman" w:eastAsia="Times New Roman" w:hAnsi="Times New Roman" w:cs="Times New Roman"/>
                <w:sz w:val="20"/>
                <w:szCs w:val="20"/>
                <w:lang w:eastAsia="en-GB"/>
              </w:rPr>
            </w:pPr>
          </w:p>
        </w:tc>
      </w:tr>
      <w:tr w:rsidR="009E7E9B" w:rsidRPr="009E7E9B" w14:paraId="0A12F429" w14:textId="77777777" w:rsidTr="009E7E9B">
        <w:trPr>
          <w:trHeight w:val="300"/>
        </w:trPr>
        <w:tc>
          <w:tcPr>
            <w:tcW w:w="1380" w:type="dxa"/>
            <w:tcBorders>
              <w:top w:val="nil"/>
              <w:left w:val="nil"/>
              <w:bottom w:val="single" w:sz="4" w:space="0" w:color="8EA9DB"/>
              <w:right w:val="nil"/>
            </w:tcBorders>
            <w:shd w:val="clear" w:color="D9E1F2" w:fill="D9E1F2"/>
            <w:noWrap/>
            <w:vAlign w:val="bottom"/>
            <w:hideMark/>
          </w:tcPr>
          <w:p w14:paraId="5868D9DD"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Row Labels</w:t>
            </w:r>
          </w:p>
        </w:tc>
        <w:tc>
          <w:tcPr>
            <w:tcW w:w="1660" w:type="dxa"/>
            <w:tcBorders>
              <w:top w:val="nil"/>
              <w:left w:val="nil"/>
              <w:bottom w:val="single" w:sz="4" w:space="0" w:color="8EA9DB"/>
              <w:right w:val="nil"/>
            </w:tcBorders>
            <w:shd w:val="clear" w:color="D9E1F2" w:fill="D9E1F2"/>
            <w:noWrap/>
            <w:vAlign w:val="bottom"/>
            <w:hideMark/>
          </w:tcPr>
          <w:p w14:paraId="497AE0E8"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Count of Gender</w:t>
            </w:r>
          </w:p>
        </w:tc>
      </w:tr>
      <w:tr w:rsidR="009E7E9B" w:rsidRPr="009E7E9B" w14:paraId="0FFBBF3E" w14:textId="77777777" w:rsidTr="009E7E9B">
        <w:trPr>
          <w:trHeight w:val="300"/>
        </w:trPr>
        <w:tc>
          <w:tcPr>
            <w:tcW w:w="1380" w:type="dxa"/>
            <w:tcBorders>
              <w:top w:val="nil"/>
              <w:left w:val="nil"/>
              <w:bottom w:val="nil"/>
              <w:right w:val="nil"/>
            </w:tcBorders>
            <w:shd w:val="clear" w:color="auto" w:fill="auto"/>
            <w:noWrap/>
            <w:vAlign w:val="bottom"/>
            <w:hideMark/>
          </w:tcPr>
          <w:p w14:paraId="142D6E23"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Female</w:t>
            </w:r>
          </w:p>
        </w:tc>
        <w:tc>
          <w:tcPr>
            <w:tcW w:w="1660" w:type="dxa"/>
            <w:tcBorders>
              <w:top w:val="nil"/>
              <w:left w:val="nil"/>
              <w:bottom w:val="nil"/>
              <w:right w:val="nil"/>
            </w:tcBorders>
            <w:shd w:val="clear" w:color="auto" w:fill="auto"/>
            <w:noWrap/>
            <w:vAlign w:val="bottom"/>
            <w:hideMark/>
          </w:tcPr>
          <w:p w14:paraId="2DE6F2C2"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118</w:t>
            </w:r>
          </w:p>
        </w:tc>
      </w:tr>
      <w:tr w:rsidR="009E7E9B" w:rsidRPr="009E7E9B" w14:paraId="5E7A34BB" w14:textId="77777777" w:rsidTr="009E7E9B">
        <w:trPr>
          <w:trHeight w:val="300"/>
        </w:trPr>
        <w:tc>
          <w:tcPr>
            <w:tcW w:w="1380" w:type="dxa"/>
            <w:tcBorders>
              <w:top w:val="nil"/>
              <w:left w:val="nil"/>
              <w:bottom w:val="nil"/>
              <w:right w:val="nil"/>
            </w:tcBorders>
            <w:shd w:val="clear" w:color="auto" w:fill="auto"/>
            <w:noWrap/>
            <w:vAlign w:val="bottom"/>
            <w:hideMark/>
          </w:tcPr>
          <w:p w14:paraId="47E45AEE"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Male</w:t>
            </w:r>
          </w:p>
        </w:tc>
        <w:tc>
          <w:tcPr>
            <w:tcW w:w="1660" w:type="dxa"/>
            <w:tcBorders>
              <w:top w:val="nil"/>
              <w:left w:val="nil"/>
              <w:bottom w:val="nil"/>
              <w:right w:val="nil"/>
            </w:tcBorders>
            <w:shd w:val="clear" w:color="auto" w:fill="auto"/>
            <w:noWrap/>
            <w:vAlign w:val="bottom"/>
            <w:hideMark/>
          </w:tcPr>
          <w:p w14:paraId="1E813926"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140</w:t>
            </w:r>
          </w:p>
        </w:tc>
      </w:tr>
      <w:tr w:rsidR="009E7E9B" w:rsidRPr="009E7E9B" w14:paraId="28AA9696" w14:textId="77777777" w:rsidTr="009E7E9B">
        <w:trPr>
          <w:trHeight w:val="300"/>
        </w:trPr>
        <w:tc>
          <w:tcPr>
            <w:tcW w:w="1380" w:type="dxa"/>
            <w:tcBorders>
              <w:top w:val="nil"/>
              <w:left w:val="nil"/>
              <w:bottom w:val="nil"/>
              <w:right w:val="nil"/>
            </w:tcBorders>
            <w:shd w:val="clear" w:color="auto" w:fill="auto"/>
            <w:noWrap/>
            <w:vAlign w:val="bottom"/>
            <w:hideMark/>
          </w:tcPr>
          <w:p w14:paraId="1145C02E" w14:textId="77777777" w:rsidR="009E7E9B" w:rsidRPr="009E7E9B" w:rsidRDefault="009E7E9B" w:rsidP="009E7E9B">
            <w:pPr>
              <w:widowControl/>
              <w:autoSpaceDE/>
              <w:autoSpaceDN/>
              <w:rPr>
                <w:rFonts w:ascii="Calibri" w:eastAsia="Times New Roman" w:hAnsi="Calibri" w:cs="Calibri"/>
                <w:color w:val="000000"/>
                <w:lang w:eastAsia="en-GB"/>
              </w:rPr>
            </w:pPr>
            <w:r w:rsidRPr="009E7E9B">
              <w:rPr>
                <w:rFonts w:ascii="Calibri" w:eastAsia="Times New Roman" w:hAnsi="Calibri" w:cs="Calibri"/>
                <w:color w:val="000000"/>
                <w:lang w:eastAsia="en-GB"/>
              </w:rPr>
              <w:t>Non-binary</w:t>
            </w:r>
          </w:p>
        </w:tc>
        <w:tc>
          <w:tcPr>
            <w:tcW w:w="1660" w:type="dxa"/>
            <w:tcBorders>
              <w:top w:val="nil"/>
              <w:left w:val="nil"/>
              <w:bottom w:val="nil"/>
              <w:right w:val="nil"/>
            </w:tcBorders>
            <w:shd w:val="clear" w:color="auto" w:fill="auto"/>
            <w:noWrap/>
            <w:vAlign w:val="bottom"/>
            <w:hideMark/>
          </w:tcPr>
          <w:p w14:paraId="3BEA5ACF" w14:textId="77777777" w:rsidR="009E7E9B" w:rsidRPr="009E7E9B" w:rsidRDefault="009E7E9B" w:rsidP="009E7E9B">
            <w:pPr>
              <w:widowControl/>
              <w:autoSpaceDE/>
              <w:autoSpaceDN/>
              <w:jc w:val="right"/>
              <w:rPr>
                <w:rFonts w:ascii="Calibri" w:eastAsia="Times New Roman" w:hAnsi="Calibri" w:cs="Calibri"/>
                <w:color w:val="000000"/>
                <w:lang w:eastAsia="en-GB"/>
              </w:rPr>
            </w:pPr>
            <w:r w:rsidRPr="009E7E9B">
              <w:rPr>
                <w:rFonts w:ascii="Calibri" w:eastAsia="Times New Roman" w:hAnsi="Calibri" w:cs="Calibri"/>
                <w:color w:val="000000"/>
                <w:lang w:eastAsia="en-GB"/>
              </w:rPr>
              <w:t>2</w:t>
            </w:r>
          </w:p>
        </w:tc>
      </w:tr>
      <w:tr w:rsidR="009E7E9B" w:rsidRPr="009E7E9B" w14:paraId="5A1F0FCD" w14:textId="77777777" w:rsidTr="009E7E9B">
        <w:trPr>
          <w:trHeight w:val="300"/>
        </w:trPr>
        <w:tc>
          <w:tcPr>
            <w:tcW w:w="1380" w:type="dxa"/>
            <w:tcBorders>
              <w:top w:val="single" w:sz="4" w:space="0" w:color="8EA9DB"/>
              <w:left w:val="nil"/>
              <w:bottom w:val="nil"/>
              <w:right w:val="nil"/>
            </w:tcBorders>
            <w:shd w:val="clear" w:color="D9E1F2" w:fill="D9E1F2"/>
            <w:noWrap/>
            <w:vAlign w:val="bottom"/>
            <w:hideMark/>
          </w:tcPr>
          <w:p w14:paraId="335FB4BC" w14:textId="77777777" w:rsidR="009E7E9B" w:rsidRPr="009E7E9B" w:rsidRDefault="009E7E9B" w:rsidP="009E7E9B">
            <w:pPr>
              <w:widowControl/>
              <w:autoSpaceDE/>
              <w:autoSpaceDN/>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Grand Total</w:t>
            </w:r>
          </w:p>
        </w:tc>
        <w:tc>
          <w:tcPr>
            <w:tcW w:w="1660" w:type="dxa"/>
            <w:tcBorders>
              <w:top w:val="single" w:sz="4" w:space="0" w:color="8EA9DB"/>
              <w:left w:val="nil"/>
              <w:bottom w:val="nil"/>
              <w:right w:val="nil"/>
            </w:tcBorders>
            <w:shd w:val="clear" w:color="D9E1F2" w:fill="D9E1F2"/>
            <w:noWrap/>
            <w:vAlign w:val="bottom"/>
            <w:hideMark/>
          </w:tcPr>
          <w:p w14:paraId="79A56BA2" w14:textId="77777777" w:rsidR="009E7E9B" w:rsidRPr="009E7E9B" w:rsidRDefault="009E7E9B" w:rsidP="009E7E9B">
            <w:pPr>
              <w:widowControl/>
              <w:autoSpaceDE/>
              <w:autoSpaceDN/>
              <w:jc w:val="right"/>
              <w:rPr>
                <w:rFonts w:ascii="Calibri" w:eastAsia="Times New Roman" w:hAnsi="Calibri" w:cs="Calibri"/>
                <w:b/>
                <w:bCs/>
                <w:color w:val="000000"/>
                <w:lang w:eastAsia="en-GB"/>
              </w:rPr>
            </w:pPr>
            <w:r w:rsidRPr="009E7E9B">
              <w:rPr>
                <w:rFonts w:ascii="Calibri" w:eastAsia="Times New Roman" w:hAnsi="Calibri" w:cs="Calibri"/>
                <w:b/>
                <w:bCs/>
                <w:color w:val="000000"/>
                <w:lang w:eastAsia="en-GB"/>
              </w:rPr>
              <w:t>260</w:t>
            </w:r>
          </w:p>
        </w:tc>
      </w:tr>
    </w:tbl>
    <w:p w14:paraId="470FDCE2" w14:textId="3F7AF595" w:rsidR="00A83E4C" w:rsidRDefault="00DF2D13" w:rsidP="003D5E80">
      <w:pPr>
        <w:ind w:right="277"/>
      </w:pPr>
      <w:r>
        <w:rPr>
          <w:noProof/>
        </w:rPr>
        <w:drawing>
          <wp:anchor distT="0" distB="0" distL="114300" distR="114300" simplePos="0" relativeHeight="251652096" behindDoc="0" locked="0" layoutInCell="1" allowOverlap="1" wp14:anchorId="4FEFC2EF" wp14:editId="441F811E">
            <wp:simplePos x="0" y="0"/>
            <wp:positionH relativeFrom="column">
              <wp:posOffset>2359660</wp:posOffset>
            </wp:positionH>
            <wp:positionV relativeFrom="paragraph">
              <wp:posOffset>-1540510</wp:posOffset>
            </wp:positionV>
            <wp:extent cx="2470880" cy="148526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0880" cy="1485265"/>
                    </a:xfrm>
                    <a:prstGeom prst="rect">
                      <a:avLst/>
                    </a:prstGeom>
                    <a:noFill/>
                  </pic:spPr>
                </pic:pic>
              </a:graphicData>
            </a:graphic>
            <wp14:sizeRelH relativeFrom="margin">
              <wp14:pctWidth>0</wp14:pctWidth>
            </wp14:sizeRelH>
            <wp14:sizeRelV relativeFrom="margin">
              <wp14:pctHeight>0</wp14:pctHeight>
            </wp14:sizeRelV>
          </wp:anchor>
        </w:drawing>
      </w:r>
    </w:p>
    <w:p w14:paraId="4699A2BE" w14:textId="111FFA24" w:rsidR="00A83E4C" w:rsidRPr="000D306F" w:rsidRDefault="00986847" w:rsidP="003D5E80">
      <w:pPr>
        <w:ind w:right="277"/>
      </w:pPr>
      <w:r w:rsidRPr="000D306F">
        <w:t xml:space="preserve">g). </w:t>
      </w:r>
      <w:r w:rsidR="00E22CD5" w:rsidRPr="000D306F">
        <w:t>From the data</w:t>
      </w:r>
      <w:r w:rsidR="003D33FE" w:rsidRPr="000D306F">
        <w:t xml:space="preserve">, I have prepared a breakdown to see the ethnic makeup of each team and displayed an average </w:t>
      </w:r>
      <w:r w:rsidR="005D1936" w:rsidRPr="000D306F">
        <w:t xml:space="preserve">percentage to compare </w:t>
      </w:r>
      <w:r w:rsidR="00ED2050" w:rsidRPr="000D306F">
        <w:t>the diversity</w:t>
      </w:r>
      <w:r w:rsidR="00A9513A" w:rsidRPr="000D306F">
        <w:t xml:space="preserve"> statistics between</w:t>
      </w:r>
      <w:r w:rsidR="00ED2050" w:rsidRPr="000D306F">
        <w:t xml:space="preserve"> each Directorate. </w:t>
      </w:r>
    </w:p>
    <w:p w14:paraId="56BC8B27" w14:textId="5ED072E0" w:rsidR="00ED2050" w:rsidRDefault="00A9513A" w:rsidP="003D5E80">
      <w:pPr>
        <w:ind w:right="277"/>
      </w:pPr>
      <w:r w:rsidRPr="000D306F">
        <w:t xml:space="preserve">As you can see from the data below, it is interesting that a </w:t>
      </w:r>
      <w:r w:rsidR="0031482F" w:rsidRPr="000D306F">
        <w:t xml:space="preserve">smaller team such as the </w:t>
      </w:r>
      <w:r w:rsidR="004B29F8" w:rsidRPr="000D306F">
        <w:t xml:space="preserve">Community Engagement and Partnerships </w:t>
      </w:r>
      <w:r w:rsidR="00665E77" w:rsidRPr="000D306F">
        <w:t xml:space="preserve">has 4 employees out of 7 identifying as </w:t>
      </w:r>
      <w:r w:rsidR="0021275E" w:rsidRPr="000D306F">
        <w:t xml:space="preserve">‘White British’ </w:t>
      </w:r>
      <w:r w:rsidR="002949A6" w:rsidRPr="000D306F">
        <w:t xml:space="preserve">(57.14%) </w:t>
      </w:r>
      <w:r w:rsidR="0021275E" w:rsidRPr="000D306F">
        <w:t xml:space="preserve">in comparison with the </w:t>
      </w:r>
      <w:r w:rsidR="002949A6" w:rsidRPr="000D306F">
        <w:t xml:space="preserve">Lettings team where they make up 100% </w:t>
      </w:r>
      <w:r w:rsidR="0037612F" w:rsidRPr="000D306F">
        <w:t>(10 out of 10).</w:t>
      </w:r>
    </w:p>
    <w:p w14:paraId="17C32AD3" w14:textId="77777777" w:rsidR="00AB11F2" w:rsidRDefault="009031EC" w:rsidP="003D5E80">
      <w:pPr>
        <w:ind w:right="277"/>
      </w:pPr>
      <w:r>
        <w:t>The most diverse team appears to be the Community Engagement and Partnerships team, with 3/7 not identifying as ‘White – British.’ Coincidently, this is the 3rd worst earning by team, with an average salary of £</w:t>
      </w:r>
      <w:r w:rsidR="00C157BB">
        <w:t xml:space="preserve">27,328.57 - </w:t>
      </w:r>
      <w:r>
        <w:t xml:space="preserve">I have prepared an analysis of the salary breakdown by team further below in diagram J that supports this. </w:t>
      </w:r>
    </w:p>
    <w:p w14:paraId="0CB36E96" w14:textId="557C2C7A" w:rsidR="00C157BB" w:rsidRPr="000D306F" w:rsidRDefault="00C157BB" w:rsidP="003D5E80">
      <w:pPr>
        <w:ind w:right="277"/>
      </w:pPr>
      <w:r>
        <w:t>When it comes to ethnicity pay reporting, there is no mandatory reporting to measure differences and imbalances among organisations unlike gender pay reporting. However, the CIPD provides us with best practice in lieu of sufficient legislation. The CIPD’s recommendations are that there are six pay statistics</w:t>
      </w:r>
      <w:r>
        <w:rPr>
          <w:rStyle w:val="FootnoteReference"/>
        </w:rPr>
        <w:footnoteReference w:id="22"/>
      </w:r>
      <w:r>
        <w:t xml:space="preserve"> that should be published, which will help equalise a pay gap amongst different ethnicities. These a</w:t>
      </w:r>
      <w:r w:rsidR="00985EA0">
        <w:t xml:space="preserve">ims are to ‘Align ethnicity pay reporting with gender </w:t>
      </w:r>
      <w:r w:rsidR="00AB11F2">
        <w:t xml:space="preserve">pay reporting but recognise the differences. Remember ethnicity representation is as important and strongly linked to ethnicity pay gaps. Recognise the value of simplicity and clarity. Focus on action. Start and improve and combine comparability in data with tailoring of analysis and actions.’ </w:t>
      </w:r>
    </w:p>
    <w:p w14:paraId="3919E954" w14:textId="5A849C4F" w:rsidR="00ED2050" w:rsidRDefault="00A9513A" w:rsidP="003D5E80">
      <w:pPr>
        <w:ind w:right="277"/>
        <w:rPr>
          <w:b/>
          <w:bCs/>
        </w:rPr>
      </w:pPr>
      <w:r>
        <w:rPr>
          <w:noProof/>
        </w:rPr>
        <w:lastRenderedPageBreak/>
        <w:drawing>
          <wp:inline distT="0" distB="0" distL="0" distR="0" wp14:anchorId="2C6D702C" wp14:editId="4974DC62">
            <wp:extent cx="6356350" cy="9315450"/>
            <wp:effectExtent l="0" t="0" r="0" b="0"/>
            <wp:docPr id="1" name="Chart 1">
              <a:extLst xmlns:a="http://schemas.openxmlformats.org/drawingml/2006/main">
                <a:ext uri="{FF2B5EF4-FFF2-40B4-BE49-F238E27FC236}">
                  <a16:creationId xmlns:a16="http://schemas.microsoft.com/office/drawing/2014/main" id="{AE3E9CA4-8233-1C22-F85C-DB1D74DF96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6126CF8" w14:textId="0DFB560D" w:rsidR="00ED2050" w:rsidRPr="000D306F" w:rsidRDefault="00C20685" w:rsidP="003D5E80">
      <w:pPr>
        <w:ind w:right="277"/>
      </w:pPr>
      <w:r w:rsidRPr="000D306F">
        <w:lastRenderedPageBreak/>
        <w:t xml:space="preserve">h). </w:t>
      </w:r>
      <w:r w:rsidR="008C575C" w:rsidRPr="000D306F">
        <w:t xml:space="preserve">With the microscope firmly still on </w:t>
      </w:r>
      <w:r w:rsidR="00AD6485" w:rsidRPr="000D306F">
        <w:t>Equality,</w:t>
      </w:r>
      <w:r w:rsidR="00081AD9" w:rsidRPr="000D306F">
        <w:t xml:space="preserve"> Diversity &amp; Inclusion;</w:t>
      </w:r>
      <w:r w:rsidR="00AD6485" w:rsidRPr="000D306F">
        <w:t xml:space="preserve"> </w:t>
      </w:r>
      <w:r w:rsidR="00406BDB" w:rsidRPr="000D306F">
        <w:t xml:space="preserve">from the data, </w:t>
      </w:r>
      <w:r w:rsidR="00AD6485" w:rsidRPr="000D306F">
        <w:t xml:space="preserve">I have </w:t>
      </w:r>
      <w:r w:rsidR="00406BDB" w:rsidRPr="000D306F">
        <w:t>broken</w:t>
      </w:r>
      <w:r w:rsidR="000E3C78" w:rsidRPr="000D306F">
        <w:t xml:space="preserve"> it</w:t>
      </w:r>
      <w:r w:rsidR="00406BDB" w:rsidRPr="000D306F">
        <w:t xml:space="preserve"> down</w:t>
      </w:r>
      <w:r w:rsidR="000E3C78" w:rsidRPr="000D306F">
        <w:t xml:space="preserve"> to show</w:t>
      </w:r>
      <w:r w:rsidR="00406BDB" w:rsidRPr="000D306F">
        <w:t xml:space="preserve"> all employees who have identified as ‘disabled’ by each team. </w:t>
      </w:r>
      <w:r w:rsidR="00AD6485" w:rsidRPr="000D306F">
        <w:t xml:space="preserve"> </w:t>
      </w:r>
      <w:r w:rsidR="00CC4E39" w:rsidRPr="000D306F">
        <w:t xml:space="preserve"> </w:t>
      </w:r>
    </w:p>
    <w:p w14:paraId="4EF0896C" w14:textId="1E2C0B41" w:rsidR="000E3C78" w:rsidRPr="000D306F" w:rsidRDefault="00494E5F" w:rsidP="003D5E80">
      <w:pPr>
        <w:ind w:right="277"/>
      </w:pPr>
      <w:r w:rsidRPr="000D306F">
        <w:t xml:space="preserve">It is significant that </w:t>
      </w:r>
      <w:r w:rsidR="0063335C" w:rsidRPr="000D306F">
        <w:t xml:space="preserve">not one employee </w:t>
      </w:r>
      <w:r w:rsidR="00C66AC9" w:rsidRPr="000D306F">
        <w:t xml:space="preserve">is ‘disabled’ </w:t>
      </w:r>
      <w:r w:rsidR="0063335C" w:rsidRPr="000D306F">
        <w:t xml:space="preserve">in the </w:t>
      </w:r>
      <w:r w:rsidR="00C66AC9" w:rsidRPr="000D306F">
        <w:t>B</w:t>
      </w:r>
      <w:r w:rsidR="0063335C" w:rsidRPr="000D306F">
        <w:t>usiness services/</w:t>
      </w:r>
      <w:r w:rsidR="00C66AC9" w:rsidRPr="000D306F">
        <w:t xml:space="preserve">Governance, which is presumably </w:t>
      </w:r>
      <w:r w:rsidR="00DA3F48" w:rsidRPr="000D306F">
        <w:t>office-based</w:t>
      </w:r>
      <w:r w:rsidR="005A6C86" w:rsidRPr="000D306F">
        <w:t xml:space="preserve"> work, yet there are 5 who identify as disabled within the property team</w:t>
      </w:r>
      <w:r w:rsidR="00FC3C48" w:rsidRPr="000D306F">
        <w:t>, w</w:t>
      </w:r>
      <w:r w:rsidR="00C47649" w:rsidRPr="000D306F">
        <w:t xml:space="preserve">hich may </w:t>
      </w:r>
      <w:r w:rsidR="00DA3F48" w:rsidRPr="000D306F">
        <w:t>involve</w:t>
      </w:r>
      <w:r w:rsidR="00C47649" w:rsidRPr="000D306F">
        <w:t xml:space="preserve"> more manual </w:t>
      </w:r>
      <w:r w:rsidR="00DA3F48" w:rsidRPr="000D306F">
        <w:t>based work</w:t>
      </w:r>
      <w:r w:rsidR="00FC3C48" w:rsidRPr="000D306F">
        <w:t xml:space="preserve"> -</w:t>
      </w:r>
      <w:r w:rsidR="00DA3F48" w:rsidRPr="000D306F">
        <w:t xml:space="preserve"> </w:t>
      </w:r>
      <w:r w:rsidR="00FC3C48" w:rsidRPr="000D306F">
        <w:t>this is purely an observation.</w:t>
      </w:r>
    </w:p>
    <w:p w14:paraId="7223876E" w14:textId="77777777" w:rsidR="0028219C" w:rsidRDefault="0028219C" w:rsidP="003D5E80">
      <w:pPr>
        <w:ind w:right="277"/>
        <w:rPr>
          <w:b/>
          <w:bCs/>
        </w:rPr>
      </w:pPr>
    </w:p>
    <w:p w14:paraId="65A494BB" w14:textId="273EE2D9" w:rsidR="0028219C" w:rsidRPr="00986847" w:rsidRDefault="0028219C" w:rsidP="003D5E80">
      <w:pPr>
        <w:ind w:right="277"/>
        <w:rPr>
          <w:b/>
          <w:bCs/>
        </w:rPr>
      </w:pPr>
      <w:r>
        <w:rPr>
          <w:noProof/>
        </w:rPr>
        <w:drawing>
          <wp:inline distT="0" distB="0" distL="0" distR="0" wp14:anchorId="3291571B" wp14:editId="79821AC8">
            <wp:extent cx="6407150" cy="8083550"/>
            <wp:effectExtent l="0" t="0" r="0" b="0"/>
            <wp:docPr id="2" name="Chart 2">
              <a:extLst xmlns:a="http://schemas.openxmlformats.org/drawingml/2006/main">
                <a:ext uri="{FF2B5EF4-FFF2-40B4-BE49-F238E27FC236}">
                  <a16:creationId xmlns:a16="http://schemas.microsoft.com/office/drawing/2014/main" id="{20AF48FF-6D1C-0598-1B2D-9B4D3EE0B7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1F5C93" w14:textId="707D5A14" w:rsidR="00C65000" w:rsidRDefault="00C65000" w:rsidP="000D4102">
      <w:pPr>
        <w:ind w:right="277"/>
      </w:pPr>
    </w:p>
    <w:p w14:paraId="516FD3E4" w14:textId="77777777" w:rsidR="000D4102" w:rsidRDefault="000D4102" w:rsidP="000D4102">
      <w:pPr>
        <w:ind w:right="277"/>
      </w:pPr>
    </w:p>
    <w:p w14:paraId="3821C808" w14:textId="7AC7722C" w:rsidR="00B452B6" w:rsidRPr="000D306F" w:rsidRDefault="000D4102" w:rsidP="000D4102">
      <w:pPr>
        <w:ind w:right="277"/>
      </w:pPr>
      <w:proofErr w:type="spellStart"/>
      <w:r>
        <w:t>i</w:t>
      </w:r>
      <w:proofErr w:type="spellEnd"/>
      <w:r>
        <w:t xml:space="preserve">). </w:t>
      </w:r>
      <w:r w:rsidR="00B927A8" w:rsidRPr="000D306F">
        <w:t>‘</w:t>
      </w:r>
      <w:r w:rsidR="00B452B6" w:rsidRPr="000D306F">
        <w:t>It is a</w:t>
      </w:r>
      <w:r w:rsidR="00F23F1F" w:rsidRPr="000D306F">
        <w:t xml:space="preserve"> mandatory</w:t>
      </w:r>
      <w:r w:rsidR="00B452B6" w:rsidRPr="000D306F">
        <w:t xml:space="preserve"> requirement </w:t>
      </w:r>
      <w:r w:rsidR="00F23F1F" w:rsidRPr="000D306F">
        <w:t>for</w:t>
      </w:r>
      <w:r w:rsidR="00B452B6" w:rsidRPr="000D306F">
        <w:t xml:space="preserve"> all employers over </w:t>
      </w:r>
      <w:r w:rsidR="00993F02" w:rsidRPr="000D306F">
        <w:t>250 people</w:t>
      </w:r>
      <w:r w:rsidR="00B97373" w:rsidRPr="000D306F">
        <w:t xml:space="preserve"> to report their </w:t>
      </w:r>
      <w:r w:rsidR="00155668" w:rsidRPr="000D306F">
        <w:t xml:space="preserve">salary </w:t>
      </w:r>
      <w:r w:rsidR="0022606A" w:rsidRPr="000D306F">
        <w:t>disbursement</w:t>
      </w:r>
      <w:r w:rsidR="00155668" w:rsidRPr="000D306F">
        <w:t xml:space="preserve"> between genders</w:t>
      </w:r>
      <w:r w:rsidR="005A3456" w:rsidRPr="000D306F">
        <w:t xml:space="preserve"> i</w:t>
      </w:r>
      <w:r w:rsidR="00381508" w:rsidRPr="000D306F">
        <w:t xml:space="preserve">n accordance with the </w:t>
      </w:r>
      <w:r w:rsidR="00381508" w:rsidRPr="000D306F">
        <w:rPr>
          <w:u w:val="single"/>
        </w:rPr>
        <w:t>Equality Act 2010</w:t>
      </w:r>
      <w:r w:rsidR="005A3456" w:rsidRPr="000D306F">
        <w:rPr>
          <w:rStyle w:val="FootnoteReference"/>
        </w:rPr>
        <w:footnoteReference w:id="23"/>
      </w:r>
      <w:r w:rsidR="00381508" w:rsidRPr="000D306F">
        <w:t xml:space="preserve"> and </w:t>
      </w:r>
      <w:r w:rsidR="00381508" w:rsidRPr="000D306F">
        <w:rPr>
          <w:u w:val="single"/>
        </w:rPr>
        <w:t>Gender Pay Gap</w:t>
      </w:r>
      <w:r w:rsidR="002F7F12" w:rsidRPr="000D306F">
        <w:rPr>
          <w:u w:val="single"/>
        </w:rPr>
        <w:t xml:space="preserve"> Regulations 2017</w:t>
      </w:r>
      <w:r w:rsidR="00733C2D" w:rsidRPr="000D306F">
        <w:t>.</w:t>
      </w:r>
      <w:r w:rsidR="00B927A8" w:rsidRPr="000D306F">
        <w:t>’</w:t>
      </w:r>
      <w:r w:rsidR="005A3456" w:rsidRPr="000D306F">
        <w:rPr>
          <w:rStyle w:val="FootnoteReference"/>
        </w:rPr>
        <w:footnoteReference w:id="24"/>
      </w:r>
      <w:r w:rsidR="00F93818" w:rsidRPr="000D306F">
        <w:t xml:space="preserve"> As a result of this, I have prepared a quick overview of the data to show the </w:t>
      </w:r>
      <w:r w:rsidR="00F165A6" w:rsidRPr="000D306F">
        <w:t xml:space="preserve">direct comparison </w:t>
      </w:r>
      <w:r w:rsidR="00D85B90" w:rsidRPr="000D306F">
        <w:t xml:space="preserve">for average salary </w:t>
      </w:r>
      <w:r w:rsidR="0005612B" w:rsidRPr="000D306F">
        <w:t xml:space="preserve">paid </w:t>
      </w:r>
      <w:r w:rsidR="00F165A6" w:rsidRPr="000D306F">
        <w:t>between</w:t>
      </w:r>
      <w:r w:rsidR="0005612B" w:rsidRPr="000D306F">
        <w:t xml:space="preserve"> </w:t>
      </w:r>
      <w:r w:rsidR="00F165A6" w:rsidRPr="000D306F">
        <w:t>genders</w:t>
      </w:r>
      <w:r w:rsidR="0005612B" w:rsidRPr="000D306F">
        <w:t>.</w:t>
      </w:r>
    </w:p>
    <w:p w14:paraId="0F56683D" w14:textId="77777777" w:rsidR="0005612B" w:rsidRDefault="0005612B" w:rsidP="000D4102">
      <w:pPr>
        <w:ind w:right="277"/>
      </w:pPr>
    </w:p>
    <w:p w14:paraId="1C47F147" w14:textId="6775F54D" w:rsidR="0005612B" w:rsidRDefault="0005612B" w:rsidP="000D4102">
      <w:pPr>
        <w:ind w:right="277"/>
      </w:pPr>
      <w:r>
        <w:rPr>
          <w:noProof/>
        </w:rPr>
        <w:drawing>
          <wp:inline distT="0" distB="0" distL="0" distR="0" wp14:anchorId="3350736C" wp14:editId="721F31E2">
            <wp:extent cx="6635750" cy="2295525"/>
            <wp:effectExtent l="0" t="0" r="0" b="0"/>
            <wp:docPr id="3" name="Chart 3">
              <a:extLst xmlns:a="http://schemas.openxmlformats.org/drawingml/2006/main">
                <a:ext uri="{FF2B5EF4-FFF2-40B4-BE49-F238E27FC236}">
                  <a16:creationId xmlns:a16="http://schemas.microsoft.com/office/drawing/2014/main" id="{9D0DC834-75C3-B933-31D3-CDDA410316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1BCD3F4" w14:textId="77777777" w:rsidR="00F165A6" w:rsidRDefault="00F165A6" w:rsidP="000D4102">
      <w:pPr>
        <w:ind w:right="277"/>
      </w:pPr>
    </w:p>
    <w:p w14:paraId="1FDDDB24" w14:textId="77777777" w:rsidR="00F165A6" w:rsidRDefault="00F165A6" w:rsidP="000D4102">
      <w:pPr>
        <w:ind w:right="277"/>
      </w:pPr>
    </w:p>
    <w:p w14:paraId="553BC339" w14:textId="43DB55B2" w:rsidR="00F165A6" w:rsidRDefault="004C29F3" w:rsidP="000D4102">
      <w:pPr>
        <w:ind w:right="277"/>
      </w:pPr>
      <w:r>
        <w:t xml:space="preserve">As you may notice, females </w:t>
      </w:r>
      <w:r w:rsidR="00515E56">
        <w:t>(£</w:t>
      </w:r>
      <w:r w:rsidR="00BD062E">
        <w:t xml:space="preserve">31,900.30) </w:t>
      </w:r>
      <w:r>
        <w:t xml:space="preserve">on average earn slightly more than </w:t>
      </w:r>
      <w:r w:rsidR="00691026">
        <w:t>males</w:t>
      </w:r>
      <w:r>
        <w:t xml:space="preserve"> </w:t>
      </w:r>
      <w:r w:rsidR="00BD062E">
        <w:t xml:space="preserve">(£31,812.18), </w:t>
      </w:r>
      <w:r>
        <w:t>on this occasion</w:t>
      </w:r>
      <w:r w:rsidR="00515E56">
        <w:t xml:space="preserve"> </w:t>
      </w:r>
      <w:r w:rsidR="00C46D71">
        <w:t>although it</w:t>
      </w:r>
      <w:r w:rsidR="002B4CF1">
        <w:t xml:space="preserve"> is nearly </w:t>
      </w:r>
      <w:r w:rsidR="00F54C46">
        <w:t>equal,</w:t>
      </w:r>
      <w:r w:rsidR="002B4CF1">
        <w:t xml:space="preserve"> and it does not present a </w:t>
      </w:r>
      <w:r w:rsidR="001F59C5">
        <w:t xml:space="preserve">wildly disproportionate </w:t>
      </w:r>
      <w:r w:rsidR="004B0BCA">
        <w:t xml:space="preserve">difference between men and women. </w:t>
      </w:r>
      <w:r w:rsidR="00F54C46">
        <w:t>However, for those who identify as ‘non-binary’ we can see that t</w:t>
      </w:r>
      <w:r w:rsidR="004344A7">
        <w:t xml:space="preserve">here is a significant difference in comparison with the </w:t>
      </w:r>
      <w:r w:rsidR="00401FB6">
        <w:t>other two genders</w:t>
      </w:r>
      <w:r w:rsidR="00C370C4">
        <w:t xml:space="preserve"> as t</w:t>
      </w:r>
      <w:r w:rsidR="00401FB6">
        <w:t>hey earn £19,500.00 on average</w:t>
      </w:r>
      <w:r w:rsidR="00C370C4">
        <w:t>.</w:t>
      </w:r>
      <w:r w:rsidR="00AD0AE9">
        <w:t xml:space="preserve"> However, the 2 employees who identify as non-binary are employed in traditionally lesser ranked and experienced roles as an Administrator and Trades Apprentice. </w:t>
      </w:r>
    </w:p>
    <w:p w14:paraId="1516EB1E" w14:textId="77777777" w:rsidR="006A0046" w:rsidRDefault="006A0046" w:rsidP="000D4102">
      <w:pPr>
        <w:ind w:right="277"/>
      </w:pPr>
    </w:p>
    <w:p w14:paraId="4DD95AD2" w14:textId="71D5AAD3" w:rsidR="006A0046" w:rsidRDefault="006A0046" w:rsidP="000D4102">
      <w:pPr>
        <w:ind w:right="277"/>
      </w:pPr>
      <w:r>
        <w:t xml:space="preserve">j). Finally, I have sorted through the data to </w:t>
      </w:r>
      <w:r w:rsidR="00166C6F">
        <w:t xml:space="preserve">signify a breakdown of each team and the average salary earnt </w:t>
      </w:r>
      <w:r w:rsidR="00450F8E">
        <w:t>between them. Please see the chart below:</w:t>
      </w:r>
    </w:p>
    <w:p w14:paraId="47C6FB0D" w14:textId="77777777" w:rsidR="00450F8E" w:rsidRDefault="00450F8E" w:rsidP="000D4102">
      <w:pPr>
        <w:ind w:right="277"/>
      </w:pPr>
    </w:p>
    <w:p w14:paraId="291B1793" w14:textId="07047094" w:rsidR="00450F8E" w:rsidRDefault="0021290F" w:rsidP="000D4102">
      <w:pPr>
        <w:ind w:right="277"/>
      </w:pPr>
      <w:r>
        <w:rPr>
          <w:noProof/>
        </w:rPr>
        <w:drawing>
          <wp:inline distT="0" distB="0" distL="0" distR="0" wp14:anchorId="505F97D6" wp14:editId="1441E8D6">
            <wp:extent cx="6116955" cy="2635885"/>
            <wp:effectExtent l="0" t="0" r="0" b="0"/>
            <wp:docPr id="11" name="Chart 11">
              <a:extLst xmlns:a="http://schemas.openxmlformats.org/drawingml/2006/main">
                <a:ext uri="{FF2B5EF4-FFF2-40B4-BE49-F238E27FC236}">
                  <a16:creationId xmlns:a16="http://schemas.microsoft.com/office/drawing/2014/main" id="{FC9A1B4C-7BE3-472C-B198-36DDD3449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5FF2FF" w14:textId="77777777" w:rsidR="00F165A6" w:rsidRDefault="00F165A6" w:rsidP="000D4102">
      <w:pPr>
        <w:ind w:right="277"/>
      </w:pPr>
    </w:p>
    <w:p w14:paraId="5E7572B7" w14:textId="727CF7AF" w:rsidR="00F165A6" w:rsidRDefault="00450F8E" w:rsidP="000D4102">
      <w:pPr>
        <w:ind w:right="277"/>
      </w:pPr>
      <w:r>
        <w:t xml:space="preserve">As you may notice, </w:t>
      </w:r>
      <w:r w:rsidR="007A4517">
        <w:t xml:space="preserve">the average salary </w:t>
      </w:r>
      <w:r w:rsidR="003313C4">
        <w:t xml:space="preserve">of each employee amongst all the teams is £31,757.46 however, this </w:t>
      </w:r>
      <w:r w:rsidR="00997A04">
        <w:t xml:space="preserve">does not necessarily </w:t>
      </w:r>
      <w:r w:rsidR="001524CC">
        <w:t>mean that each salary is disbursed</w:t>
      </w:r>
      <w:r w:rsidR="00997A04">
        <w:t xml:space="preserve"> fairly</w:t>
      </w:r>
      <w:r w:rsidR="001524CC">
        <w:t xml:space="preserve">, as some roles </w:t>
      </w:r>
      <w:r w:rsidR="001524CC">
        <w:lastRenderedPageBreak/>
        <w:t xml:space="preserve">require specialism and others </w:t>
      </w:r>
      <w:r w:rsidR="0021290F">
        <w:t xml:space="preserve">may be more </w:t>
      </w:r>
      <w:r w:rsidR="00950920">
        <w:t xml:space="preserve">menial. Therefore, the greater the number of each team may </w:t>
      </w:r>
      <w:r w:rsidR="008D5926">
        <w:t>mean</w:t>
      </w:r>
      <w:r w:rsidR="00950920">
        <w:t xml:space="preserve"> a lesser average salary earnt. </w:t>
      </w:r>
      <w:r w:rsidR="002C10EF">
        <w:t>We would expect to see the</w:t>
      </w:r>
      <w:r w:rsidR="004C13F8">
        <w:t xml:space="preserve"> five</w:t>
      </w:r>
      <w:r w:rsidR="002C10EF">
        <w:t xml:space="preserve"> Directors </w:t>
      </w:r>
      <w:r w:rsidR="008D5926">
        <w:t xml:space="preserve">earning the most on average </w:t>
      </w:r>
      <w:r w:rsidR="004C13F8">
        <w:t xml:space="preserve">(£93,791.00) </w:t>
      </w:r>
      <w:r w:rsidR="008D5926">
        <w:t xml:space="preserve">and this does in fact raise the average overall. </w:t>
      </w:r>
      <w:r w:rsidR="002B4DA5">
        <w:t xml:space="preserve">In contrast, </w:t>
      </w:r>
      <w:r w:rsidR="004C13F8">
        <w:t xml:space="preserve">a similar team number </w:t>
      </w:r>
      <w:r w:rsidR="00FE6FBD">
        <w:t>such as</w:t>
      </w:r>
      <w:r w:rsidR="004C13F8">
        <w:t xml:space="preserve"> the Marketing team (4) only earn</w:t>
      </w:r>
      <w:r w:rsidR="005B2D00">
        <w:t>s</w:t>
      </w:r>
      <w:r w:rsidR="004C13F8">
        <w:t xml:space="preserve"> </w:t>
      </w:r>
      <w:r w:rsidR="00FE6FBD">
        <w:t>£28,037.50</w:t>
      </w:r>
      <w:r w:rsidR="005B2D00">
        <w:t xml:space="preserve"> per annum.</w:t>
      </w:r>
    </w:p>
    <w:p w14:paraId="303C2293" w14:textId="77777777" w:rsidR="00C174FE" w:rsidRDefault="00C174FE" w:rsidP="00C174FE">
      <w:pPr>
        <w:ind w:right="277"/>
      </w:pPr>
    </w:p>
    <w:p w14:paraId="6F753900" w14:textId="2A997056" w:rsidR="00713738" w:rsidRDefault="00DF1B7D" w:rsidP="00C174FE">
      <w:pPr>
        <w:ind w:right="277"/>
      </w:pPr>
      <w:r>
        <w:t>Upon review of the feedback</w:t>
      </w:r>
      <w:r w:rsidR="00DE69F2">
        <w:t xml:space="preserve"> scores</w:t>
      </w:r>
      <w:r>
        <w:t xml:space="preserve"> </w:t>
      </w:r>
      <w:r w:rsidR="00B44D36">
        <w:t>from</w:t>
      </w:r>
      <w:r>
        <w:t xml:space="preserve"> the 300 employees, </w:t>
      </w:r>
      <w:r w:rsidR="00C57695">
        <w:t xml:space="preserve">it would be wise to state that </w:t>
      </w:r>
      <w:r w:rsidR="00713738">
        <w:t>from</w:t>
      </w:r>
      <w:r w:rsidR="00C57695">
        <w:t xml:space="preserve"> the </w:t>
      </w:r>
      <w:r w:rsidR="00C406D2">
        <w:t>outset</w:t>
      </w:r>
      <w:r w:rsidR="00C57695">
        <w:t xml:space="preserve">, we must be cautious in </w:t>
      </w:r>
      <w:r w:rsidR="00D24E91">
        <w:t xml:space="preserve">in both over and undervaluing the </w:t>
      </w:r>
      <w:r w:rsidR="00C406D2">
        <w:t>validity</w:t>
      </w:r>
      <w:r w:rsidR="00D24E91">
        <w:t xml:space="preserve"> of the data presented </w:t>
      </w:r>
      <w:r w:rsidR="00205C52">
        <w:t xml:space="preserve">if the results prompt us into </w:t>
      </w:r>
      <w:r w:rsidR="004143F3">
        <w:t xml:space="preserve">action as we’re not aware of the </w:t>
      </w:r>
      <w:r w:rsidR="00864DF4">
        <w:t xml:space="preserve">overall </w:t>
      </w:r>
      <w:r w:rsidR="004143F3">
        <w:t xml:space="preserve">total amount of </w:t>
      </w:r>
      <w:r w:rsidR="00864DF4">
        <w:t>employees</w:t>
      </w:r>
      <w:r w:rsidR="004143F3">
        <w:t xml:space="preserve"> to pr</w:t>
      </w:r>
      <w:r w:rsidR="00864DF4">
        <w:t xml:space="preserve">ove a correlation with the </w:t>
      </w:r>
      <w:r w:rsidR="00713738">
        <w:t>sentiments provided by the respondents</w:t>
      </w:r>
      <w:r w:rsidR="00D006B4">
        <w:t xml:space="preserve"> </w:t>
      </w:r>
      <w:r w:rsidR="00DC4ADF">
        <w:t>along with the wider feelings of the other employees</w:t>
      </w:r>
      <w:r w:rsidR="00713738">
        <w:t>.</w:t>
      </w:r>
      <w:r w:rsidR="008511C5">
        <w:t xml:space="preserve"> Nonetheless, </w:t>
      </w:r>
      <w:r w:rsidR="000270CF">
        <w:t xml:space="preserve">the </w:t>
      </w:r>
      <w:r w:rsidR="00231DA7">
        <w:t>responses</w:t>
      </w:r>
      <w:r w:rsidR="000270CF">
        <w:t xml:space="preserve"> displayed </w:t>
      </w:r>
      <w:r w:rsidR="00D3584D">
        <w:t xml:space="preserve">presents an interesting </w:t>
      </w:r>
      <w:r w:rsidR="00D930D6">
        <w:t xml:space="preserve">gauge when it comes to hybrid working practices. </w:t>
      </w:r>
      <w:r w:rsidR="004A38B1">
        <w:t xml:space="preserve">I shall </w:t>
      </w:r>
      <w:r w:rsidR="00B167C7">
        <w:t xml:space="preserve">proceed in analysing the findings. </w:t>
      </w:r>
    </w:p>
    <w:p w14:paraId="53B9ED75" w14:textId="2A92802B" w:rsidR="00B167C7" w:rsidRDefault="009354BC" w:rsidP="00C174FE">
      <w:pPr>
        <w:ind w:right="277"/>
      </w:pPr>
      <w:r>
        <w:t>This is</w:t>
      </w:r>
      <w:r w:rsidR="00231DA7">
        <w:t xml:space="preserve"> a classic example </w:t>
      </w:r>
      <w:r w:rsidR="00373BD5">
        <w:t>of</w:t>
      </w:r>
      <w:r w:rsidR="00231DA7">
        <w:t xml:space="preserve"> quantitative research</w:t>
      </w:r>
      <w:r w:rsidR="00A33FB6">
        <w:t>, whereby the replies are gathered from a s</w:t>
      </w:r>
      <w:r w:rsidR="002B1804">
        <w:t>urvey</w:t>
      </w:r>
      <w:r w:rsidR="00131F9D">
        <w:t xml:space="preserve">, indicating </w:t>
      </w:r>
      <w:r w:rsidR="0091512F">
        <w:t>premeditated</w:t>
      </w:r>
      <w:r w:rsidR="00160CA7">
        <w:t xml:space="preserve"> answers to each question and the respondent </w:t>
      </w:r>
      <w:r w:rsidR="00C52A7B">
        <w:t xml:space="preserve">indicates how </w:t>
      </w:r>
      <w:r w:rsidR="0091512F">
        <w:t>strongly</w:t>
      </w:r>
      <w:r w:rsidR="007D5EEE">
        <w:t xml:space="preserve"> they agree from a scale of 1-5, 1 being the </w:t>
      </w:r>
      <w:r w:rsidR="0091512F">
        <w:t>strongest</w:t>
      </w:r>
      <w:r w:rsidR="007D5EEE">
        <w:t>, 5 being the le</w:t>
      </w:r>
      <w:r w:rsidR="0091512F">
        <w:t>ast amount they agree.</w:t>
      </w:r>
      <w:r w:rsidR="00C52A7B">
        <w:t xml:space="preserve"> </w:t>
      </w:r>
      <w:r w:rsidR="003931B6">
        <w:t>A</w:t>
      </w:r>
      <w:r w:rsidR="00373BD5">
        <w:t xml:space="preserve">s </w:t>
      </w:r>
      <w:r w:rsidR="002E5179" w:rsidRPr="00C551A4">
        <w:rPr>
          <w:b/>
          <w:bCs/>
          <w:u w:val="single"/>
        </w:rPr>
        <w:t>Bryman</w:t>
      </w:r>
      <w:r w:rsidR="00C551A4">
        <w:rPr>
          <w:rStyle w:val="FootnoteReference"/>
        </w:rPr>
        <w:footnoteReference w:id="25"/>
      </w:r>
      <w:r w:rsidR="00C551A4">
        <w:t xml:space="preserve"> </w:t>
      </w:r>
      <w:r w:rsidR="003931B6">
        <w:t>summarised</w:t>
      </w:r>
      <w:r w:rsidR="00C551A4">
        <w:t xml:space="preserve"> in his </w:t>
      </w:r>
      <w:r w:rsidR="003931B6">
        <w:t xml:space="preserve">2006 article, the mixed method of research, by way of combining qualitative and quantitative research </w:t>
      </w:r>
      <w:r w:rsidR="00F9448E">
        <w:t>can be far more unpredictable than</w:t>
      </w:r>
      <w:r w:rsidR="003931B6">
        <w:t xml:space="preserve"> if we were to view them solely in isolation. </w:t>
      </w:r>
    </w:p>
    <w:p w14:paraId="4DF51157" w14:textId="77777777" w:rsidR="00066C01" w:rsidRDefault="00066C01" w:rsidP="00066C01">
      <w:pPr>
        <w:ind w:right="277"/>
      </w:pPr>
    </w:p>
    <w:p w14:paraId="6C18DF04" w14:textId="13AED2FA" w:rsidR="00066C01" w:rsidRDefault="001421DA" w:rsidP="00066C01">
      <w:pPr>
        <w:pStyle w:val="ListParagraph"/>
        <w:numPr>
          <w:ilvl w:val="0"/>
          <w:numId w:val="35"/>
        </w:numPr>
        <w:ind w:right="277"/>
      </w:pPr>
      <w:r>
        <w:t>From</w:t>
      </w:r>
      <w:r w:rsidR="00D518A7">
        <w:t xml:space="preserve"> the responses, </w:t>
      </w:r>
      <w:r>
        <w:t>employees</w:t>
      </w:r>
      <w:r w:rsidR="00D518A7">
        <w:t xml:space="preserve"> are enjoying a more balanced work/home life. </w:t>
      </w:r>
    </w:p>
    <w:p w14:paraId="7C32F74E" w14:textId="77777777" w:rsidR="00066C01" w:rsidRDefault="00066C01" w:rsidP="00C174FE">
      <w:pPr>
        <w:pStyle w:val="ListParagraph"/>
        <w:numPr>
          <w:ilvl w:val="0"/>
          <w:numId w:val="35"/>
        </w:numPr>
        <w:ind w:right="277"/>
      </w:pPr>
      <w:r>
        <w:t>They feel h</w:t>
      </w:r>
      <w:r w:rsidR="00D518A7">
        <w:t xml:space="preserve">ybrid working practices are beneficial to their wellbeing. </w:t>
      </w:r>
    </w:p>
    <w:p w14:paraId="009D7ACF" w14:textId="77777777" w:rsidR="00066C01" w:rsidRDefault="00D518A7" w:rsidP="00C174FE">
      <w:pPr>
        <w:pStyle w:val="ListParagraph"/>
        <w:numPr>
          <w:ilvl w:val="0"/>
          <w:numId w:val="35"/>
        </w:numPr>
        <w:ind w:right="277"/>
      </w:pPr>
      <w:r>
        <w:t xml:space="preserve">They do not feel fully supported when working from home. </w:t>
      </w:r>
    </w:p>
    <w:p w14:paraId="40029E1F" w14:textId="77777777" w:rsidR="00066C01" w:rsidRDefault="00066C01" w:rsidP="00C174FE">
      <w:pPr>
        <w:pStyle w:val="ListParagraph"/>
        <w:numPr>
          <w:ilvl w:val="0"/>
          <w:numId w:val="35"/>
        </w:numPr>
        <w:ind w:right="277"/>
      </w:pPr>
      <w:r>
        <w:t>A m</w:t>
      </w:r>
      <w:r w:rsidR="00D518A7">
        <w:t xml:space="preserve">ixed response to finding WFH a challenge. </w:t>
      </w:r>
      <w:r>
        <w:t xml:space="preserve">This could be contributed as most modern workforces have adapted to communicate in a variety of different ways using modern tools such as Microsoft Teams/Zoom calls to enhance engagement. </w:t>
      </w:r>
    </w:p>
    <w:p w14:paraId="195EAC13" w14:textId="77777777" w:rsidR="00066C01" w:rsidRDefault="00D518A7" w:rsidP="00C174FE">
      <w:pPr>
        <w:pStyle w:val="ListParagraph"/>
        <w:numPr>
          <w:ilvl w:val="0"/>
          <w:numId w:val="35"/>
        </w:numPr>
        <w:ind w:right="277"/>
      </w:pPr>
      <w:r>
        <w:t xml:space="preserve">A difficulty separating work and home life. </w:t>
      </w:r>
    </w:p>
    <w:p w14:paraId="5E4C54F2" w14:textId="6CA57D7B" w:rsidR="00D76FB5" w:rsidRDefault="00D518A7" w:rsidP="00C174FE">
      <w:pPr>
        <w:pStyle w:val="ListParagraph"/>
        <w:numPr>
          <w:ilvl w:val="0"/>
          <w:numId w:val="35"/>
        </w:numPr>
        <w:ind w:right="277"/>
      </w:pPr>
      <w:r>
        <w:t xml:space="preserve">An almost even split when it comes to feeling more productive. </w:t>
      </w:r>
    </w:p>
    <w:p w14:paraId="23CBC980" w14:textId="512A74A7" w:rsidR="008644B4" w:rsidRDefault="008644B4" w:rsidP="00C174FE">
      <w:pPr>
        <w:pStyle w:val="ListParagraph"/>
        <w:numPr>
          <w:ilvl w:val="0"/>
          <w:numId w:val="35"/>
        </w:numPr>
        <w:ind w:right="277"/>
      </w:pPr>
      <w:r>
        <w:t xml:space="preserve">More employees felt WFH hindered their ability to collaborate with their </w:t>
      </w:r>
      <w:proofErr w:type="gramStart"/>
      <w:r>
        <w:t>team</w:t>
      </w:r>
      <w:proofErr w:type="gramEnd"/>
    </w:p>
    <w:p w14:paraId="64C9F944" w14:textId="0FEC8C79" w:rsidR="008644B4" w:rsidRDefault="008644B4" w:rsidP="00C174FE">
      <w:pPr>
        <w:pStyle w:val="ListParagraph"/>
        <w:numPr>
          <w:ilvl w:val="0"/>
          <w:numId w:val="35"/>
        </w:numPr>
        <w:ind w:right="277"/>
      </w:pPr>
      <w:r>
        <w:t xml:space="preserve">The company values feel more aligned since hybrid </w:t>
      </w:r>
      <w:proofErr w:type="gramStart"/>
      <w:r>
        <w:t>working</w:t>
      </w:r>
      <w:proofErr w:type="gramEnd"/>
    </w:p>
    <w:p w14:paraId="00D5C871" w14:textId="2FD76E6F" w:rsidR="008644B4" w:rsidRDefault="008644B4" w:rsidP="00C174FE">
      <w:pPr>
        <w:pStyle w:val="ListParagraph"/>
        <w:numPr>
          <w:ilvl w:val="0"/>
          <w:numId w:val="35"/>
        </w:numPr>
        <w:ind w:right="277"/>
      </w:pPr>
      <w:r>
        <w:t xml:space="preserve">Targets are felt to be broadly unachievable whilst </w:t>
      </w:r>
      <w:proofErr w:type="gramStart"/>
      <w:r>
        <w:t>WFH</w:t>
      </w:r>
      <w:proofErr w:type="gramEnd"/>
    </w:p>
    <w:p w14:paraId="5FF10CE3" w14:textId="17B69489" w:rsidR="008644B4" w:rsidRDefault="008644B4" w:rsidP="00C174FE">
      <w:pPr>
        <w:pStyle w:val="ListParagraph"/>
        <w:numPr>
          <w:ilvl w:val="0"/>
          <w:numId w:val="35"/>
        </w:numPr>
        <w:ind w:right="277"/>
      </w:pPr>
      <w:r>
        <w:t xml:space="preserve">Almost even split of respondents felt they could achieve their targets whilst </w:t>
      </w:r>
      <w:proofErr w:type="gramStart"/>
      <w:r>
        <w:t>WFH</w:t>
      </w:r>
      <w:proofErr w:type="gramEnd"/>
    </w:p>
    <w:p w14:paraId="0C54D2A4" w14:textId="096B5221" w:rsidR="008644B4" w:rsidRDefault="008644B4" w:rsidP="00C174FE">
      <w:pPr>
        <w:pStyle w:val="ListParagraph"/>
        <w:numPr>
          <w:ilvl w:val="0"/>
          <w:numId w:val="35"/>
        </w:numPr>
        <w:ind w:right="277"/>
      </w:pPr>
      <w:r>
        <w:t xml:space="preserve">Far less conflict in this mode of </w:t>
      </w:r>
      <w:proofErr w:type="gramStart"/>
      <w:r>
        <w:t>working</w:t>
      </w:r>
      <w:proofErr w:type="gramEnd"/>
    </w:p>
    <w:p w14:paraId="753A771B" w14:textId="7FB649EC" w:rsidR="008644B4" w:rsidRDefault="008644B4" w:rsidP="00C174FE">
      <w:pPr>
        <w:pStyle w:val="ListParagraph"/>
        <w:numPr>
          <w:ilvl w:val="0"/>
          <w:numId w:val="35"/>
        </w:numPr>
        <w:ind w:right="277"/>
      </w:pPr>
      <w:r>
        <w:t xml:space="preserve">An overwhelming amount of 250 disagreed and did not feel less stressed being away from the </w:t>
      </w:r>
      <w:proofErr w:type="gramStart"/>
      <w:r>
        <w:t>workplace</w:t>
      </w:r>
      <w:proofErr w:type="gramEnd"/>
    </w:p>
    <w:p w14:paraId="0F3EE3FD" w14:textId="1264F351" w:rsidR="008644B4" w:rsidRPr="00C174FE" w:rsidRDefault="008644B4" w:rsidP="00C174FE">
      <w:pPr>
        <w:pStyle w:val="ListParagraph"/>
        <w:numPr>
          <w:ilvl w:val="0"/>
          <w:numId w:val="35"/>
        </w:numPr>
        <w:ind w:right="277"/>
      </w:pPr>
      <w:r>
        <w:t xml:space="preserve">Slightly more people felt they had different recognition working from </w:t>
      </w:r>
      <w:proofErr w:type="gramStart"/>
      <w:r>
        <w:t>home</w:t>
      </w:r>
      <w:proofErr w:type="gramEnd"/>
    </w:p>
    <w:p w14:paraId="771CE354" w14:textId="77777777" w:rsidR="00954258" w:rsidRDefault="00954258" w:rsidP="00954258">
      <w:pPr>
        <w:ind w:right="277"/>
      </w:pPr>
    </w:p>
    <w:p w14:paraId="658D0E64" w14:textId="71B676C5" w:rsidR="00954258" w:rsidRDefault="00954258" w:rsidP="00954258">
      <w:pPr>
        <w:ind w:right="277"/>
      </w:pPr>
    </w:p>
    <w:p w14:paraId="7FF75EE5" w14:textId="500076CB" w:rsidR="00A364AE" w:rsidRDefault="00A364AE" w:rsidP="00954258">
      <w:pPr>
        <w:ind w:right="277"/>
      </w:pPr>
    </w:p>
    <w:p w14:paraId="3CDA3079" w14:textId="19826CEC" w:rsidR="00A364AE" w:rsidRDefault="00A364AE" w:rsidP="00954258">
      <w:pPr>
        <w:ind w:right="277"/>
      </w:pPr>
    </w:p>
    <w:p w14:paraId="3B9960D8" w14:textId="06250069" w:rsidR="00A364AE" w:rsidRDefault="00A364AE" w:rsidP="00954258">
      <w:pPr>
        <w:ind w:right="277"/>
      </w:pPr>
    </w:p>
    <w:p w14:paraId="548D69A0" w14:textId="501A02C7" w:rsidR="00A364AE" w:rsidRDefault="00A364AE" w:rsidP="00954258">
      <w:pPr>
        <w:ind w:right="277"/>
      </w:pPr>
    </w:p>
    <w:p w14:paraId="10E97C77" w14:textId="6858917B" w:rsidR="00A364AE" w:rsidRDefault="00A364AE" w:rsidP="00954258">
      <w:pPr>
        <w:ind w:right="277"/>
      </w:pPr>
    </w:p>
    <w:p w14:paraId="28D21AFD" w14:textId="1F6226B1" w:rsidR="00A364AE" w:rsidRDefault="00A364AE" w:rsidP="00954258">
      <w:pPr>
        <w:ind w:right="277"/>
      </w:pPr>
    </w:p>
    <w:p w14:paraId="1373126B" w14:textId="40965C9A" w:rsidR="00A364AE" w:rsidRDefault="00A364AE" w:rsidP="00954258">
      <w:pPr>
        <w:ind w:right="277"/>
      </w:pPr>
    </w:p>
    <w:p w14:paraId="636B4F98" w14:textId="77777777" w:rsidR="00A364AE" w:rsidRPr="00C174FE" w:rsidRDefault="00A364AE" w:rsidP="00954258">
      <w:pPr>
        <w:ind w:right="277"/>
      </w:pPr>
    </w:p>
    <w:bookmarkStart w:id="6" w:name="_Toc152600421" w:displacedByCustomXml="next"/>
    <w:sdt>
      <w:sdtPr>
        <w:rPr>
          <w:rFonts w:ascii="Arial" w:eastAsia="Arial" w:hAnsi="Arial" w:cs="Arial"/>
          <w:i w:val="0"/>
          <w:color w:val="auto"/>
          <w:sz w:val="22"/>
          <w:szCs w:val="22"/>
        </w:rPr>
        <w:id w:val="-1779165945"/>
        <w:docPartObj>
          <w:docPartGallery w:val="Bibliographies"/>
          <w:docPartUnique/>
        </w:docPartObj>
      </w:sdtPr>
      <w:sdtEndPr/>
      <w:sdtContent>
        <w:p w14:paraId="29D36994" w14:textId="131C97DC" w:rsidR="0058605D" w:rsidRDefault="0058605D">
          <w:pPr>
            <w:pStyle w:val="Heading1"/>
          </w:pPr>
          <w:r>
            <w:t>References</w:t>
          </w:r>
        </w:p>
        <w:sdt>
          <w:sdtPr>
            <w:rPr>
              <w:sz w:val="22"/>
              <w:szCs w:val="22"/>
            </w:rPr>
            <w:id w:val="-573587230"/>
            <w:bibliography/>
          </w:sdtPr>
          <w:sdtEndPr/>
          <w:sdtContent>
            <w:p w14:paraId="5109FF2A" w14:textId="77777777" w:rsidR="0058605D" w:rsidRDefault="0058605D" w:rsidP="0058605D">
              <w:pPr>
                <w:pStyle w:val="FootnoteText"/>
              </w:pPr>
              <w:r>
                <w:fldChar w:fldCharType="begin"/>
              </w:r>
              <w:r>
                <w:instrText xml:space="preserve"> BIBLIOGRAPHY </w:instrText>
              </w:r>
              <w:r w:rsidR="00014EDF">
                <w:fldChar w:fldCharType="separate"/>
              </w:r>
              <w:r>
                <w:rPr>
                  <w:b/>
                  <w:bCs/>
                  <w:noProof/>
                </w:rPr>
                <w:fldChar w:fldCharType="end"/>
              </w:r>
              <w:r>
                <w:rPr>
                  <w:rStyle w:val="FootnoteReference"/>
                </w:rPr>
                <w:footnoteRef/>
              </w:r>
              <w:r>
                <w:t xml:space="preserve"> </w:t>
              </w:r>
              <w:r w:rsidRPr="00514328">
                <w:t xml:space="preserve">CIPD (2023) </w:t>
              </w:r>
              <w:r>
                <w:t>The Profession Map</w:t>
              </w:r>
              <w:r w:rsidRPr="00514328">
                <w:t xml:space="preserve">. Available at: </w:t>
              </w:r>
              <w:hyperlink r:id="rId21" w:anchor="relevant" w:history="1">
                <w:r w:rsidRPr="00C1405B">
                  <w:rPr>
                    <w:rStyle w:val="Hyperlink"/>
                  </w:rPr>
                  <w:t>https://www.cipd.org/uk/the-people-profession/the-profession-map/how-it-works/#relevant</w:t>
                </w:r>
              </w:hyperlink>
              <w:r>
                <w:t xml:space="preserve"> (Accessed 15/11/2023)</w:t>
              </w:r>
            </w:p>
            <w:p w14:paraId="078EC255" w14:textId="52795669" w:rsidR="0058605D" w:rsidRDefault="0058605D" w:rsidP="0058605D">
              <w:pPr>
                <w:pStyle w:val="FootnoteText"/>
              </w:pPr>
              <w:r>
                <w:rPr>
                  <w:rStyle w:val="FootnoteReference"/>
                </w:rPr>
                <w:t>2</w:t>
              </w:r>
              <w:r>
                <w:t xml:space="preserve"> Reid Elder, S and </w:t>
              </w:r>
              <w:proofErr w:type="spellStart"/>
              <w:r>
                <w:t>Nikodem</w:t>
              </w:r>
              <w:proofErr w:type="spellEnd"/>
              <w:r>
                <w:t>, M (2023) ‘</w:t>
              </w:r>
              <w:r w:rsidRPr="009D40C2">
                <w:t>Considering the application and relevance of evidence-based HR</w:t>
              </w:r>
              <w:proofErr w:type="gramStart"/>
              <w:r>
                <w:t>’ ,</w:t>
              </w:r>
              <w:proofErr w:type="gramEnd"/>
              <w:r>
                <w:t xml:space="preserve"> People Management, Article</w:t>
              </w:r>
              <w:r w:rsidRPr="009D40C2">
                <w:t xml:space="preserve"> 1845833</w:t>
              </w:r>
              <w:r>
                <w:t xml:space="preserve">. Available at: </w:t>
              </w:r>
              <w:hyperlink r:id="rId22" w:history="1">
                <w:r w:rsidRPr="00C1405B">
                  <w:rPr>
                    <w:rStyle w:val="Hyperlink"/>
                  </w:rPr>
                  <w:t>https://www.peoplemanagement.co.uk/article/1845833/considering-application-relevance-evidence-based-hr</w:t>
                </w:r>
              </w:hyperlink>
              <w:r>
                <w:t xml:space="preserve"> (Accessed: 16/11/2023)</w:t>
              </w:r>
            </w:p>
            <w:p w14:paraId="0AC1E2B7" w14:textId="31A64588" w:rsidR="0058605D" w:rsidRDefault="0058605D" w:rsidP="0058605D">
              <w:pPr>
                <w:pStyle w:val="FootnoteText"/>
              </w:pPr>
              <w:r>
                <w:rPr>
                  <w:rStyle w:val="FootnoteReference"/>
                </w:rPr>
                <w:t>3</w:t>
              </w:r>
              <w:r>
                <w:t xml:space="preserve"> </w:t>
              </w:r>
              <w:r w:rsidRPr="007A2125">
                <w:t xml:space="preserve">Briner, R. (2019). </w:t>
              </w:r>
              <w:r w:rsidRPr="00851A7E">
                <w:rPr>
                  <w:i/>
                  <w:iCs/>
                </w:rPr>
                <w:t>The Basics of Evidence-Based Practice</w:t>
              </w:r>
              <w:r>
                <w:rPr>
                  <w:i/>
                  <w:iCs/>
                </w:rPr>
                <w:t>. I</w:t>
              </w:r>
              <w:r w:rsidRPr="00851A7E">
                <w:rPr>
                  <w:i/>
                  <w:iCs/>
                </w:rPr>
                <w:t>n People &amp; strategy</w:t>
              </w:r>
              <w:r w:rsidRPr="007A2125">
                <w:rPr>
                  <w:i/>
                  <w:iCs/>
                </w:rPr>
                <w:t>: journal of the Human Resource Planning Society</w:t>
              </w:r>
              <w:r w:rsidRPr="007A2125">
                <w:t> (Vol. 42, Issue 1, pp. 16–20). Human Resource Planning Society.</w:t>
              </w:r>
            </w:p>
            <w:p w14:paraId="4B2343EC" w14:textId="1ACFB0ED" w:rsidR="0058605D" w:rsidRDefault="0058605D" w:rsidP="0058605D">
              <w:pPr>
                <w:pStyle w:val="FootnoteText"/>
              </w:pPr>
              <w:r>
                <w:rPr>
                  <w:rStyle w:val="FootnoteReference"/>
                </w:rPr>
                <w:t>4</w:t>
              </w:r>
              <w:r>
                <w:t xml:space="preserve"> </w:t>
              </w:r>
              <w:r w:rsidRPr="00E729FC">
                <w:t xml:space="preserve">Briner, R. (2019). </w:t>
              </w:r>
              <w:r w:rsidRPr="00851A7E">
                <w:rPr>
                  <w:i/>
                  <w:iCs/>
                </w:rPr>
                <w:t>The Basics of Evidence-Based Practice</w:t>
              </w:r>
              <w:r>
                <w:rPr>
                  <w:i/>
                  <w:iCs/>
                </w:rPr>
                <w:t xml:space="preserve">. </w:t>
              </w:r>
              <w:r w:rsidRPr="00851A7E">
                <w:rPr>
                  <w:i/>
                  <w:iCs/>
                </w:rPr>
                <w:t>In People &amp; strategy</w:t>
              </w:r>
              <w:r w:rsidRPr="00E729FC">
                <w:rPr>
                  <w:i/>
                  <w:iCs/>
                </w:rPr>
                <w:t>: journal of the Human Resource Planning Society</w:t>
              </w:r>
              <w:r w:rsidRPr="00E729FC">
                <w:t xml:space="preserve"> (Vol. 42, Issue 1, </w:t>
              </w:r>
              <w:r>
                <w:t>page 17</w:t>
              </w:r>
              <w:r w:rsidRPr="00E729FC">
                <w:t>). Human Resource Planning Society.</w:t>
              </w:r>
            </w:p>
            <w:p w14:paraId="22F18C7A" w14:textId="57367409" w:rsidR="0058605D" w:rsidRDefault="0058605D" w:rsidP="0058605D">
              <w:pPr>
                <w:pStyle w:val="FootnoteText"/>
              </w:pPr>
              <w:r>
                <w:rPr>
                  <w:rStyle w:val="FootnoteReference"/>
                </w:rPr>
                <w:t>5</w:t>
              </w:r>
              <w:r>
                <w:t xml:space="preserve"> CIPD (2023) </w:t>
              </w:r>
              <w:r w:rsidRPr="005C19F0">
                <w:rPr>
                  <w:i/>
                  <w:iCs/>
                </w:rPr>
                <w:t>SWOT Analysis Factsheet</w:t>
              </w:r>
              <w:r>
                <w:t xml:space="preserve">. Available at: </w:t>
              </w:r>
              <w:hyperlink r:id="rId23" w:anchor=":~:text=A%20SWOT%20analysis%20is%20a,environment%20in%20which%20it%20operates" w:history="1">
                <w:r w:rsidRPr="00C1405B">
                  <w:rPr>
                    <w:rStyle w:val="Hyperlink"/>
                  </w:rPr>
                  <w:t>https://www.cipd.org/uk/knowledge/factsheets/swot-analysis-factsheet/#:~:text=A%20SWOT%20analysis%20is%20a,environment%20in%20which%20it%20operates</w:t>
                </w:r>
              </w:hyperlink>
              <w:r w:rsidRPr="003B3128">
                <w:t>.</w:t>
              </w:r>
              <w:r>
                <w:t xml:space="preserve"> (Accessed: 15/11/2023).</w:t>
              </w:r>
            </w:p>
            <w:p w14:paraId="27A6F2B2" w14:textId="4807B29D" w:rsidR="0058605D" w:rsidRDefault="0058605D" w:rsidP="0058605D">
              <w:pPr>
                <w:pStyle w:val="FootnoteText"/>
              </w:pPr>
              <w:r>
                <w:rPr>
                  <w:rStyle w:val="FootnoteReference"/>
                </w:rPr>
                <w:t>6</w:t>
              </w:r>
              <w:r>
                <w:t xml:space="preserve"> </w:t>
              </w:r>
              <w:proofErr w:type="spellStart"/>
              <w:r w:rsidRPr="0070466E">
                <w:t>Chermack</w:t>
              </w:r>
              <w:proofErr w:type="spellEnd"/>
              <w:r w:rsidRPr="0070466E">
                <w:t xml:space="preserve">, T. J., &amp; </w:t>
              </w:r>
              <w:proofErr w:type="spellStart"/>
              <w:r w:rsidRPr="0070466E">
                <w:t>Kasshanna</w:t>
              </w:r>
              <w:proofErr w:type="spellEnd"/>
              <w:r w:rsidRPr="0070466E">
                <w:t xml:space="preserve">, B. K. (2007). </w:t>
              </w:r>
              <w:r w:rsidRPr="005C19F0">
                <w:rPr>
                  <w:i/>
                  <w:iCs/>
                </w:rPr>
                <w:t>The Use and Misuse of SWOT Analysis and Implications for HRD Professionals</w:t>
              </w:r>
              <w:r w:rsidRPr="0070466E">
                <w:t>. </w:t>
              </w:r>
              <w:r w:rsidRPr="005C19F0">
                <w:t>Human Resource Development International</w:t>
              </w:r>
              <w:r w:rsidRPr="0070466E">
                <w:t>, </w:t>
              </w:r>
              <w:r w:rsidRPr="0070466E">
                <w:rPr>
                  <w:i/>
                  <w:iCs/>
                </w:rPr>
                <w:t>10</w:t>
              </w:r>
              <w:r w:rsidRPr="0070466E">
                <w:t xml:space="preserve">(4), 383–399. </w:t>
              </w:r>
              <w:hyperlink r:id="rId24" w:history="1">
                <w:r w:rsidRPr="00DB3526">
                  <w:rPr>
                    <w:rStyle w:val="Hyperlink"/>
                  </w:rPr>
                  <w:t>https://doi.org/10.1080/13678860701718760</w:t>
                </w:r>
              </w:hyperlink>
              <w:r>
                <w:t xml:space="preserve"> </w:t>
              </w:r>
            </w:p>
            <w:p w14:paraId="1A44FECF" w14:textId="72FE9F53" w:rsidR="0058605D" w:rsidRDefault="0058605D" w:rsidP="0058605D">
              <w:pPr>
                <w:pStyle w:val="FootnoteText"/>
              </w:pPr>
              <w:r>
                <w:rPr>
                  <w:rStyle w:val="FootnoteReference"/>
                </w:rPr>
                <w:t>7</w:t>
              </w:r>
              <w:r>
                <w:t xml:space="preserve"> </w:t>
              </w:r>
              <w:proofErr w:type="spellStart"/>
              <w:r w:rsidRPr="0070466E">
                <w:t>Chermack</w:t>
              </w:r>
              <w:proofErr w:type="spellEnd"/>
              <w:r w:rsidRPr="0070466E">
                <w:t xml:space="preserve">, T. J., &amp; </w:t>
              </w:r>
              <w:proofErr w:type="spellStart"/>
              <w:r w:rsidRPr="0070466E">
                <w:t>Kasshanna</w:t>
              </w:r>
              <w:proofErr w:type="spellEnd"/>
              <w:r w:rsidRPr="0070466E">
                <w:t xml:space="preserve">, B. K. (2007). </w:t>
              </w:r>
              <w:r w:rsidRPr="005C19F0">
                <w:rPr>
                  <w:i/>
                  <w:iCs/>
                </w:rPr>
                <w:t>The Use and Misuse of SWOT Analysis and Implications for HRD Professionals</w:t>
              </w:r>
              <w:r w:rsidRPr="0070466E">
                <w:t>. </w:t>
              </w:r>
              <w:r w:rsidRPr="005C19F0">
                <w:t>Human Resource Development International</w:t>
              </w:r>
              <w:r w:rsidRPr="0070466E">
                <w:t>, </w:t>
              </w:r>
              <w:r w:rsidRPr="0070466E">
                <w:rPr>
                  <w:i/>
                  <w:iCs/>
                </w:rPr>
                <w:t>10</w:t>
              </w:r>
              <w:r w:rsidRPr="0070466E">
                <w:t xml:space="preserve">(4), </w:t>
              </w:r>
              <w:r>
                <w:t>P 396</w:t>
              </w:r>
              <w:r w:rsidRPr="0070466E">
                <w:t xml:space="preserve">. </w:t>
              </w:r>
              <w:hyperlink r:id="rId25" w:history="1">
                <w:r w:rsidRPr="00DB3526">
                  <w:rPr>
                    <w:rStyle w:val="Hyperlink"/>
                  </w:rPr>
                  <w:t>https://doi.org/10.1080/13678860701718760</w:t>
                </w:r>
              </w:hyperlink>
            </w:p>
            <w:p w14:paraId="471816CB" w14:textId="2170EE5C" w:rsidR="0058605D" w:rsidRDefault="0058605D" w:rsidP="0058605D">
              <w:pPr>
                <w:pStyle w:val="FootnoteText"/>
              </w:pPr>
              <w:r>
                <w:rPr>
                  <w:rStyle w:val="FootnoteReference"/>
                </w:rPr>
                <w:t>8</w:t>
              </w:r>
              <w:r>
                <w:t xml:space="preserve"> </w:t>
              </w:r>
              <w:r w:rsidRPr="00851A7E">
                <w:t>Michael E. Porter</w:t>
              </w:r>
              <w:r>
                <w:t>. (1979).</w:t>
              </w:r>
              <w:r w:rsidRPr="00851A7E">
                <w:t xml:space="preserve"> </w:t>
              </w:r>
              <w:r w:rsidRPr="00851A7E">
                <w:rPr>
                  <w:i/>
                  <w:iCs/>
                </w:rPr>
                <w:t>How Competitive Forces Shape Strategy</w:t>
              </w:r>
              <w:r>
                <w:t>.</w:t>
              </w:r>
              <w:r w:rsidRPr="00851A7E">
                <w:t xml:space="preserve"> Harvard Business Review (Vol. 57, No. 2, pp. 137–145</w:t>
              </w:r>
              <w:r>
                <w:t>)</w:t>
              </w:r>
              <w:r w:rsidRPr="00851A7E">
                <w:t>.</w:t>
              </w:r>
            </w:p>
            <w:p w14:paraId="022F4B62" w14:textId="1594535C" w:rsidR="0058605D" w:rsidRDefault="0058605D" w:rsidP="0058605D">
              <w:pPr>
                <w:pStyle w:val="FootnoteText"/>
              </w:pPr>
              <w:r>
                <w:rPr>
                  <w:rStyle w:val="FootnoteReference"/>
                </w:rPr>
                <w:t>9</w:t>
              </w:r>
              <w:r>
                <w:t xml:space="preserve"> CIPD (2023) </w:t>
              </w:r>
              <w:r w:rsidRPr="005C19F0">
                <w:rPr>
                  <w:i/>
                  <w:iCs/>
                </w:rPr>
                <w:t>PESTLE Analysis Factsheet</w:t>
              </w:r>
              <w:r>
                <w:t xml:space="preserve">. Available at: </w:t>
              </w:r>
              <w:hyperlink r:id="rId26" w:anchor="what-is-a-pestle-analysis" w:history="1">
                <w:r w:rsidRPr="00C1405B">
                  <w:rPr>
                    <w:rStyle w:val="Hyperlink"/>
                  </w:rPr>
                  <w:t>https://www.cipd.org/uk/knowledge/factsheets/pestle-analysis-factsheet/#what-is-a-pestle-analysis</w:t>
                </w:r>
              </w:hyperlink>
              <w:r>
                <w:t xml:space="preserve"> (Accessed 15/11/2023).</w:t>
              </w:r>
            </w:p>
            <w:p w14:paraId="6B6B95B6" w14:textId="0D494A72" w:rsidR="0058605D" w:rsidRDefault="0058605D" w:rsidP="0058605D">
              <w:pPr>
                <w:pStyle w:val="FootnoteText"/>
              </w:pPr>
              <w:r>
                <w:rPr>
                  <w:rStyle w:val="FootnoteReference"/>
                </w:rPr>
                <w:t>10</w:t>
              </w:r>
              <w:r>
                <w:t xml:space="preserve"> </w:t>
              </w:r>
              <w:proofErr w:type="spellStart"/>
              <w:r w:rsidRPr="00795151">
                <w:t>Figliuolo</w:t>
              </w:r>
              <w:proofErr w:type="spellEnd"/>
              <w:r>
                <w:t xml:space="preserve">, M. (2016) </w:t>
              </w:r>
              <w:r w:rsidRPr="00C34B93">
                <w:rPr>
                  <w:i/>
                  <w:iCs/>
                </w:rPr>
                <w:t>Critical Thinking</w:t>
              </w:r>
              <w:r>
                <w:rPr>
                  <w:i/>
                  <w:iCs/>
                </w:rPr>
                <w:t xml:space="preserve">. </w:t>
              </w:r>
              <w:r w:rsidRPr="00795151">
                <w:t>Available at:</w:t>
              </w:r>
              <w:r>
                <w:t xml:space="preserve"> </w:t>
              </w:r>
              <w:hyperlink r:id="rId27" w:history="1">
                <w:r w:rsidRPr="00DB3526">
                  <w:rPr>
                    <w:rStyle w:val="Hyperlink"/>
                  </w:rPr>
                  <w:t>https://www.linkedin.com/learning/critical-thinking/the-importance-of-critical-thinking-2?autoplay=true&amp;trk=learning-course_tocItem&amp;upsellOrderOrigin=default_guest_learning</w:t>
                </w:r>
              </w:hyperlink>
              <w:r>
                <w:t xml:space="preserve"> </w:t>
              </w:r>
            </w:p>
            <w:p w14:paraId="195B6048" w14:textId="42DDBB8A" w:rsidR="0058605D" w:rsidRDefault="0058605D" w:rsidP="0058605D">
              <w:pPr>
                <w:pStyle w:val="FootnoteText"/>
              </w:pPr>
              <w:r>
                <w:rPr>
                  <w:rStyle w:val="FootnoteReference"/>
                </w:rPr>
                <w:t>11</w:t>
              </w:r>
              <w:r>
                <w:t xml:space="preserve"> </w:t>
              </w:r>
              <w:r w:rsidRPr="00160CCA">
                <w:t>De Bono, E. (2009). </w:t>
              </w:r>
              <w:r w:rsidRPr="00160CCA">
                <w:rPr>
                  <w:i/>
                  <w:iCs/>
                </w:rPr>
                <w:t>Six thinking hats</w:t>
              </w:r>
              <w:r w:rsidRPr="00160CCA">
                <w:t> (Rev. and updated ed.). Penguin.</w:t>
              </w:r>
            </w:p>
            <w:p w14:paraId="6189699E" w14:textId="6791FC49" w:rsidR="0058605D" w:rsidRDefault="0058605D" w:rsidP="0058605D">
              <w:pPr>
                <w:pStyle w:val="FootnoteText"/>
              </w:pPr>
              <w:r>
                <w:rPr>
                  <w:rStyle w:val="FootnoteReference"/>
                </w:rPr>
                <w:t>12</w:t>
              </w:r>
              <w:r>
                <w:t xml:space="preserve"> Ibid</w:t>
              </w:r>
            </w:p>
            <w:p w14:paraId="6FA5CCD4" w14:textId="0BDD671E" w:rsidR="0058605D" w:rsidRDefault="0058605D" w:rsidP="0058605D">
              <w:pPr>
                <w:pStyle w:val="FootnoteText"/>
              </w:pPr>
              <w:r>
                <w:rPr>
                  <w:rStyle w:val="FootnoteReference"/>
                </w:rPr>
                <w:t>13</w:t>
              </w:r>
              <w:r>
                <w:t xml:space="preserve"> </w:t>
              </w:r>
              <w:r w:rsidRPr="00C010BC">
                <w:t>Tannenbaum, R., &amp; Schmidt, W. H. (1973). How to choose a leadership pattern. In </w:t>
              </w:r>
              <w:r w:rsidRPr="00C010BC">
                <w:rPr>
                  <w:i/>
                  <w:iCs/>
                </w:rPr>
                <w:t>Harvard business review</w:t>
              </w:r>
              <w:r w:rsidRPr="00C010BC">
                <w:t> (Vol. 51, Issue 3, pp. 162-). Harvard University Graduate School of Business Administration.</w:t>
              </w:r>
            </w:p>
            <w:p w14:paraId="46AFD993" w14:textId="380297AE" w:rsidR="0058605D" w:rsidRPr="00C010BC" w:rsidRDefault="0058605D" w:rsidP="0058605D">
              <w:pPr>
                <w:pStyle w:val="FootnoteText"/>
                <w:rPr>
                  <w:u w:val="single"/>
                </w:rPr>
              </w:pPr>
              <w:r>
                <w:rPr>
                  <w:rStyle w:val="FootnoteReference"/>
                </w:rPr>
                <w:t>14</w:t>
              </w:r>
              <w:r>
                <w:t xml:space="preserve"> </w:t>
              </w:r>
              <w:hyperlink r:id="rId28" w:history="1">
                <w:r w:rsidRPr="00624793">
                  <w:rPr>
                    <w:rStyle w:val="Hyperlink"/>
                  </w:rPr>
                  <w:t>https://www.mindtools.com/aesdntj/the-tannenbaum-schmidt-leadership-continuum</w:t>
                </w:r>
              </w:hyperlink>
              <w:r w:rsidRPr="00C010BC">
                <w:t xml:space="preserve"> (Accessed 01/12/2023)</w:t>
              </w:r>
            </w:p>
            <w:p w14:paraId="633AC048" w14:textId="21F35238" w:rsidR="0058605D" w:rsidRDefault="0058605D" w:rsidP="0058605D">
              <w:pPr>
                <w:pStyle w:val="FootnoteText"/>
              </w:pPr>
              <w:r>
                <w:rPr>
                  <w:rStyle w:val="FootnoteReference"/>
                </w:rPr>
                <w:t>15</w:t>
              </w:r>
              <w:r>
                <w:t xml:space="preserve"> CIPD (2015) </w:t>
              </w:r>
              <w:r w:rsidRPr="00094E9E">
                <w:rPr>
                  <w:i/>
                  <w:iCs/>
                </w:rPr>
                <w:t>Ethical decision-making: Eight perspectives on workplace dilemmas</w:t>
              </w:r>
              <w:r>
                <w:t xml:space="preserve">. Available at: </w:t>
              </w:r>
              <w:hyperlink r:id="rId29" w:history="1">
                <w:r w:rsidRPr="00DB3526">
                  <w:rPr>
                    <w:rStyle w:val="Hyperlink"/>
                  </w:rPr>
                  <w:t>https://www.cipd.org/globalassets/media/knowledge/knowledge-hub/reports/ethical-decision-making-2015-eight-perspectives-on-workplace-dilemmas_tcm18-9564.pdf</w:t>
                </w:r>
              </w:hyperlink>
              <w:r>
                <w:t xml:space="preserve"> (Accessed 04/12/2023)</w:t>
              </w:r>
            </w:p>
            <w:p w14:paraId="5FEF68DD" w14:textId="3F5082A1" w:rsidR="0058605D" w:rsidRDefault="0058605D" w:rsidP="0058605D">
              <w:pPr>
                <w:pStyle w:val="FootnoteText"/>
              </w:pPr>
              <w:r>
                <w:rPr>
                  <w:rStyle w:val="FootnoteReference"/>
                </w:rPr>
                <w:t>16</w:t>
              </w:r>
              <w:r>
                <w:t xml:space="preserve"> </w:t>
              </w:r>
              <w:r w:rsidRPr="00874A62">
                <w:t xml:space="preserve">CIPD (2015) Ethical decision-making: Eight perspectives on workplace dilemmas. </w:t>
              </w:r>
              <w:r>
                <w:t xml:space="preserve">(Page 3). </w:t>
              </w:r>
              <w:r w:rsidRPr="00874A62">
                <w:t xml:space="preserve">Available at: </w:t>
              </w:r>
              <w:hyperlink r:id="rId30" w:history="1">
                <w:r w:rsidRPr="00DB3526">
                  <w:rPr>
                    <w:rStyle w:val="Hyperlink"/>
                  </w:rPr>
                  <w:t>https://www.cipd.org/globalassets/media/knowledge/knowledge-hub/reports/ethical-decision-making-2015-eight-perspectives-on-workplace-dilemmas_tcm18-9564.pdf</w:t>
                </w:r>
              </w:hyperlink>
              <w:r>
                <w:t xml:space="preserve"> </w:t>
              </w:r>
              <w:r w:rsidRPr="00874A62">
                <w:t>(Accessed 04/12/2023)</w:t>
              </w:r>
              <w:r>
                <w:t xml:space="preserve">. </w:t>
              </w:r>
            </w:p>
            <w:p w14:paraId="7E96D6E6" w14:textId="6430DEA5" w:rsidR="0058605D" w:rsidRPr="00D35955" w:rsidRDefault="0058605D" w:rsidP="0058605D">
              <w:pPr>
                <w:pStyle w:val="FootnoteText"/>
              </w:pPr>
              <w:r>
                <w:rPr>
                  <w:rStyle w:val="FootnoteReference"/>
                </w:rPr>
                <w:t>17</w:t>
              </w:r>
              <w:r>
                <w:t xml:space="preserve"> Hale, B. (2018)</w:t>
              </w:r>
              <w:r w:rsidRPr="00D35955">
                <w:t xml:space="preserve"> </w:t>
              </w:r>
              <w:r w:rsidRPr="00D35955">
                <w:rPr>
                  <w:i/>
                  <w:iCs/>
                </w:rPr>
                <w:t>Equality and Human Rights</w:t>
              </w:r>
              <w:r>
                <w:rPr>
                  <w:i/>
                  <w:iCs/>
                </w:rPr>
                <w:t xml:space="preserve">. [Speech] </w:t>
              </w:r>
              <w:r w:rsidRPr="00D35955">
                <w:t xml:space="preserve">Oxford Equality Lecture, </w:t>
              </w:r>
              <w:r>
                <w:t>Law Faculty at the University of Oxford, Oxford. 29 October.</w:t>
              </w:r>
            </w:p>
            <w:p w14:paraId="7BBF35FA" w14:textId="71A01CA8" w:rsidR="0058605D" w:rsidRDefault="0058605D" w:rsidP="0058605D">
              <w:pPr>
                <w:pStyle w:val="FootnoteText"/>
              </w:pPr>
              <w:r>
                <w:rPr>
                  <w:rStyle w:val="FootnoteReference"/>
                </w:rPr>
                <w:t>18</w:t>
              </w:r>
              <w:r>
                <w:t xml:space="preserve"> </w:t>
              </w:r>
              <w:r w:rsidRPr="004372DA">
                <w:t xml:space="preserve">Mill, J. S. (2014) </w:t>
              </w:r>
              <w:r w:rsidRPr="004372DA">
                <w:rPr>
                  <w:i/>
                  <w:iCs/>
                </w:rPr>
                <w:t>OF THE ULTIMATE SANCTION OF THE PRINCIPLE OF UTILITY</w:t>
              </w:r>
              <w:r w:rsidRPr="004372DA">
                <w:t xml:space="preserve">, in Utilitarianism. Cambridge: Cambridge University Press (Cambridge Library Collection - Philosophy), pp. 39–51. </w:t>
              </w:r>
              <w:proofErr w:type="spellStart"/>
              <w:r w:rsidRPr="004372DA">
                <w:t>doi</w:t>
              </w:r>
              <w:proofErr w:type="spellEnd"/>
              <w:r w:rsidRPr="004372DA">
                <w:t>: 10.1017/CBO9781139923927.003.</w:t>
              </w:r>
              <w:r>
                <w:t xml:space="preserve"> </w:t>
              </w:r>
            </w:p>
            <w:p w14:paraId="7186C4E8" w14:textId="74B66A9F" w:rsidR="0058605D" w:rsidRDefault="0058605D" w:rsidP="0058605D">
              <w:pPr>
                <w:pStyle w:val="FootnoteText"/>
              </w:pPr>
              <w:r>
                <w:rPr>
                  <w:rStyle w:val="FootnoteReference"/>
                </w:rPr>
                <w:t>19</w:t>
              </w:r>
              <w:r>
                <w:t xml:space="preserve"> </w:t>
              </w:r>
              <w:r w:rsidRPr="005276D2">
                <w:t xml:space="preserve">Taylor, S., &amp; Woodhams, C. (Eds.). (2022). Studying human resource management: a guide to the study, </w:t>
              </w:r>
              <w:proofErr w:type="gramStart"/>
              <w:r w:rsidRPr="005276D2">
                <w:t>context</w:t>
              </w:r>
              <w:proofErr w:type="gramEnd"/>
              <w:r w:rsidRPr="005276D2">
                <w:t xml:space="preserve"> and practice of HR (Third edition). </w:t>
              </w:r>
              <w:r>
                <w:t xml:space="preserve">Page 8. </w:t>
              </w:r>
              <w:proofErr w:type="spellStart"/>
              <w:r w:rsidRPr="005276D2">
                <w:t>KoganPage</w:t>
              </w:r>
              <w:proofErr w:type="spellEnd"/>
              <w:r w:rsidRPr="005276D2">
                <w:t>.</w:t>
              </w:r>
            </w:p>
            <w:p w14:paraId="5A3CF9AE" w14:textId="22A6390B" w:rsidR="0058605D" w:rsidRDefault="0058605D" w:rsidP="0058605D">
              <w:pPr>
                <w:pStyle w:val="FootnoteText"/>
              </w:pPr>
              <w:r>
                <w:rPr>
                  <w:rStyle w:val="FootnoteReference"/>
                </w:rPr>
                <w:t>20</w:t>
              </w:r>
              <w:r>
                <w:t xml:space="preserve"> The UK Government (2023) </w:t>
              </w:r>
              <w:r w:rsidRPr="00DB4CA1">
                <w:rPr>
                  <w:i/>
                  <w:iCs/>
                </w:rPr>
                <w:t>Positive Action in the Workplace</w:t>
              </w:r>
              <w:r>
                <w:t xml:space="preserve">. Available at: </w:t>
              </w:r>
              <w:hyperlink r:id="rId31" w:history="1">
                <w:r w:rsidRPr="00C36CCC">
                  <w:rPr>
                    <w:rStyle w:val="Hyperlink"/>
                  </w:rPr>
                  <w:t>https://www.gov.uk/government/publications/positive-action-in-the-workplace-guidance-for-employers/positive-action-in-the-workplace</w:t>
                </w:r>
              </w:hyperlink>
              <w:r>
                <w:t xml:space="preserve"> </w:t>
              </w:r>
            </w:p>
            <w:p w14:paraId="70437CB9" w14:textId="74F972BB" w:rsidR="0058605D" w:rsidRDefault="0058605D" w:rsidP="0058605D">
              <w:pPr>
                <w:pStyle w:val="FootnoteText"/>
              </w:pPr>
              <w:r>
                <w:rPr>
                  <w:rStyle w:val="FootnoteReference"/>
                </w:rPr>
                <w:t>21</w:t>
              </w:r>
              <w:r>
                <w:t xml:space="preserve"> CIPD (2023) </w:t>
              </w:r>
              <w:r w:rsidRPr="00985EA0">
                <w:rPr>
                  <w:i/>
                  <w:iCs/>
                </w:rPr>
                <w:t>Ethnicity pay reporting guides</w:t>
              </w:r>
              <w:r>
                <w:t xml:space="preserve">. Available at: </w:t>
              </w:r>
              <w:hyperlink r:id="rId32" w:history="1">
                <w:r w:rsidRPr="00624793">
                  <w:rPr>
                    <w:rStyle w:val="Hyperlink"/>
                  </w:rPr>
                  <w:t>https://www.cipd.org/uk/knowledge/guides/ethnicity-pay-reporting-guide/</w:t>
                </w:r>
              </w:hyperlink>
              <w:r>
                <w:t xml:space="preserve"> </w:t>
              </w:r>
            </w:p>
            <w:p w14:paraId="6814B05A" w14:textId="5CFB99B7" w:rsidR="0058605D" w:rsidRDefault="0058605D" w:rsidP="0058605D">
              <w:pPr>
                <w:pStyle w:val="FootnoteText"/>
              </w:pPr>
              <w:r>
                <w:rPr>
                  <w:rStyle w:val="FootnoteReference"/>
                </w:rPr>
                <w:t>22</w:t>
              </w:r>
              <w:r>
                <w:t xml:space="preserve"> </w:t>
              </w:r>
              <w:r w:rsidRPr="00BF4A53">
                <w:t>Taylor, S., &amp; Woodhams, C. (Eds.). (2022). </w:t>
              </w:r>
              <w:r w:rsidRPr="00BF4A53">
                <w:rPr>
                  <w:i/>
                  <w:iCs/>
                </w:rPr>
                <w:t>Human resource management: people and organisations</w:t>
              </w:r>
              <w:r w:rsidRPr="00BF4A53">
                <w:t> (Third Edition.). Kogan Page Inc.</w:t>
              </w:r>
              <w:r>
                <w:t xml:space="preserve"> page 209</w:t>
              </w:r>
            </w:p>
            <w:p w14:paraId="7CBE634E" w14:textId="62A515B9" w:rsidR="0058605D" w:rsidRDefault="0058605D" w:rsidP="0058605D">
              <w:pPr>
                <w:pStyle w:val="FootnoteText"/>
              </w:pPr>
              <w:r>
                <w:rPr>
                  <w:rStyle w:val="FootnoteReference"/>
                </w:rPr>
                <w:t>23</w:t>
              </w:r>
              <w:r>
                <w:t xml:space="preserve"> ibid</w:t>
              </w:r>
            </w:p>
            <w:p w14:paraId="2EF495C8" w14:textId="462406A2" w:rsidR="0058605D" w:rsidRDefault="0058605D" w:rsidP="0058605D">
              <w:pPr>
                <w:pStyle w:val="FootnoteText"/>
              </w:pPr>
              <w:r>
                <w:rPr>
                  <w:rStyle w:val="FootnoteReference"/>
                </w:rPr>
                <w:t>24</w:t>
              </w:r>
              <w:r>
                <w:t xml:space="preserve"> Bryman, A. 6(1) (2006) </w:t>
              </w:r>
              <w:r w:rsidRPr="00623328">
                <w:rPr>
                  <w:i/>
                  <w:iCs/>
                </w:rPr>
                <w:t>Integrating quantitative and qualitative research: how is it done?</w:t>
              </w:r>
              <w:r>
                <w:t xml:space="preserve"> Available at:</w:t>
              </w:r>
              <w:r w:rsidRPr="00623328">
                <w:t xml:space="preserve"> </w:t>
              </w:r>
              <w:hyperlink r:id="rId33" w:history="1">
                <w:r w:rsidRPr="0091678E">
                  <w:rPr>
                    <w:rStyle w:val="Hyperlink"/>
                  </w:rPr>
                  <w:t>https://doi-org.ezproxy.uwtsd.ac.uk/10.1177/1468794106058877ope</w:t>
                </w:r>
              </w:hyperlink>
              <w:r>
                <w:t xml:space="preserve"> (Accessed 27/11/2023).</w:t>
              </w:r>
            </w:p>
            <w:p w14:paraId="2E860F29" w14:textId="7822E99A" w:rsidR="0058605D" w:rsidRDefault="00014EDF"/>
          </w:sdtContent>
        </w:sdt>
      </w:sdtContent>
    </w:sdt>
    <w:p w14:paraId="5CED9A4C" w14:textId="315D0430" w:rsidR="00A83E4C" w:rsidRDefault="00A83E4C" w:rsidP="00A83E4C">
      <w:pPr>
        <w:pStyle w:val="Heading3"/>
      </w:pPr>
      <w:r>
        <w:lastRenderedPageBreak/>
        <w:t>Assessment Criteria Evidence Checklist</w:t>
      </w:r>
      <w:bookmarkEnd w:id="6"/>
      <w:r>
        <w:t xml:space="preserve">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 xml:space="preserve">Evaluate a range of analysis tools and methods including how they can be applied to diagnose organisational issues, </w:t>
            </w:r>
            <w:proofErr w:type="gramStart"/>
            <w:r w:rsidRPr="02816D3C">
              <w:rPr>
                <w:rFonts w:eastAsia="Times New Roman"/>
                <w:color w:val="000000" w:themeColor="text1"/>
                <w:lang w:eastAsia="en-GB"/>
              </w:rPr>
              <w:t>challenges</w:t>
            </w:r>
            <w:proofErr w:type="gramEnd"/>
            <w:r w:rsidRPr="02816D3C">
              <w:rPr>
                <w:rFonts w:eastAsia="Times New Roman"/>
                <w:color w:val="000000" w:themeColor="text1"/>
                <w:lang w:eastAsia="en-GB"/>
              </w:rPr>
              <w:t xml:space="preserve">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 xml:space="preserve">Make justified recommendations based on evaluation of the benefits, </w:t>
            </w:r>
            <w:proofErr w:type="gramStart"/>
            <w:r>
              <w:t>risks</w:t>
            </w:r>
            <w:proofErr w:type="gramEnd"/>
            <w:r>
              <w:t xml:space="preserve">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bookmarkStart w:id="7" w:name="_Toc152600422"/>
      <w:r>
        <w:t>Declaration of Authentication</w:t>
      </w:r>
      <w:bookmarkEnd w:id="7"/>
    </w:p>
    <w:p w14:paraId="777D43E5" w14:textId="77777777" w:rsidR="00A83E4C" w:rsidRPr="009E2BE8" w:rsidRDefault="00A83E4C" w:rsidP="00A83E4C">
      <w:pPr>
        <w:pStyle w:val="Heading2"/>
      </w:pPr>
      <w:bookmarkStart w:id="8" w:name="_Toc152600423"/>
      <w:r w:rsidRPr="00D745D3">
        <w:t>Declaration by learner</w:t>
      </w:r>
      <w:bookmarkEnd w:id="8"/>
      <w:r w:rsidRPr="00D745D3">
        <w:t xml:space="preserve">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984A29E" w:rsidR="00A83E4C" w:rsidRPr="00553528" w:rsidRDefault="00A83E4C" w:rsidP="00E85070">
            <w:pPr>
              <w:spacing w:before="120" w:after="120" w:line="360" w:lineRule="auto"/>
            </w:pPr>
            <w:r w:rsidRPr="00553528">
              <w:rPr>
                <w:b/>
              </w:rPr>
              <w:t>Learner name:</w:t>
            </w:r>
            <w:r w:rsidR="00B9315D">
              <w:rPr>
                <w:b/>
              </w:rPr>
              <w:t xml:space="preserve"> Thomas Jones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3FADAABF" w:rsidR="00A83E4C" w:rsidRPr="00553528" w:rsidRDefault="00A83E4C" w:rsidP="00E85070">
            <w:pPr>
              <w:spacing w:before="120" w:after="120" w:line="360" w:lineRule="auto"/>
            </w:pPr>
            <w:r w:rsidRPr="00553528">
              <w:rPr>
                <w:b/>
              </w:rPr>
              <w:t>Learner signature:</w:t>
            </w:r>
            <w:r w:rsidR="00B9315D">
              <w:rPr>
                <w:noProof/>
              </w:rPr>
              <w:t xml:space="preserve"> </w:t>
            </w:r>
            <w:r w:rsidR="00B9315D">
              <w:rPr>
                <w:noProof/>
              </w:rPr>
              <w:drawing>
                <wp:inline distT="0" distB="0" distL="0" distR="0" wp14:anchorId="58CF1FE4" wp14:editId="36FEA659">
                  <wp:extent cx="1409700" cy="54088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38299" cy="551855"/>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20BC6DE1" w:rsidR="00A83E4C" w:rsidRDefault="00A83E4C" w:rsidP="00E85070">
            <w:pPr>
              <w:spacing w:before="120" w:after="120" w:line="360" w:lineRule="auto"/>
              <w:rPr>
                <w:b/>
              </w:rPr>
            </w:pPr>
            <w:r w:rsidRPr="00553528">
              <w:rPr>
                <w:b/>
              </w:rPr>
              <w:t>Dat</w:t>
            </w:r>
            <w:r>
              <w:rPr>
                <w:b/>
              </w:rPr>
              <w:t>e</w:t>
            </w:r>
            <w:r w:rsidR="00B9315D">
              <w:rPr>
                <w:b/>
              </w:rPr>
              <w:t>: 04/12/2023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7E3DA58F"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4144" behindDoc="1" locked="0" layoutInCell="1" allowOverlap="1" wp14:anchorId="6311A56F" wp14:editId="69CC6665">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2235C">
        <w:rPr>
          <w:noProof/>
        </w:rPr>
        <mc:AlternateContent>
          <mc:Choice Requires="wps">
            <w:drawing>
              <wp:anchor distT="0" distB="0" distL="114300" distR="114300" simplePos="0" relativeHeight="251663360" behindDoc="1" locked="0" layoutInCell="1" allowOverlap="1" wp14:anchorId="6C3D00A6" wp14:editId="4A5371B2">
                <wp:simplePos x="0" y="0"/>
                <wp:positionH relativeFrom="margin">
                  <wp:align>right</wp:align>
                </wp:positionH>
                <wp:positionV relativeFrom="margin">
                  <wp:align>top</wp:align>
                </wp:positionV>
                <wp:extent cx="6115050" cy="8064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39996" id="Rectangle 5" o:spid="_x0000_s1026" style="position:absolute;margin-left:430.3pt;margin-top:0;width:481.5pt;height:63.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" fillcolor="#00b9b5 [3205]" stroked="f" strokeweight="1pt">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bookmarkStart w:id="9" w:name="_Toc152600424"/>
      <w:r w:rsidRPr="008536DD">
        <w:rPr>
          <w:sz w:val="40"/>
          <w:szCs w:val="40"/>
        </w:rPr>
        <w:t>Assessment Criteria marking descriptors.</w:t>
      </w:r>
      <w:bookmarkEnd w:id="9"/>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bookmarkStart w:id="10" w:name="_Toc152600425"/>
      <w:r w:rsidRPr="000C76B8">
        <w:rPr>
          <w:sz w:val="40"/>
          <w:szCs w:val="40"/>
          <w:lang w:eastAsia="en-GB"/>
        </w:rPr>
        <w:lastRenderedPageBreak/>
        <w:t>Marking Descriptors</w:t>
      </w:r>
      <w:bookmarkEnd w:id="10"/>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bookmarkStart w:id="11" w:name="_Toc152600426"/>
      <w:r w:rsidRPr="00FD368D">
        <w:rPr>
          <w:sz w:val="40"/>
          <w:szCs w:val="40"/>
          <w:lang w:eastAsia="en-GB"/>
        </w:rPr>
        <w:t>Marking grid</w:t>
      </w:r>
      <w:r>
        <w:rPr>
          <w:sz w:val="40"/>
          <w:szCs w:val="40"/>
          <w:lang w:eastAsia="en-GB"/>
        </w:rPr>
        <w:t xml:space="preserve"> and feedback for learner</w:t>
      </w:r>
      <w:bookmarkEnd w:id="11"/>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610F6D">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610F6D">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610F6D">
              <w:rPr>
                <w:i/>
                <w:iCs/>
                <w:color w:val="004147"/>
                <w:highlight w:val="lightGray"/>
              </w:rPr>
              <w:t>Please enter the learner number here. Must be 1</w:t>
            </w:r>
            <w:r w:rsidRPr="00610F6D">
              <w:rPr>
                <w:i/>
                <w:iCs/>
                <w:color w:val="004147"/>
                <w:highlight w:val="lightGray"/>
                <w:vertAlign w:val="superscript"/>
              </w:rPr>
              <w:t>st</w:t>
            </w:r>
            <w:r w:rsidRPr="00610F6D">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610F6D">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610F6D">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610F6D">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 xml:space="preserve">Evaluate a range of analysis tools and methods including how they can be applied to diagnose organisational issues, </w:t>
            </w:r>
            <w:proofErr w:type="gramStart"/>
            <w:r w:rsidRPr="00DC1FBC">
              <w:rPr>
                <w:color w:val="004147"/>
              </w:rPr>
              <w:t>challenges</w:t>
            </w:r>
            <w:proofErr w:type="gramEnd"/>
            <w:r w:rsidRPr="00DC1FBC">
              <w:rPr>
                <w:color w:val="004147"/>
              </w:rPr>
              <w:t xml:space="preserve">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610F6D">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610F6D">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610F6D">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610F6D"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610F6D"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610F6D">
              <w:rPr>
                <w:i/>
                <w:iCs/>
                <w:color w:val="004147"/>
                <w:highlight w:val="lightGray"/>
              </w:rPr>
              <w:t>Please enter your Assessor feedback here</w:t>
            </w:r>
          </w:p>
          <w:p w14:paraId="62C06D17" w14:textId="77777777" w:rsidR="00A83E4C" w:rsidRPr="00610F6D" w:rsidRDefault="00A83E4C" w:rsidP="00E85070">
            <w:pPr>
              <w:rPr>
                <w:i/>
                <w:iCs/>
                <w:color w:val="004147"/>
                <w:highlight w:val="lightGray"/>
              </w:rPr>
            </w:pPr>
          </w:p>
        </w:tc>
        <w:tc>
          <w:tcPr>
            <w:tcW w:w="1144" w:type="dxa"/>
          </w:tcPr>
          <w:p w14:paraId="0B2605D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2AA5767" w14:textId="77777777" w:rsidR="00A83E4C" w:rsidRPr="00610F6D" w:rsidRDefault="00A83E4C" w:rsidP="00E85070">
            <w:pPr>
              <w:rPr>
                <w:i/>
                <w:iCs/>
                <w:color w:val="004147"/>
                <w:highlight w:val="lightGray"/>
              </w:rPr>
            </w:pPr>
          </w:p>
        </w:tc>
        <w:tc>
          <w:tcPr>
            <w:tcW w:w="1144" w:type="dxa"/>
          </w:tcPr>
          <w:p w14:paraId="4BE7CF80"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2B32D5F" w14:textId="77777777" w:rsidR="00A83E4C" w:rsidRPr="00610F6D" w:rsidRDefault="00A83E4C" w:rsidP="00E85070">
            <w:pPr>
              <w:rPr>
                <w:i/>
                <w:iCs/>
                <w:color w:val="004147"/>
                <w:highlight w:val="lightGray"/>
              </w:rPr>
            </w:pPr>
          </w:p>
        </w:tc>
        <w:tc>
          <w:tcPr>
            <w:tcW w:w="1144" w:type="dxa"/>
          </w:tcPr>
          <w:p w14:paraId="7EE05905"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610F6D"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610F6D"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610F6D">
              <w:rPr>
                <w:i/>
                <w:iCs/>
                <w:color w:val="004147"/>
                <w:highlight w:val="lightGray"/>
              </w:rPr>
              <w:t>Please enter your Assessor feedback here</w:t>
            </w:r>
          </w:p>
          <w:p w14:paraId="1FB17F2F" w14:textId="77777777" w:rsidR="00A83E4C" w:rsidRPr="00610F6D" w:rsidRDefault="00A83E4C" w:rsidP="00E85070">
            <w:pPr>
              <w:rPr>
                <w:i/>
                <w:iCs/>
                <w:color w:val="004147"/>
                <w:highlight w:val="lightGray"/>
              </w:rPr>
            </w:pPr>
          </w:p>
        </w:tc>
        <w:tc>
          <w:tcPr>
            <w:tcW w:w="1144" w:type="dxa"/>
          </w:tcPr>
          <w:p w14:paraId="7768DE1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4EED7AD6" w14:textId="77777777" w:rsidR="00A83E4C" w:rsidRPr="00610F6D" w:rsidRDefault="00A83E4C" w:rsidP="00E85070">
            <w:pPr>
              <w:rPr>
                <w:i/>
                <w:iCs/>
                <w:color w:val="004147"/>
                <w:highlight w:val="lightGray"/>
              </w:rPr>
            </w:pPr>
          </w:p>
        </w:tc>
        <w:tc>
          <w:tcPr>
            <w:tcW w:w="1144" w:type="dxa"/>
          </w:tcPr>
          <w:p w14:paraId="078E4AD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10963066" w14:textId="77777777" w:rsidR="00A83E4C" w:rsidRPr="00610F6D" w:rsidRDefault="00A83E4C" w:rsidP="00E85070">
            <w:pPr>
              <w:rPr>
                <w:i/>
                <w:iCs/>
                <w:color w:val="004147"/>
                <w:highlight w:val="lightGray"/>
              </w:rPr>
            </w:pPr>
          </w:p>
        </w:tc>
        <w:tc>
          <w:tcPr>
            <w:tcW w:w="1144" w:type="dxa"/>
          </w:tcPr>
          <w:p w14:paraId="6CCB7A2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610F6D"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610F6D"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610F6D">
              <w:rPr>
                <w:i/>
                <w:iCs/>
                <w:color w:val="004147"/>
                <w:highlight w:val="lightGray"/>
              </w:rPr>
              <w:t>Please enter your Assessor feedback here</w:t>
            </w:r>
          </w:p>
          <w:p w14:paraId="1021D3E7" w14:textId="77777777" w:rsidR="00A83E4C" w:rsidRPr="00610F6D" w:rsidRDefault="00A83E4C" w:rsidP="00E85070">
            <w:pPr>
              <w:rPr>
                <w:i/>
                <w:iCs/>
                <w:color w:val="004147"/>
                <w:highlight w:val="lightGray"/>
              </w:rPr>
            </w:pPr>
          </w:p>
        </w:tc>
        <w:tc>
          <w:tcPr>
            <w:tcW w:w="1144" w:type="dxa"/>
          </w:tcPr>
          <w:p w14:paraId="7CCAF77E"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701C7781" w14:textId="77777777" w:rsidR="00A83E4C" w:rsidRPr="00610F6D" w:rsidRDefault="00A83E4C" w:rsidP="00E85070">
            <w:pPr>
              <w:rPr>
                <w:i/>
                <w:iCs/>
                <w:color w:val="004147"/>
                <w:highlight w:val="lightGray"/>
              </w:rPr>
            </w:pPr>
          </w:p>
        </w:tc>
        <w:tc>
          <w:tcPr>
            <w:tcW w:w="1144" w:type="dxa"/>
          </w:tcPr>
          <w:p w14:paraId="0F21940A"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7D9E5A21" w14:textId="77777777" w:rsidR="00A83E4C" w:rsidRPr="00610F6D" w:rsidRDefault="00A83E4C" w:rsidP="00E85070">
            <w:pPr>
              <w:rPr>
                <w:i/>
                <w:iCs/>
                <w:color w:val="004147"/>
                <w:highlight w:val="lightGray"/>
              </w:rPr>
            </w:pPr>
          </w:p>
        </w:tc>
        <w:tc>
          <w:tcPr>
            <w:tcW w:w="1144" w:type="dxa"/>
          </w:tcPr>
          <w:p w14:paraId="3EF4AAC9" w14:textId="77777777" w:rsidR="00A83E4C" w:rsidRPr="00610F6D" w:rsidRDefault="00A83E4C" w:rsidP="00E85070">
            <w:pPr>
              <w:rPr>
                <w:i/>
                <w:iCs/>
                <w:color w:val="004147"/>
                <w:highlight w:val="lightGray"/>
              </w:rPr>
            </w:pPr>
            <w:r w:rsidRPr="00610F6D">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610F6D">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lastRenderedPageBreak/>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610F6D">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610F6D">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610F6D">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 xml:space="preserve">Make justified recommendations based on evaluation of the benefits, </w:t>
            </w:r>
            <w:proofErr w:type="gramStart"/>
            <w:r w:rsidRPr="003A6CAF">
              <w:rPr>
                <w:color w:val="004147"/>
              </w:rPr>
              <w:t>risks</w:t>
            </w:r>
            <w:proofErr w:type="gramEnd"/>
            <w:r w:rsidRPr="003A6CAF">
              <w:rPr>
                <w:color w:val="004147"/>
              </w:rPr>
              <w:t xml:space="preserve">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610F6D">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610F6D">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610F6D">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610F6D">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610F6D">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610F6D">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610F6D">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610F6D">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lastRenderedPageBreak/>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610F6D">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610F6D">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610F6D" w:rsidRDefault="00A83E4C" w:rsidP="00E85070">
            <w:pPr>
              <w:rPr>
                <w:i/>
                <w:iCs/>
                <w:color w:val="004147"/>
                <w:highlight w:val="lightGray"/>
              </w:rPr>
            </w:pPr>
            <w:r w:rsidRPr="00610F6D">
              <w:rPr>
                <w:i/>
                <w:iCs/>
                <w:color w:val="004147"/>
                <w:highlight w:val="lightGray"/>
              </w:rPr>
              <w:t xml:space="preserve">Please enter your summary and developmental points for the learner here. Please use a different </w:t>
            </w:r>
            <w:r w:rsidRPr="00610F6D">
              <w:rPr>
                <w:i/>
                <w:iCs/>
                <w:color w:val="FF0000"/>
                <w:highlight w:val="lightGray"/>
              </w:rPr>
              <w:t xml:space="preserve">font colour </w:t>
            </w:r>
            <w:r w:rsidRPr="00610F6D">
              <w:rPr>
                <w:i/>
                <w:iCs/>
                <w:color w:val="004147"/>
                <w:highlight w:val="lightGray"/>
              </w:rPr>
              <w:t xml:space="preserve">for any resubmission comments. </w:t>
            </w:r>
          </w:p>
          <w:p w14:paraId="65D2EF0E" w14:textId="77777777" w:rsidR="00A83E4C" w:rsidRPr="00610F6D"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610F6D">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610F6D">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610F6D">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610F6D">
              <w:rPr>
                <w:i/>
                <w:iCs/>
                <w:color w:val="004147"/>
                <w:highlight w:val="lightGray"/>
              </w:rPr>
              <w:t>Please enter date here</w:t>
            </w:r>
          </w:p>
          <w:p w14:paraId="249A0B04" w14:textId="77777777" w:rsidR="00951D3B" w:rsidRPr="00610F6D"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AB2028">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AB2028">
            <w:pPr>
              <w:rPr>
                <w:b/>
                <w:bCs/>
                <w:color w:val="004147"/>
              </w:rPr>
            </w:pPr>
            <w:r w:rsidRPr="00610F6D">
              <w:rPr>
                <w:i/>
                <w:iCs/>
                <w:color w:val="004147"/>
                <w:highlight w:val="lightGray"/>
              </w:rPr>
              <w:t>Please enter your IQA name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AB2028">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610F6D" w:rsidRDefault="000035C9" w:rsidP="00AB2028">
            <w:pPr>
              <w:rPr>
                <w:i/>
                <w:iCs/>
                <w:color w:val="004147"/>
                <w:highlight w:val="lightGray"/>
              </w:rPr>
            </w:pPr>
            <w:r w:rsidRPr="00610F6D">
              <w:rPr>
                <w:i/>
                <w:iCs/>
                <w:color w:val="004147"/>
                <w:highlight w:val="lightGray"/>
              </w:rPr>
              <w:t>Please enter your IQA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AB2028">
            <w:pPr>
              <w:rPr>
                <w:b/>
                <w:bCs/>
                <w:color w:val="004147"/>
              </w:rPr>
            </w:pPr>
            <w:r w:rsidRPr="00276C56">
              <w:rPr>
                <w:b/>
                <w:bCs/>
                <w:color w:val="004147"/>
              </w:rPr>
              <w:t>Date</w:t>
            </w:r>
          </w:p>
        </w:tc>
        <w:tc>
          <w:tcPr>
            <w:tcW w:w="6469" w:type="dxa"/>
            <w:gridSpan w:val="4"/>
          </w:tcPr>
          <w:p w14:paraId="18520228" w14:textId="77777777" w:rsidR="000035C9" w:rsidRPr="003307D9" w:rsidRDefault="000035C9" w:rsidP="00AB2028">
            <w:pPr>
              <w:rPr>
                <w:i/>
                <w:iCs/>
                <w:color w:val="004147"/>
              </w:rPr>
            </w:pPr>
            <w:r w:rsidRPr="00610F6D">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2AC1FBBC" w:rsidR="00D80062" w:rsidRDefault="00D80062" w:rsidP="006A58C8">
      <w:pPr>
        <w:ind w:firstLine="720"/>
        <w:rPr>
          <w:rFonts w:ascii="Georgia" w:eastAsia="Georgia" w:hAnsi="Georgia" w:cs="Georgia"/>
          <w:i/>
          <w:color w:val="004146"/>
          <w:sz w:val="48"/>
          <w:szCs w:val="48"/>
        </w:rPr>
      </w:pPr>
    </w:p>
    <w:p w14:paraId="6EE3148A" w14:textId="1897E9A5" w:rsidR="00817832" w:rsidRDefault="00817832" w:rsidP="006A58C8">
      <w:pPr>
        <w:ind w:firstLine="720"/>
        <w:rPr>
          <w:rFonts w:ascii="Georgia" w:eastAsia="Georgia" w:hAnsi="Georgia" w:cs="Georgia"/>
          <w:i/>
          <w:color w:val="004146"/>
          <w:sz w:val="48"/>
          <w:szCs w:val="48"/>
        </w:rPr>
      </w:pPr>
    </w:p>
    <w:p w14:paraId="16EB2DFE" w14:textId="575034F3" w:rsidR="00817832" w:rsidRDefault="00817832" w:rsidP="006A58C8">
      <w:pPr>
        <w:ind w:firstLine="720"/>
        <w:rPr>
          <w:rFonts w:ascii="Georgia" w:eastAsia="Georgia" w:hAnsi="Georgia" w:cs="Georgia"/>
          <w:i/>
          <w:color w:val="004146"/>
          <w:sz w:val="48"/>
          <w:szCs w:val="48"/>
        </w:rPr>
      </w:pPr>
    </w:p>
    <w:p w14:paraId="3B0C39A6" w14:textId="5F0C7A4E" w:rsidR="00817832" w:rsidRDefault="00817832" w:rsidP="006A58C8">
      <w:pPr>
        <w:ind w:firstLine="720"/>
        <w:rPr>
          <w:rFonts w:ascii="Georgia" w:eastAsia="Georgia" w:hAnsi="Georgia" w:cs="Georgia"/>
          <w:i/>
          <w:color w:val="004146"/>
          <w:sz w:val="48"/>
          <w:szCs w:val="48"/>
        </w:rPr>
      </w:pPr>
    </w:p>
    <w:p w14:paraId="7CBCFCD7" w14:textId="793CC3A1" w:rsidR="00817832" w:rsidRDefault="00817832" w:rsidP="006A58C8">
      <w:pPr>
        <w:ind w:firstLine="720"/>
        <w:rPr>
          <w:rFonts w:ascii="Georgia" w:eastAsia="Georgia" w:hAnsi="Georgia" w:cs="Georgia"/>
          <w:i/>
          <w:color w:val="004146"/>
          <w:sz w:val="48"/>
          <w:szCs w:val="48"/>
        </w:rPr>
      </w:pPr>
    </w:p>
    <w:p w14:paraId="2B29FDB0" w14:textId="04F608B5" w:rsidR="00817832" w:rsidRDefault="00817832" w:rsidP="006A58C8">
      <w:pPr>
        <w:ind w:firstLine="720"/>
        <w:rPr>
          <w:rFonts w:ascii="Georgia" w:eastAsia="Georgia" w:hAnsi="Georgia" w:cs="Georgia"/>
          <w:i/>
          <w:color w:val="004146"/>
          <w:sz w:val="48"/>
          <w:szCs w:val="48"/>
        </w:rPr>
      </w:pPr>
    </w:p>
    <w:p w14:paraId="6DB8AAF8" w14:textId="6083D42B" w:rsidR="00817832" w:rsidRDefault="00817832" w:rsidP="006A58C8">
      <w:pPr>
        <w:ind w:firstLine="720"/>
        <w:rPr>
          <w:rFonts w:ascii="Georgia" w:eastAsia="Georgia" w:hAnsi="Georgia" w:cs="Georgia"/>
          <w:i/>
          <w:color w:val="004146"/>
          <w:sz w:val="48"/>
          <w:szCs w:val="48"/>
        </w:rPr>
      </w:pPr>
    </w:p>
    <w:p w14:paraId="3C6F5B00" w14:textId="1702DFA0" w:rsidR="00817832" w:rsidRDefault="00817832" w:rsidP="006A58C8">
      <w:pPr>
        <w:ind w:firstLine="720"/>
        <w:rPr>
          <w:rFonts w:ascii="Georgia" w:eastAsia="Georgia" w:hAnsi="Georgia" w:cs="Georgia"/>
          <w:i/>
          <w:color w:val="004146"/>
          <w:sz w:val="48"/>
          <w:szCs w:val="48"/>
        </w:rPr>
      </w:pPr>
    </w:p>
    <w:p w14:paraId="6449C1AF" w14:textId="7C983821" w:rsidR="00817832" w:rsidRDefault="00817832" w:rsidP="006A58C8">
      <w:pPr>
        <w:ind w:firstLine="720"/>
        <w:rPr>
          <w:rFonts w:ascii="Georgia" w:eastAsia="Georgia" w:hAnsi="Georgia" w:cs="Georgia"/>
          <w:i/>
          <w:color w:val="004146"/>
          <w:sz w:val="48"/>
          <w:szCs w:val="48"/>
        </w:rPr>
      </w:pPr>
    </w:p>
    <w:p w14:paraId="76AE36DB" w14:textId="147B6CEB" w:rsidR="00817832" w:rsidRDefault="00817832" w:rsidP="006A58C8">
      <w:pPr>
        <w:ind w:firstLine="720"/>
        <w:rPr>
          <w:rFonts w:ascii="Georgia" w:eastAsia="Georgia" w:hAnsi="Georgia" w:cs="Georgia"/>
          <w:i/>
          <w:color w:val="004146"/>
          <w:sz w:val="28"/>
          <w:szCs w:val="28"/>
        </w:rPr>
      </w:pPr>
    </w:p>
    <w:p w14:paraId="5E0E2280" w14:textId="4847D06D" w:rsidR="00817832" w:rsidRDefault="00817832" w:rsidP="006A58C8">
      <w:pPr>
        <w:ind w:firstLine="720"/>
        <w:rPr>
          <w:rFonts w:asciiTheme="majorHAnsi" w:eastAsia="Georgia" w:hAnsiTheme="majorHAnsi" w:cstheme="majorHAnsi"/>
          <w:iCs/>
          <w:color w:val="004146"/>
          <w:sz w:val="32"/>
          <w:szCs w:val="32"/>
        </w:rPr>
      </w:pPr>
    </w:p>
    <w:p w14:paraId="0613C570" w14:textId="3949C2E4" w:rsidR="00817832" w:rsidRPr="00817832" w:rsidRDefault="00817832" w:rsidP="006A58C8">
      <w:pPr>
        <w:ind w:firstLine="720"/>
        <w:rPr>
          <w:rFonts w:asciiTheme="majorHAnsi" w:eastAsia="Georgia" w:hAnsiTheme="majorHAnsi" w:cstheme="majorHAnsi"/>
          <w:iCs/>
          <w:color w:val="004146"/>
          <w:sz w:val="32"/>
          <w:szCs w:val="32"/>
        </w:rPr>
      </w:pPr>
      <w:r>
        <w:rPr>
          <w:rFonts w:asciiTheme="majorHAnsi" w:eastAsia="Georgia" w:hAnsiTheme="majorHAnsi" w:cstheme="majorHAnsi"/>
          <w:iCs/>
          <w:color w:val="004146"/>
          <w:sz w:val="32"/>
          <w:szCs w:val="32"/>
        </w:rPr>
        <w:t>AC1.1</w:t>
      </w:r>
    </w:p>
    <w:sectPr w:rsidR="00817832" w:rsidRPr="00817832" w:rsidSect="00666D7D">
      <w:headerReference w:type="default" r:id="rId36"/>
      <w:footerReference w:type="default" r:id="rId3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08949" w14:textId="77777777" w:rsidR="00DB5CB8" w:rsidRDefault="00DB5CB8">
      <w:r>
        <w:separator/>
      </w:r>
    </w:p>
    <w:p w14:paraId="268F780F" w14:textId="77777777" w:rsidR="00DB5CB8" w:rsidRDefault="00DB5CB8"/>
  </w:endnote>
  <w:endnote w:type="continuationSeparator" w:id="0">
    <w:p w14:paraId="637C641C" w14:textId="77777777" w:rsidR="00DB5CB8" w:rsidRDefault="00DB5CB8">
      <w:r>
        <w:continuationSeparator/>
      </w:r>
    </w:p>
    <w:p w14:paraId="36197956" w14:textId="77777777" w:rsidR="00DB5CB8" w:rsidRDefault="00DB5CB8"/>
  </w:endnote>
  <w:endnote w:type="continuationNotice" w:id="1">
    <w:p w14:paraId="55D7F546" w14:textId="77777777" w:rsidR="00DB5CB8" w:rsidRDefault="00DB5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204474"/>
      <w:docPartObj>
        <w:docPartGallery w:val="Page Numbers (Bottom of Page)"/>
        <w:docPartUnique/>
      </w:docPartObj>
    </w:sdtPr>
    <w:sdtEndPr>
      <w:rPr>
        <w:noProof/>
      </w:rPr>
    </w:sdtEndPr>
    <w:sdtContent>
      <w:p w14:paraId="4FE8FCEB" w14:textId="4884FA64" w:rsidR="00BE55F7" w:rsidRDefault="00BE55F7">
        <w:pPr>
          <w:pStyle w:val="Footer"/>
        </w:pPr>
        <w:r>
          <w:fldChar w:fldCharType="begin"/>
        </w:r>
        <w:r>
          <w:instrText xml:space="preserve"> PAGE   \* MERGEFORMAT </w:instrText>
        </w:r>
        <w:r>
          <w:fldChar w:fldCharType="separate"/>
        </w:r>
        <w:r>
          <w:rPr>
            <w:noProof/>
          </w:rPr>
          <w:t>2</w:t>
        </w:r>
        <w:r>
          <w:rPr>
            <w:noProof/>
          </w:rPr>
          <w:fldChar w:fldCharType="end"/>
        </w:r>
      </w:p>
    </w:sdtContent>
  </w:sdt>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CA501" w14:textId="77777777" w:rsidR="00DB5CB8" w:rsidRDefault="00DB5CB8">
      <w:r>
        <w:separator/>
      </w:r>
    </w:p>
    <w:p w14:paraId="2F330655" w14:textId="77777777" w:rsidR="00DB5CB8" w:rsidRDefault="00DB5CB8"/>
  </w:footnote>
  <w:footnote w:type="continuationSeparator" w:id="0">
    <w:p w14:paraId="7443F7DE" w14:textId="77777777" w:rsidR="00DB5CB8" w:rsidRDefault="00DB5CB8">
      <w:r>
        <w:continuationSeparator/>
      </w:r>
    </w:p>
    <w:p w14:paraId="6E88EACB" w14:textId="77777777" w:rsidR="00DB5CB8" w:rsidRDefault="00DB5CB8"/>
  </w:footnote>
  <w:footnote w:type="continuationNotice" w:id="1">
    <w:p w14:paraId="5EAAE594" w14:textId="77777777" w:rsidR="00DB5CB8" w:rsidRDefault="00DB5CB8"/>
  </w:footnote>
  <w:footnote w:id="2">
    <w:p w14:paraId="7563115E" w14:textId="36BD8368" w:rsidR="00514328" w:rsidRDefault="00514328">
      <w:pPr>
        <w:pStyle w:val="FootnoteText"/>
      </w:pPr>
      <w:r>
        <w:rPr>
          <w:rStyle w:val="FootnoteReference"/>
        </w:rPr>
        <w:footnoteRef/>
      </w:r>
      <w:r>
        <w:t xml:space="preserve"> </w:t>
      </w:r>
      <w:r w:rsidRPr="00514328">
        <w:t xml:space="preserve">CIPD (2023) </w:t>
      </w:r>
      <w:r>
        <w:t>The Profession Map</w:t>
      </w:r>
      <w:r w:rsidRPr="00514328">
        <w:t xml:space="preserve">. Available at: </w:t>
      </w:r>
      <w:hyperlink r:id="rId1" w:anchor="relevant" w:history="1">
        <w:r w:rsidRPr="00C1405B">
          <w:rPr>
            <w:rStyle w:val="Hyperlink"/>
          </w:rPr>
          <w:t>https://www.cipd.org/uk/the-people-profession/the-profession-map/how-it-works/#relevant</w:t>
        </w:r>
      </w:hyperlink>
      <w:r>
        <w:t xml:space="preserve"> (Accessed 15/11/2023)</w:t>
      </w:r>
    </w:p>
  </w:footnote>
  <w:footnote w:id="3">
    <w:p w14:paraId="6FD475D1" w14:textId="5233B454" w:rsidR="00422AE8" w:rsidRDefault="00422AE8">
      <w:pPr>
        <w:pStyle w:val="FootnoteText"/>
      </w:pPr>
      <w:r>
        <w:rPr>
          <w:rStyle w:val="FootnoteReference"/>
        </w:rPr>
        <w:footnoteRef/>
      </w:r>
      <w:r>
        <w:t xml:space="preserve"> </w:t>
      </w:r>
      <w:r w:rsidR="009D40C2">
        <w:t xml:space="preserve">Reid Elder, S and </w:t>
      </w:r>
      <w:proofErr w:type="spellStart"/>
      <w:r w:rsidR="009D40C2">
        <w:t>Nikodem</w:t>
      </w:r>
      <w:proofErr w:type="spellEnd"/>
      <w:r w:rsidR="009D40C2">
        <w:t>, M (2023) ‘</w:t>
      </w:r>
      <w:r w:rsidR="009D40C2" w:rsidRPr="009D40C2">
        <w:t>Considering the application and relevance of evidence-based HR</w:t>
      </w:r>
      <w:proofErr w:type="gramStart"/>
      <w:r w:rsidR="009D40C2">
        <w:t>’ ,</w:t>
      </w:r>
      <w:proofErr w:type="gramEnd"/>
      <w:r w:rsidR="009D40C2">
        <w:t xml:space="preserve"> People Management, Article</w:t>
      </w:r>
      <w:r w:rsidR="009D40C2" w:rsidRPr="009D40C2">
        <w:t xml:space="preserve"> 1845833</w:t>
      </w:r>
      <w:r w:rsidR="009D40C2">
        <w:t xml:space="preserve">. Available at: </w:t>
      </w:r>
      <w:hyperlink r:id="rId2" w:history="1">
        <w:r w:rsidR="009D40C2" w:rsidRPr="00C1405B">
          <w:rPr>
            <w:rStyle w:val="Hyperlink"/>
          </w:rPr>
          <w:t>https://www.peoplemanagement.co.uk/article/1845833/considering-application-relevance-evidence-based-hr</w:t>
        </w:r>
      </w:hyperlink>
      <w:r w:rsidR="009D40C2">
        <w:t xml:space="preserve"> (Accessed: 16/11/2023)</w:t>
      </w:r>
    </w:p>
  </w:footnote>
  <w:footnote w:id="4">
    <w:p w14:paraId="0B1CC5B4" w14:textId="1B581144" w:rsidR="007A2125" w:rsidRDefault="007A2125">
      <w:pPr>
        <w:pStyle w:val="FootnoteText"/>
      </w:pPr>
      <w:r>
        <w:rPr>
          <w:rStyle w:val="FootnoteReference"/>
        </w:rPr>
        <w:footnoteRef/>
      </w:r>
      <w:r>
        <w:t xml:space="preserve"> </w:t>
      </w:r>
      <w:bookmarkStart w:id="0" w:name="_Hlk150984465"/>
      <w:r w:rsidRPr="007A2125">
        <w:t xml:space="preserve">Briner, R. (2019). </w:t>
      </w:r>
      <w:r w:rsidRPr="00851A7E">
        <w:rPr>
          <w:i/>
          <w:iCs/>
        </w:rPr>
        <w:t>The Basics of Evidence-Based Practice</w:t>
      </w:r>
      <w:r w:rsidR="00851A7E">
        <w:rPr>
          <w:i/>
          <w:iCs/>
        </w:rPr>
        <w:t>. I</w:t>
      </w:r>
      <w:r w:rsidRPr="00851A7E">
        <w:rPr>
          <w:i/>
          <w:iCs/>
        </w:rPr>
        <w:t>n People &amp; strategy</w:t>
      </w:r>
      <w:r w:rsidRPr="007A2125">
        <w:rPr>
          <w:i/>
          <w:iCs/>
        </w:rPr>
        <w:t>: journal of the Human Resource Planning Society</w:t>
      </w:r>
      <w:r w:rsidRPr="007A2125">
        <w:t> (Vol. 42, Issue 1, pp. 16–20). Human Resource Planning Society.</w:t>
      </w:r>
      <w:bookmarkEnd w:id="0"/>
    </w:p>
  </w:footnote>
  <w:footnote w:id="5">
    <w:p w14:paraId="2ACA286E" w14:textId="3CE320CB" w:rsidR="00E729FC" w:rsidRDefault="00E729FC">
      <w:pPr>
        <w:pStyle w:val="FootnoteText"/>
      </w:pPr>
      <w:r>
        <w:rPr>
          <w:rStyle w:val="FootnoteReference"/>
        </w:rPr>
        <w:footnoteRef/>
      </w:r>
      <w:r>
        <w:t xml:space="preserve"> </w:t>
      </w:r>
      <w:r w:rsidRPr="00E729FC">
        <w:t xml:space="preserve">Briner, R. (2019). </w:t>
      </w:r>
      <w:r w:rsidRPr="00851A7E">
        <w:rPr>
          <w:i/>
          <w:iCs/>
        </w:rPr>
        <w:t>The Basics of Evidence-Based Practice</w:t>
      </w:r>
      <w:r w:rsidR="00851A7E">
        <w:rPr>
          <w:i/>
          <w:iCs/>
        </w:rPr>
        <w:t xml:space="preserve">. </w:t>
      </w:r>
      <w:r w:rsidRPr="00851A7E">
        <w:rPr>
          <w:i/>
          <w:iCs/>
        </w:rPr>
        <w:t>In People &amp; strategy</w:t>
      </w:r>
      <w:r w:rsidRPr="00E729FC">
        <w:rPr>
          <w:i/>
          <w:iCs/>
        </w:rPr>
        <w:t>: journal of the Human Resource Planning Society</w:t>
      </w:r>
      <w:r w:rsidRPr="00E729FC">
        <w:t xml:space="preserve"> (Vol. 42, Issue 1, </w:t>
      </w:r>
      <w:r>
        <w:t>page 17</w:t>
      </w:r>
      <w:r w:rsidRPr="00E729FC">
        <w:t>). Human Resource Planning Society.</w:t>
      </w:r>
    </w:p>
  </w:footnote>
  <w:footnote w:id="6">
    <w:p w14:paraId="7AC2D7A0" w14:textId="42DFCEEA" w:rsidR="003F2682" w:rsidRDefault="003F2682">
      <w:pPr>
        <w:pStyle w:val="FootnoteText"/>
      </w:pPr>
      <w:r>
        <w:rPr>
          <w:rStyle w:val="FootnoteReference"/>
        </w:rPr>
        <w:footnoteRef/>
      </w:r>
      <w:r>
        <w:t xml:space="preserve"> </w:t>
      </w:r>
      <w:bookmarkStart w:id="1" w:name="_Hlk150979980"/>
      <w:r w:rsidR="003B3128">
        <w:t xml:space="preserve">CIPD (2023) </w:t>
      </w:r>
      <w:r w:rsidR="003B3128" w:rsidRPr="005C19F0">
        <w:rPr>
          <w:i/>
          <w:iCs/>
        </w:rPr>
        <w:t>SWOT Analysis Factsheet</w:t>
      </w:r>
      <w:r w:rsidR="003B3128">
        <w:t>. Available at:</w:t>
      </w:r>
      <w:bookmarkEnd w:id="1"/>
      <w:r w:rsidR="003B3128">
        <w:t xml:space="preserve"> </w:t>
      </w:r>
      <w:hyperlink r:id="rId3" w:anchor=":~:text=A%20SWOT%20analysis%20is%20a,environment%20in%20which%20it%20operates" w:history="1">
        <w:r w:rsidR="003B3128" w:rsidRPr="00C1405B">
          <w:rPr>
            <w:rStyle w:val="Hyperlink"/>
          </w:rPr>
          <w:t>https://www.cipd.org/uk/knowledge/factsheets/swot-analysis-factsheet/#:~:text=A%20SWOT%20analysis%20is%20a,environment%20in%20which%20it%20operates</w:t>
        </w:r>
      </w:hyperlink>
      <w:r w:rsidR="003B3128" w:rsidRPr="003B3128">
        <w:t>.</w:t>
      </w:r>
      <w:r w:rsidR="003B3128">
        <w:t xml:space="preserve"> (Accessed: 15/11/2023).</w:t>
      </w:r>
    </w:p>
  </w:footnote>
  <w:footnote w:id="7">
    <w:p w14:paraId="616A27C2" w14:textId="1964AF0C" w:rsidR="0070466E" w:rsidRDefault="0070466E">
      <w:pPr>
        <w:pStyle w:val="FootnoteText"/>
      </w:pPr>
      <w:r>
        <w:rPr>
          <w:rStyle w:val="FootnoteReference"/>
        </w:rPr>
        <w:footnoteRef/>
      </w:r>
      <w:r>
        <w:t xml:space="preserve"> </w:t>
      </w:r>
      <w:proofErr w:type="spellStart"/>
      <w:r w:rsidRPr="0070466E">
        <w:t>Chermack</w:t>
      </w:r>
      <w:proofErr w:type="spellEnd"/>
      <w:r w:rsidRPr="0070466E">
        <w:t xml:space="preserve">, T. J., &amp; </w:t>
      </w:r>
      <w:proofErr w:type="spellStart"/>
      <w:r w:rsidRPr="0070466E">
        <w:t>Kasshanna</w:t>
      </w:r>
      <w:proofErr w:type="spellEnd"/>
      <w:r w:rsidRPr="0070466E">
        <w:t xml:space="preserve">, B. K. (2007). </w:t>
      </w:r>
      <w:r w:rsidRPr="005C19F0">
        <w:rPr>
          <w:i/>
          <w:iCs/>
        </w:rPr>
        <w:t>The Use and Misuse of SWOT Analysis and Implications for HRD Professionals</w:t>
      </w:r>
      <w:r w:rsidRPr="0070466E">
        <w:t>. </w:t>
      </w:r>
      <w:r w:rsidRPr="005C19F0">
        <w:t>Human Resource Development International</w:t>
      </w:r>
      <w:r w:rsidRPr="0070466E">
        <w:t>, </w:t>
      </w:r>
      <w:r w:rsidRPr="0070466E">
        <w:rPr>
          <w:i/>
          <w:iCs/>
        </w:rPr>
        <w:t>10</w:t>
      </w:r>
      <w:r w:rsidRPr="0070466E">
        <w:t xml:space="preserve">(4), 383–399. </w:t>
      </w:r>
      <w:hyperlink r:id="rId4" w:history="1">
        <w:r w:rsidR="005C19F0" w:rsidRPr="00DB3526">
          <w:rPr>
            <w:rStyle w:val="Hyperlink"/>
          </w:rPr>
          <w:t>https://doi.org/10.1080/13678860701718760</w:t>
        </w:r>
      </w:hyperlink>
      <w:r w:rsidR="005C19F0">
        <w:t xml:space="preserve"> </w:t>
      </w:r>
    </w:p>
  </w:footnote>
  <w:footnote w:id="8">
    <w:p w14:paraId="0F4E02E0" w14:textId="6D42C49E" w:rsidR="0070466E" w:rsidRDefault="0070466E">
      <w:pPr>
        <w:pStyle w:val="FootnoteText"/>
      </w:pPr>
      <w:r>
        <w:rPr>
          <w:rStyle w:val="FootnoteReference"/>
        </w:rPr>
        <w:footnoteRef/>
      </w:r>
      <w:r>
        <w:t xml:space="preserve"> </w:t>
      </w:r>
      <w:proofErr w:type="spellStart"/>
      <w:r w:rsidRPr="0070466E">
        <w:t>Chermack</w:t>
      </w:r>
      <w:proofErr w:type="spellEnd"/>
      <w:r w:rsidRPr="0070466E">
        <w:t xml:space="preserve">, T. J., &amp; </w:t>
      </w:r>
      <w:proofErr w:type="spellStart"/>
      <w:r w:rsidRPr="0070466E">
        <w:t>Kasshanna</w:t>
      </w:r>
      <w:proofErr w:type="spellEnd"/>
      <w:r w:rsidRPr="0070466E">
        <w:t xml:space="preserve">, B. K. (2007). </w:t>
      </w:r>
      <w:r w:rsidRPr="005C19F0">
        <w:rPr>
          <w:i/>
          <w:iCs/>
        </w:rPr>
        <w:t>The Use and Misuse of SWOT Analysis and Implications for HRD Professionals</w:t>
      </w:r>
      <w:r w:rsidRPr="0070466E">
        <w:t>. </w:t>
      </w:r>
      <w:r w:rsidRPr="005C19F0">
        <w:t>Human Resource Development International</w:t>
      </w:r>
      <w:r w:rsidRPr="0070466E">
        <w:t>, </w:t>
      </w:r>
      <w:r w:rsidRPr="0070466E">
        <w:rPr>
          <w:i/>
          <w:iCs/>
        </w:rPr>
        <w:t>10</w:t>
      </w:r>
      <w:r w:rsidRPr="0070466E">
        <w:t xml:space="preserve">(4), </w:t>
      </w:r>
      <w:r>
        <w:t>P 396</w:t>
      </w:r>
      <w:r w:rsidRPr="0070466E">
        <w:t>. https://doi.org/10.1080/13678860701718760</w:t>
      </w:r>
    </w:p>
  </w:footnote>
  <w:footnote w:id="9">
    <w:p w14:paraId="7618A3B1" w14:textId="77777777" w:rsidR="008F5AA7" w:rsidRDefault="008F5AA7" w:rsidP="008F5AA7">
      <w:pPr>
        <w:pStyle w:val="FootnoteText"/>
      </w:pPr>
      <w:r>
        <w:rPr>
          <w:rStyle w:val="FootnoteReference"/>
        </w:rPr>
        <w:footnoteRef/>
      </w:r>
      <w:r>
        <w:t xml:space="preserve"> </w:t>
      </w:r>
      <w:r w:rsidRPr="00851A7E">
        <w:t>Michael E. Porter</w:t>
      </w:r>
      <w:r>
        <w:t>. (1979).</w:t>
      </w:r>
      <w:r w:rsidRPr="00851A7E">
        <w:t xml:space="preserve"> </w:t>
      </w:r>
      <w:r w:rsidRPr="00851A7E">
        <w:rPr>
          <w:i/>
          <w:iCs/>
        </w:rPr>
        <w:t>How Competitive Forces Shape Strategy</w:t>
      </w:r>
      <w:r>
        <w:t>.</w:t>
      </w:r>
      <w:r w:rsidRPr="00851A7E">
        <w:t xml:space="preserve"> Harvard Business Review (Vol. 57, No. 2, pp. 137–145</w:t>
      </w:r>
      <w:r>
        <w:t>)</w:t>
      </w:r>
      <w:r w:rsidRPr="00851A7E">
        <w:t>.</w:t>
      </w:r>
    </w:p>
  </w:footnote>
  <w:footnote w:id="10">
    <w:p w14:paraId="013CE925" w14:textId="5155B369" w:rsidR="00920C06" w:rsidRDefault="00920C06">
      <w:pPr>
        <w:pStyle w:val="FootnoteText"/>
      </w:pPr>
      <w:r>
        <w:rPr>
          <w:rStyle w:val="FootnoteReference"/>
        </w:rPr>
        <w:footnoteRef/>
      </w:r>
      <w:r>
        <w:t xml:space="preserve"> CIPD (2023) </w:t>
      </w:r>
      <w:r w:rsidRPr="005C19F0">
        <w:rPr>
          <w:i/>
          <w:iCs/>
        </w:rPr>
        <w:t>PESTLE Analysis Factsheet</w:t>
      </w:r>
      <w:r>
        <w:t xml:space="preserve">. Available at: </w:t>
      </w:r>
      <w:hyperlink r:id="rId5" w:anchor="what-is-a-pestle-analysis" w:history="1">
        <w:r w:rsidRPr="00C1405B">
          <w:rPr>
            <w:rStyle w:val="Hyperlink"/>
          </w:rPr>
          <w:t>https://www.cipd.org/uk/knowledge/factsheets/pestle-analysis-factsheet/#what-is-a-pestle-analysis</w:t>
        </w:r>
      </w:hyperlink>
      <w:r>
        <w:t xml:space="preserve"> (Accessed 15/11/2023).</w:t>
      </w:r>
    </w:p>
  </w:footnote>
  <w:footnote w:id="11">
    <w:p w14:paraId="2B14DAC9" w14:textId="653D2ED9" w:rsidR="00C34B93" w:rsidRDefault="00C34B93">
      <w:pPr>
        <w:pStyle w:val="FootnoteText"/>
      </w:pPr>
      <w:bookmarkStart w:id="2" w:name="_Hlk152613445"/>
      <w:r>
        <w:rPr>
          <w:rStyle w:val="FootnoteReference"/>
        </w:rPr>
        <w:footnoteRef/>
      </w:r>
      <w:r>
        <w:t xml:space="preserve"> </w:t>
      </w:r>
      <w:proofErr w:type="spellStart"/>
      <w:r w:rsidR="00B73F1C" w:rsidRPr="00795151">
        <w:t>Figliuolo</w:t>
      </w:r>
      <w:proofErr w:type="spellEnd"/>
      <w:r w:rsidR="00B73F1C">
        <w:t xml:space="preserve">, M. (2016) </w:t>
      </w:r>
      <w:r w:rsidR="00B73F1C" w:rsidRPr="00C34B93">
        <w:rPr>
          <w:i/>
          <w:iCs/>
        </w:rPr>
        <w:t>Critical Thinking</w:t>
      </w:r>
      <w:r w:rsidR="00B73F1C">
        <w:rPr>
          <w:i/>
          <w:iCs/>
        </w:rPr>
        <w:t xml:space="preserve">. </w:t>
      </w:r>
      <w:r w:rsidR="00B73F1C" w:rsidRPr="00795151">
        <w:t>Available at:</w:t>
      </w:r>
      <w:r w:rsidR="00B73F1C">
        <w:t xml:space="preserve"> </w:t>
      </w:r>
      <w:hyperlink r:id="rId6" w:history="1">
        <w:r w:rsidR="00B73F1C" w:rsidRPr="00DB3526">
          <w:rPr>
            <w:rStyle w:val="Hyperlink"/>
          </w:rPr>
          <w:t>https://www.linkedin.com/learning/critical-thinking/the-importance-of-critical-thinking-2?autoplay=true&amp;trk=learning-course_tocItem&amp;upsellOrderOrigin=default_guest_learning</w:t>
        </w:r>
      </w:hyperlink>
      <w:bookmarkEnd w:id="2"/>
      <w:r w:rsidR="00B73F1C">
        <w:t xml:space="preserve"> </w:t>
      </w:r>
    </w:p>
  </w:footnote>
  <w:footnote w:id="12">
    <w:p w14:paraId="42F91C9C" w14:textId="77777777" w:rsidR="002D7F75" w:rsidRDefault="002D7F75" w:rsidP="002D7F75">
      <w:pPr>
        <w:pStyle w:val="FootnoteText"/>
      </w:pPr>
      <w:r>
        <w:rPr>
          <w:rStyle w:val="FootnoteReference"/>
        </w:rPr>
        <w:footnoteRef/>
      </w:r>
      <w:r>
        <w:t xml:space="preserve"> </w:t>
      </w:r>
      <w:r w:rsidRPr="00160CCA">
        <w:t>De Bono, E. (2009). </w:t>
      </w:r>
      <w:r w:rsidRPr="00160CCA">
        <w:rPr>
          <w:i/>
          <w:iCs/>
        </w:rPr>
        <w:t>Six thinking hats</w:t>
      </w:r>
      <w:r w:rsidRPr="00160CCA">
        <w:t> (Rev. and updated ed.). Penguin.</w:t>
      </w:r>
    </w:p>
  </w:footnote>
  <w:footnote w:id="13">
    <w:p w14:paraId="69CB531A" w14:textId="77777777" w:rsidR="002D7F75" w:rsidRDefault="002D7F75" w:rsidP="002D7F75">
      <w:pPr>
        <w:pStyle w:val="FootnoteText"/>
      </w:pPr>
      <w:r>
        <w:rPr>
          <w:rStyle w:val="FootnoteReference"/>
        </w:rPr>
        <w:footnoteRef/>
      </w:r>
      <w:r>
        <w:t xml:space="preserve"> Ibid</w:t>
      </w:r>
    </w:p>
  </w:footnote>
  <w:footnote w:id="14">
    <w:p w14:paraId="7F36CB0A" w14:textId="2BB8A428" w:rsidR="005A4155" w:rsidRDefault="005A4155">
      <w:pPr>
        <w:pStyle w:val="FootnoteText"/>
      </w:pPr>
      <w:r>
        <w:rPr>
          <w:rStyle w:val="FootnoteReference"/>
        </w:rPr>
        <w:footnoteRef/>
      </w:r>
      <w:r>
        <w:t xml:space="preserve"> </w:t>
      </w:r>
      <w:r w:rsidR="00C010BC" w:rsidRPr="00C010BC">
        <w:t>Tannenbaum, R., &amp; Schmidt, W. H. (1973). How to choose a leadership pattern. In </w:t>
      </w:r>
      <w:r w:rsidR="00C010BC" w:rsidRPr="00C010BC">
        <w:rPr>
          <w:i/>
          <w:iCs/>
        </w:rPr>
        <w:t>Harvard business review</w:t>
      </w:r>
      <w:r w:rsidR="00C010BC" w:rsidRPr="00C010BC">
        <w:t> (Vol. 51, Issue 3, pp. 162-). Harvard University Graduate School of Business Administration.</w:t>
      </w:r>
    </w:p>
  </w:footnote>
  <w:footnote w:id="15">
    <w:p w14:paraId="5D8CC73F" w14:textId="0AAEC35F" w:rsidR="00C010BC" w:rsidRPr="00C010BC" w:rsidRDefault="00C010BC" w:rsidP="00C010BC">
      <w:pPr>
        <w:pStyle w:val="FootnoteText"/>
        <w:rPr>
          <w:u w:val="single"/>
        </w:rPr>
      </w:pPr>
      <w:r>
        <w:rPr>
          <w:rStyle w:val="FootnoteReference"/>
        </w:rPr>
        <w:footnoteRef/>
      </w:r>
      <w:r>
        <w:t xml:space="preserve"> </w:t>
      </w:r>
      <w:hyperlink r:id="rId7" w:history="1">
        <w:r w:rsidRPr="00624793">
          <w:rPr>
            <w:rStyle w:val="Hyperlink"/>
          </w:rPr>
          <w:t>https://www.mindtools.com/aesdntj/the-tannenbaum-schmidt-leadership-continuum</w:t>
        </w:r>
      </w:hyperlink>
      <w:r w:rsidRPr="00C010BC">
        <w:t xml:space="preserve"> (Accessed 01/12/2023)</w:t>
      </w:r>
    </w:p>
  </w:footnote>
  <w:footnote w:id="16">
    <w:p w14:paraId="57B249EE" w14:textId="5EF9CDAB" w:rsidR="00094E9E" w:rsidRDefault="00094E9E">
      <w:pPr>
        <w:pStyle w:val="FootnoteText"/>
      </w:pPr>
      <w:r>
        <w:rPr>
          <w:rStyle w:val="FootnoteReference"/>
        </w:rPr>
        <w:footnoteRef/>
      </w:r>
      <w:r>
        <w:t xml:space="preserve"> </w:t>
      </w:r>
      <w:bookmarkStart w:id="3" w:name="_Hlk152605013"/>
      <w:r>
        <w:t xml:space="preserve">CIPD (2015) </w:t>
      </w:r>
      <w:r w:rsidRPr="00094E9E">
        <w:rPr>
          <w:i/>
          <w:iCs/>
        </w:rPr>
        <w:t>Ethical decision-making: Eight perspectives on workplace dilemmas</w:t>
      </w:r>
      <w:r>
        <w:t xml:space="preserve">. Available at: </w:t>
      </w:r>
      <w:hyperlink r:id="rId8" w:history="1">
        <w:r w:rsidRPr="00DB3526">
          <w:rPr>
            <w:rStyle w:val="Hyperlink"/>
          </w:rPr>
          <w:t>https://www.cipd.org/globalassets/media/knowledge/knowledge-hub/reports/ethical-decision-making-2015-eight-perspectives-on-workplace-dilemmas_tcm18-9564.pdf</w:t>
        </w:r>
      </w:hyperlink>
      <w:r>
        <w:t xml:space="preserve"> (Accessed 04/12/2023)</w:t>
      </w:r>
      <w:bookmarkEnd w:id="3"/>
    </w:p>
  </w:footnote>
  <w:footnote w:id="17">
    <w:p w14:paraId="49F9138F" w14:textId="68F2EF99" w:rsidR="00874A62" w:rsidRDefault="00874A62">
      <w:pPr>
        <w:pStyle w:val="FootnoteText"/>
      </w:pPr>
      <w:r>
        <w:rPr>
          <w:rStyle w:val="FootnoteReference"/>
        </w:rPr>
        <w:footnoteRef/>
      </w:r>
      <w:r>
        <w:t xml:space="preserve"> </w:t>
      </w:r>
      <w:r w:rsidRPr="00874A62">
        <w:t xml:space="preserve">CIPD (2015) Ethical decision-making: Eight perspectives on workplace dilemmas. </w:t>
      </w:r>
      <w:r w:rsidR="005C19F0">
        <w:t xml:space="preserve">(Page 3). </w:t>
      </w:r>
      <w:r w:rsidRPr="00874A62">
        <w:t xml:space="preserve">Available at: </w:t>
      </w:r>
      <w:hyperlink r:id="rId9" w:history="1">
        <w:r w:rsidRPr="00DB3526">
          <w:rPr>
            <w:rStyle w:val="Hyperlink"/>
          </w:rPr>
          <w:t>https://www.cipd.org/globalassets/media/knowledge/knowledge-hub/reports/ethical-decision-making-2015-eight-perspectives-on-workplace-dilemmas_tcm18-9564.pdf</w:t>
        </w:r>
      </w:hyperlink>
      <w:r>
        <w:t xml:space="preserve"> </w:t>
      </w:r>
      <w:r w:rsidRPr="00874A62">
        <w:t>(Accessed 04/12/2023)</w:t>
      </w:r>
      <w:r>
        <w:t xml:space="preserve">. </w:t>
      </w:r>
    </w:p>
  </w:footnote>
  <w:footnote w:id="18">
    <w:p w14:paraId="49B561AF" w14:textId="28740FDD" w:rsidR="008F163B" w:rsidRPr="00D35955" w:rsidRDefault="008F163B">
      <w:pPr>
        <w:pStyle w:val="FootnoteText"/>
      </w:pPr>
      <w:r>
        <w:rPr>
          <w:rStyle w:val="FootnoteReference"/>
        </w:rPr>
        <w:footnoteRef/>
      </w:r>
      <w:r>
        <w:t xml:space="preserve"> </w:t>
      </w:r>
      <w:r w:rsidR="00D35955">
        <w:t>Hale, B. (2018)</w:t>
      </w:r>
      <w:r w:rsidR="00D35955" w:rsidRPr="00D35955">
        <w:t xml:space="preserve"> </w:t>
      </w:r>
      <w:r w:rsidR="00D35955" w:rsidRPr="00D35955">
        <w:rPr>
          <w:i/>
          <w:iCs/>
        </w:rPr>
        <w:t>Equality and Human Rights</w:t>
      </w:r>
      <w:r w:rsidR="00D35955">
        <w:rPr>
          <w:i/>
          <w:iCs/>
        </w:rPr>
        <w:t xml:space="preserve">. [Speech] </w:t>
      </w:r>
      <w:r w:rsidR="00D35955" w:rsidRPr="00D35955">
        <w:t xml:space="preserve">Oxford Equality Lecture, </w:t>
      </w:r>
      <w:r w:rsidR="00D35955">
        <w:t>Law Faculty at the University of Oxford, Oxford. 29 October.</w:t>
      </w:r>
    </w:p>
  </w:footnote>
  <w:footnote w:id="19">
    <w:p w14:paraId="73A3B9A5" w14:textId="2EFA05F2" w:rsidR="00AB1927" w:rsidRDefault="00AB1927">
      <w:pPr>
        <w:pStyle w:val="FootnoteText"/>
      </w:pPr>
      <w:r>
        <w:rPr>
          <w:rStyle w:val="FootnoteReference"/>
        </w:rPr>
        <w:footnoteRef/>
      </w:r>
      <w:r>
        <w:t xml:space="preserve"> </w:t>
      </w:r>
      <w:r w:rsidR="004372DA" w:rsidRPr="004372DA">
        <w:t xml:space="preserve">Mill, J. S. (2014) </w:t>
      </w:r>
      <w:r w:rsidR="004372DA" w:rsidRPr="004372DA">
        <w:rPr>
          <w:i/>
          <w:iCs/>
        </w:rPr>
        <w:t>OF THE ULTIMATE SANCTION OF THE PRINCIPLE OF UTILITY</w:t>
      </w:r>
      <w:r w:rsidR="004372DA" w:rsidRPr="004372DA">
        <w:t xml:space="preserve">, in Utilitarianism. Cambridge: Cambridge University Press (Cambridge Library Collection - Philosophy), pp. 39–51. </w:t>
      </w:r>
      <w:proofErr w:type="spellStart"/>
      <w:r w:rsidR="004372DA" w:rsidRPr="004372DA">
        <w:t>doi</w:t>
      </w:r>
      <w:proofErr w:type="spellEnd"/>
      <w:r w:rsidR="004372DA" w:rsidRPr="004372DA">
        <w:t>: 10.1017/CBO9781139923927.003.</w:t>
      </w:r>
      <w:r w:rsidR="004372DA">
        <w:t xml:space="preserve"> </w:t>
      </w:r>
    </w:p>
  </w:footnote>
  <w:footnote w:id="20">
    <w:p w14:paraId="2292A8E2" w14:textId="77777777" w:rsidR="004942C0" w:rsidRDefault="004942C0" w:rsidP="004942C0">
      <w:pPr>
        <w:pStyle w:val="FootnoteText"/>
      </w:pPr>
      <w:r>
        <w:rPr>
          <w:rStyle w:val="FootnoteReference"/>
        </w:rPr>
        <w:footnoteRef/>
      </w:r>
      <w:r>
        <w:t xml:space="preserve"> </w:t>
      </w:r>
      <w:r w:rsidRPr="005276D2">
        <w:t xml:space="preserve">Taylor, S., &amp; Woodhams, C. (Eds.). (2022). Studying human resource management: a guide to the study, </w:t>
      </w:r>
      <w:proofErr w:type="gramStart"/>
      <w:r w:rsidRPr="005276D2">
        <w:t>context</w:t>
      </w:r>
      <w:proofErr w:type="gramEnd"/>
      <w:r w:rsidRPr="005276D2">
        <w:t xml:space="preserve"> and practice of HR (Third edition). </w:t>
      </w:r>
      <w:r>
        <w:t xml:space="preserve">Page 8. </w:t>
      </w:r>
      <w:proofErr w:type="spellStart"/>
      <w:r w:rsidRPr="005276D2">
        <w:t>KoganPage</w:t>
      </w:r>
      <w:proofErr w:type="spellEnd"/>
      <w:r w:rsidRPr="005276D2">
        <w:t>.</w:t>
      </w:r>
    </w:p>
  </w:footnote>
  <w:footnote w:id="21">
    <w:p w14:paraId="6692A44F" w14:textId="368DFF69" w:rsidR="00395BFC" w:rsidRDefault="00395BFC" w:rsidP="00395BFC">
      <w:pPr>
        <w:pStyle w:val="FootnoteText"/>
      </w:pPr>
      <w:r>
        <w:rPr>
          <w:rStyle w:val="FootnoteReference"/>
        </w:rPr>
        <w:footnoteRef/>
      </w:r>
      <w:r>
        <w:t xml:space="preserve"> The UK Government (2023) </w:t>
      </w:r>
      <w:r w:rsidRPr="00DB4CA1">
        <w:rPr>
          <w:i/>
          <w:iCs/>
        </w:rPr>
        <w:t>Positive Action in the Workplace</w:t>
      </w:r>
      <w:r>
        <w:t xml:space="preserve">. Available at: </w:t>
      </w:r>
      <w:hyperlink r:id="rId10" w:history="1">
        <w:r w:rsidRPr="00C36CCC">
          <w:rPr>
            <w:rStyle w:val="Hyperlink"/>
          </w:rPr>
          <w:t>https://www.gov.uk/government/publications/positive-action-in-the-workplace-guidance-for-employers/positive-action-in-the-workplace</w:t>
        </w:r>
      </w:hyperlink>
      <w:r>
        <w:t xml:space="preserve"> </w:t>
      </w:r>
    </w:p>
  </w:footnote>
  <w:footnote w:id="22">
    <w:p w14:paraId="78B3AEFC" w14:textId="189A002C" w:rsidR="00C157BB" w:rsidRDefault="00C157BB">
      <w:pPr>
        <w:pStyle w:val="FootnoteText"/>
      </w:pPr>
      <w:r>
        <w:rPr>
          <w:rStyle w:val="FootnoteReference"/>
        </w:rPr>
        <w:footnoteRef/>
      </w:r>
      <w:r>
        <w:t xml:space="preserve"> </w:t>
      </w:r>
      <w:r w:rsidR="00985EA0">
        <w:t xml:space="preserve">CIPD (2023) </w:t>
      </w:r>
      <w:r w:rsidR="00985EA0" w:rsidRPr="00985EA0">
        <w:rPr>
          <w:i/>
          <w:iCs/>
        </w:rPr>
        <w:t>Ethnicity pay reporting guides</w:t>
      </w:r>
      <w:r w:rsidR="00985EA0">
        <w:t xml:space="preserve">. Available at: </w:t>
      </w:r>
      <w:hyperlink r:id="rId11" w:history="1">
        <w:r w:rsidR="00985EA0" w:rsidRPr="00624793">
          <w:rPr>
            <w:rStyle w:val="Hyperlink"/>
          </w:rPr>
          <w:t>https://www.cipd.org/uk/knowledge/guides/ethnicity-pay-reporting-guide/</w:t>
        </w:r>
      </w:hyperlink>
      <w:r w:rsidR="00985EA0">
        <w:t xml:space="preserve"> </w:t>
      </w:r>
    </w:p>
  </w:footnote>
  <w:footnote w:id="23">
    <w:p w14:paraId="5801F0FD" w14:textId="66A9870C" w:rsidR="005A3456" w:rsidRDefault="005A3456">
      <w:pPr>
        <w:pStyle w:val="FootnoteText"/>
      </w:pPr>
      <w:r>
        <w:rPr>
          <w:rStyle w:val="FootnoteReference"/>
        </w:rPr>
        <w:footnoteRef/>
      </w:r>
      <w:r>
        <w:t xml:space="preserve"> </w:t>
      </w:r>
      <w:r w:rsidR="00BF4A53" w:rsidRPr="00BF4A53">
        <w:t>Taylor, S., &amp; Woodhams, C. (Eds.). (2022). </w:t>
      </w:r>
      <w:r w:rsidR="00BF4A53" w:rsidRPr="00BF4A53">
        <w:rPr>
          <w:i/>
          <w:iCs/>
        </w:rPr>
        <w:t>Human resource management: people and organisations</w:t>
      </w:r>
      <w:r w:rsidR="00BF4A53" w:rsidRPr="00BF4A53">
        <w:t> (Third Edition.). Kogan Page Inc.</w:t>
      </w:r>
      <w:r w:rsidR="00F15189">
        <w:t xml:space="preserve"> page </w:t>
      </w:r>
      <w:r w:rsidR="001009F7">
        <w:t>209</w:t>
      </w:r>
    </w:p>
  </w:footnote>
  <w:footnote w:id="24">
    <w:p w14:paraId="2826F7F0" w14:textId="1EC2432C" w:rsidR="005A3456" w:rsidRDefault="005A3456">
      <w:pPr>
        <w:pStyle w:val="FootnoteText"/>
      </w:pPr>
      <w:r>
        <w:rPr>
          <w:rStyle w:val="FootnoteReference"/>
        </w:rPr>
        <w:footnoteRef/>
      </w:r>
      <w:r>
        <w:t xml:space="preserve"> </w:t>
      </w:r>
      <w:r w:rsidR="001009F7">
        <w:t>ibid</w:t>
      </w:r>
    </w:p>
  </w:footnote>
  <w:footnote w:id="25">
    <w:p w14:paraId="32C71F7E" w14:textId="3F3F92DB" w:rsidR="00C551A4" w:rsidRDefault="00C551A4" w:rsidP="00C551A4">
      <w:pPr>
        <w:pStyle w:val="FootnoteText"/>
      </w:pPr>
      <w:r>
        <w:rPr>
          <w:rStyle w:val="FootnoteReference"/>
        </w:rPr>
        <w:footnoteRef/>
      </w:r>
      <w:r>
        <w:t xml:space="preserve"> </w:t>
      </w:r>
      <w:r w:rsidR="00BD695B">
        <w:t>Bryman</w:t>
      </w:r>
      <w:r w:rsidR="0009116D">
        <w:t xml:space="preserve">, A. </w:t>
      </w:r>
      <w:r w:rsidR="004E7DDF">
        <w:t>6</w:t>
      </w:r>
      <w:r w:rsidR="00D51761">
        <w:t>(1)</w:t>
      </w:r>
      <w:r w:rsidR="00C440A5">
        <w:t xml:space="preserve"> (2006)</w:t>
      </w:r>
      <w:r w:rsidR="00FE4F2C">
        <w:t xml:space="preserve"> </w:t>
      </w:r>
      <w:r w:rsidR="00623328" w:rsidRPr="00623328">
        <w:rPr>
          <w:i/>
          <w:iCs/>
        </w:rPr>
        <w:t>Integrating quantitative and qualitative research: how is it done?</w:t>
      </w:r>
      <w:r w:rsidR="00623328">
        <w:t xml:space="preserve"> Available at:</w:t>
      </w:r>
      <w:r w:rsidR="00623328" w:rsidRPr="00623328">
        <w:t xml:space="preserve"> </w:t>
      </w:r>
      <w:hyperlink r:id="rId12" w:history="1">
        <w:r w:rsidR="00D43E1F" w:rsidRPr="0091678E">
          <w:rPr>
            <w:rStyle w:val="Hyperlink"/>
          </w:rPr>
          <w:t>https://doi-org.ezproxy.uwtsd.ac.uk/10.1177/1468794106058877ope</w:t>
        </w:r>
      </w:hyperlink>
      <w:r w:rsidR="00D43E1F">
        <w:t xml:space="preserve"> (Accessed 27/11/2023)</w:t>
      </w:r>
      <w:r w:rsidR="004E7DD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69427E" w:rsidR="00BA11F0" w:rsidRDefault="0072235C">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9342D7D" wp14:editId="1AB6D72B">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42D7D" id="_x0000_t202" coordsize="21600,21600" o:spt="202" path="m,l,21600r21600,l21600,xe">
              <v:stroke joinstyle="miter"/>
              <v:path gradientshapeok="t" o:connecttype="rect"/>
            </v:shapetype>
            <v:shape id="Text Box 4" o:spid="_x0000_s1026" type="#_x0000_t202" style="position:absolute;margin-left:407.65pt;margin-top:27.75pt;width:131.7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72027"/>
    <w:multiLevelType w:val="hybridMultilevel"/>
    <w:tmpl w:val="304EA4DA"/>
    <w:lvl w:ilvl="0" w:tplc="536E2E1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7"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5"/>
  </w:num>
  <w:num w:numId="5" w16cid:durableId="559634343">
    <w:abstractNumId w:val="4"/>
  </w:num>
  <w:num w:numId="6" w16cid:durableId="1467702196">
    <w:abstractNumId w:val="15"/>
  </w:num>
  <w:num w:numId="7" w16cid:durableId="812908870">
    <w:abstractNumId w:val="26"/>
  </w:num>
  <w:num w:numId="8" w16cid:durableId="1868643287">
    <w:abstractNumId w:val="34"/>
  </w:num>
  <w:num w:numId="9" w16cid:durableId="1708598557">
    <w:abstractNumId w:val="12"/>
  </w:num>
  <w:num w:numId="10" w16cid:durableId="1565942951">
    <w:abstractNumId w:val="28"/>
  </w:num>
  <w:num w:numId="11" w16cid:durableId="1708529740">
    <w:abstractNumId w:val="9"/>
  </w:num>
  <w:num w:numId="12" w16cid:durableId="1595279419">
    <w:abstractNumId w:val="24"/>
  </w:num>
  <w:num w:numId="13" w16cid:durableId="477652578">
    <w:abstractNumId w:val="8"/>
  </w:num>
  <w:num w:numId="14" w16cid:durableId="637303193">
    <w:abstractNumId w:val="19"/>
  </w:num>
  <w:num w:numId="15" w16cid:durableId="951016538">
    <w:abstractNumId w:val="23"/>
  </w:num>
  <w:num w:numId="16" w16cid:durableId="2073576602">
    <w:abstractNumId w:val="13"/>
  </w:num>
  <w:num w:numId="17" w16cid:durableId="798492219">
    <w:abstractNumId w:val="22"/>
  </w:num>
  <w:num w:numId="18" w16cid:durableId="1908491024">
    <w:abstractNumId w:val="5"/>
  </w:num>
  <w:num w:numId="19" w16cid:durableId="1714304749">
    <w:abstractNumId w:val="2"/>
  </w:num>
  <w:num w:numId="20" w16cid:durableId="66803103">
    <w:abstractNumId w:val="16"/>
  </w:num>
  <w:num w:numId="21" w16cid:durableId="1670711244">
    <w:abstractNumId w:val="31"/>
  </w:num>
  <w:num w:numId="22" w16cid:durableId="1728991731">
    <w:abstractNumId w:val="20"/>
  </w:num>
  <w:num w:numId="23" w16cid:durableId="409428554">
    <w:abstractNumId w:val="21"/>
  </w:num>
  <w:num w:numId="24" w16cid:durableId="350451441">
    <w:abstractNumId w:val="7"/>
  </w:num>
  <w:num w:numId="25" w16cid:durableId="256063931">
    <w:abstractNumId w:val="32"/>
  </w:num>
  <w:num w:numId="26" w16cid:durableId="732118308">
    <w:abstractNumId w:val="33"/>
  </w:num>
  <w:num w:numId="27" w16cid:durableId="1959336966">
    <w:abstractNumId w:val="10"/>
  </w:num>
  <w:num w:numId="28" w16cid:durableId="866871333">
    <w:abstractNumId w:val="27"/>
  </w:num>
  <w:num w:numId="29" w16cid:durableId="1252156344">
    <w:abstractNumId w:val="29"/>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0"/>
  </w:num>
  <w:num w:numId="35" w16cid:durableId="10799833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14EDF"/>
    <w:rsid w:val="000201A6"/>
    <w:rsid w:val="000235C9"/>
    <w:rsid w:val="000252A8"/>
    <w:rsid w:val="00025D10"/>
    <w:rsid w:val="00026F30"/>
    <w:rsid w:val="000270CF"/>
    <w:rsid w:val="00032F5C"/>
    <w:rsid w:val="00034354"/>
    <w:rsid w:val="000405EE"/>
    <w:rsid w:val="0004133D"/>
    <w:rsid w:val="000436CC"/>
    <w:rsid w:val="00044E53"/>
    <w:rsid w:val="00045636"/>
    <w:rsid w:val="00045A4C"/>
    <w:rsid w:val="00052066"/>
    <w:rsid w:val="00052A2B"/>
    <w:rsid w:val="0005400C"/>
    <w:rsid w:val="0005612B"/>
    <w:rsid w:val="0005725B"/>
    <w:rsid w:val="00066C01"/>
    <w:rsid w:val="00067661"/>
    <w:rsid w:val="00070BD6"/>
    <w:rsid w:val="00072004"/>
    <w:rsid w:val="00076E1F"/>
    <w:rsid w:val="00080E87"/>
    <w:rsid w:val="00081AD9"/>
    <w:rsid w:val="00086C4A"/>
    <w:rsid w:val="0009116D"/>
    <w:rsid w:val="000928AD"/>
    <w:rsid w:val="00093016"/>
    <w:rsid w:val="00094E9E"/>
    <w:rsid w:val="00095FC9"/>
    <w:rsid w:val="000970ED"/>
    <w:rsid w:val="000A23B7"/>
    <w:rsid w:val="000A73DA"/>
    <w:rsid w:val="000A74DF"/>
    <w:rsid w:val="000B00BA"/>
    <w:rsid w:val="000B36B5"/>
    <w:rsid w:val="000B50EB"/>
    <w:rsid w:val="000C1E60"/>
    <w:rsid w:val="000C76B8"/>
    <w:rsid w:val="000D1C72"/>
    <w:rsid w:val="000D2DA8"/>
    <w:rsid w:val="000D306F"/>
    <w:rsid w:val="000D31DF"/>
    <w:rsid w:val="000D3D54"/>
    <w:rsid w:val="000D3EC1"/>
    <w:rsid w:val="000D4102"/>
    <w:rsid w:val="000D533E"/>
    <w:rsid w:val="000D5CD7"/>
    <w:rsid w:val="000E04C0"/>
    <w:rsid w:val="000E286F"/>
    <w:rsid w:val="000E3C78"/>
    <w:rsid w:val="000E47A4"/>
    <w:rsid w:val="000E701D"/>
    <w:rsid w:val="000F028C"/>
    <w:rsid w:val="000F3AE2"/>
    <w:rsid w:val="000F4FA1"/>
    <w:rsid w:val="000F6FD7"/>
    <w:rsid w:val="001009F7"/>
    <w:rsid w:val="001029F3"/>
    <w:rsid w:val="001149C0"/>
    <w:rsid w:val="00120225"/>
    <w:rsid w:val="00124F03"/>
    <w:rsid w:val="00131F9D"/>
    <w:rsid w:val="00131FE0"/>
    <w:rsid w:val="001333F0"/>
    <w:rsid w:val="00137785"/>
    <w:rsid w:val="00137A98"/>
    <w:rsid w:val="001421DA"/>
    <w:rsid w:val="00143814"/>
    <w:rsid w:val="00144646"/>
    <w:rsid w:val="00144890"/>
    <w:rsid w:val="0014638B"/>
    <w:rsid w:val="001500E0"/>
    <w:rsid w:val="00150911"/>
    <w:rsid w:val="00150DE3"/>
    <w:rsid w:val="0015100F"/>
    <w:rsid w:val="001524CC"/>
    <w:rsid w:val="0015295C"/>
    <w:rsid w:val="0015453B"/>
    <w:rsid w:val="0015453C"/>
    <w:rsid w:val="00155668"/>
    <w:rsid w:val="0016041C"/>
    <w:rsid w:val="00160CA7"/>
    <w:rsid w:val="00160CCA"/>
    <w:rsid w:val="00166815"/>
    <w:rsid w:val="00166C6F"/>
    <w:rsid w:val="001730D1"/>
    <w:rsid w:val="00176242"/>
    <w:rsid w:val="001762C4"/>
    <w:rsid w:val="00177C61"/>
    <w:rsid w:val="00182856"/>
    <w:rsid w:val="00182875"/>
    <w:rsid w:val="001832DF"/>
    <w:rsid w:val="0019242F"/>
    <w:rsid w:val="001951D3"/>
    <w:rsid w:val="00195400"/>
    <w:rsid w:val="00195B34"/>
    <w:rsid w:val="0019705E"/>
    <w:rsid w:val="00197CD6"/>
    <w:rsid w:val="001A2E76"/>
    <w:rsid w:val="001A3904"/>
    <w:rsid w:val="001A7C58"/>
    <w:rsid w:val="001B122E"/>
    <w:rsid w:val="001B3A53"/>
    <w:rsid w:val="001B4493"/>
    <w:rsid w:val="001C0BD9"/>
    <w:rsid w:val="001C2695"/>
    <w:rsid w:val="001C2C4B"/>
    <w:rsid w:val="001C6449"/>
    <w:rsid w:val="001C70B9"/>
    <w:rsid w:val="001C75C0"/>
    <w:rsid w:val="001D268E"/>
    <w:rsid w:val="001D34F6"/>
    <w:rsid w:val="001D3760"/>
    <w:rsid w:val="001D5CDF"/>
    <w:rsid w:val="001E0968"/>
    <w:rsid w:val="001E0E63"/>
    <w:rsid w:val="001E4619"/>
    <w:rsid w:val="001F061E"/>
    <w:rsid w:val="001F59C5"/>
    <w:rsid w:val="00200805"/>
    <w:rsid w:val="00200A9B"/>
    <w:rsid w:val="00201892"/>
    <w:rsid w:val="00204199"/>
    <w:rsid w:val="00205C52"/>
    <w:rsid w:val="00207CC3"/>
    <w:rsid w:val="0021275E"/>
    <w:rsid w:val="002127E6"/>
    <w:rsid w:val="0021290F"/>
    <w:rsid w:val="00215934"/>
    <w:rsid w:val="0022240F"/>
    <w:rsid w:val="00222B58"/>
    <w:rsid w:val="00224200"/>
    <w:rsid w:val="00225473"/>
    <w:rsid w:val="0022606A"/>
    <w:rsid w:val="0022647E"/>
    <w:rsid w:val="00231DA7"/>
    <w:rsid w:val="00233196"/>
    <w:rsid w:val="00233F92"/>
    <w:rsid w:val="00234140"/>
    <w:rsid w:val="002341EE"/>
    <w:rsid w:val="00237143"/>
    <w:rsid w:val="002409E7"/>
    <w:rsid w:val="00240ADC"/>
    <w:rsid w:val="00240C8B"/>
    <w:rsid w:val="00241B81"/>
    <w:rsid w:val="00242220"/>
    <w:rsid w:val="00244B65"/>
    <w:rsid w:val="00245092"/>
    <w:rsid w:val="00245F57"/>
    <w:rsid w:val="00246814"/>
    <w:rsid w:val="002508D2"/>
    <w:rsid w:val="00251C7B"/>
    <w:rsid w:val="00251EAB"/>
    <w:rsid w:val="00253103"/>
    <w:rsid w:val="0025373D"/>
    <w:rsid w:val="0025680A"/>
    <w:rsid w:val="00257D0C"/>
    <w:rsid w:val="002618BA"/>
    <w:rsid w:val="00262727"/>
    <w:rsid w:val="002651EB"/>
    <w:rsid w:val="00265CF6"/>
    <w:rsid w:val="00267C1D"/>
    <w:rsid w:val="00271770"/>
    <w:rsid w:val="0028219C"/>
    <w:rsid w:val="002949A6"/>
    <w:rsid w:val="002965C8"/>
    <w:rsid w:val="002A21E9"/>
    <w:rsid w:val="002A2983"/>
    <w:rsid w:val="002A5A8F"/>
    <w:rsid w:val="002A6888"/>
    <w:rsid w:val="002A7BA5"/>
    <w:rsid w:val="002B0056"/>
    <w:rsid w:val="002B0176"/>
    <w:rsid w:val="002B1804"/>
    <w:rsid w:val="002B4CF1"/>
    <w:rsid w:val="002B4DA5"/>
    <w:rsid w:val="002B5C53"/>
    <w:rsid w:val="002C10EF"/>
    <w:rsid w:val="002C458F"/>
    <w:rsid w:val="002C623D"/>
    <w:rsid w:val="002D1059"/>
    <w:rsid w:val="002D7F75"/>
    <w:rsid w:val="002E0390"/>
    <w:rsid w:val="002E0527"/>
    <w:rsid w:val="002E217A"/>
    <w:rsid w:val="002E4F83"/>
    <w:rsid w:val="002E5179"/>
    <w:rsid w:val="002E6318"/>
    <w:rsid w:val="002E76E5"/>
    <w:rsid w:val="002E7A81"/>
    <w:rsid w:val="002F3654"/>
    <w:rsid w:val="002F4FF3"/>
    <w:rsid w:val="002F62A5"/>
    <w:rsid w:val="002F7C56"/>
    <w:rsid w:val="002F7F12"/>
    <w:rsid w:val="003009EA"/>
    <w:rsid w:val="00302068"/>
    <w:rsid w:val="00302D7C"/>
    <w:rsid w:val="003042B2"/>
    <w:rsid w:val="00304FA9"/>
    <w:rsid w:val="00306B8C"/>
    <w:rsid w:val="00311988"/>
    <w:rsid w:val="00312130"/>
    <w:rsid w:val="00313965"/>
    <w:rsid w:val="0031482F"/>
    <w:rsid w:val="00315A36"/>
    <w:rsid w:val="0032001E"/>
    <w:rsid w:val="0032118A"/>
    <w:rsid w:val="00321AD6"/>
    <w:rsid w:val="003244DB"/>
    <w:rsid w:val="0032734F"/>
    <w:rsid w:val="003313C4"/>
    <w:rsid w:val="003316C8"/>
    <w:rsid w:val="0033455C"/>
    <w:rsid w:val="003378AA"/>
    <w:rsid w:val="0034116F"/>
    <w:rsid w:val="00341692"/>
    <w:rsid w:val="00341ADD"/>
    <w:rsid w:val="00342485"/>
    <w:rsid w:val="00353E47"/>
    <w:rsid w:val="00357A3C"/>
    <w:rsid w:val="00364313"/>
    <w:rsid w:val="00364998"/>
    <w:rsid w:val="00364C55"/>
    <w:rsid w:val="003657F5"/>
    <w:rsid w:val="00366224"/>
    <w:rsid w:val="00367748"/>
    <w:rsid w:val="00367EF5"/>
    <w:rsid w:val="003715DC"/>
    <w:rsid w:val="00372898"/>
    <w:rsid w:val="00372F4D"/>
    <w:rsid w:val="00373BD5"/>
    <w:rsid w:val="003745D7"/>
    <w:rsid w:val="00374DC9"/>
    <w:rsid w:val="0037612F"/>
    <w:rsid w:val="00381508"/>
    <w:rsid w:val="00384388"/>
    <w:rsid w:val="00384481"/>
    <w:rsid w:val="003854DC"/>
    <w:rsid w:val="003858EB"/>
    <w:rsid w:val="0038796D"/>
    <w:rsid w:val="003905CC"/>
    <w:rsid w:val="003931B6"/>
    <w:rsid w:val="00395BFC"/>
    <w:rsid w:val="003A4119"/>
    <w:rsid w:val="003A725E"/>
    <w:rsid w:val="003B0F23"/>
    <w:rsid w:val="003B2409"/>
    <w:rsid w:val="003B24E3"/>
    <w:rsid w:val="003B3128"/>
    <w:rsid w:val="003B3ADB"/>
    <w:rsid w:val="003B522D"/>
    <w:rsid w:val="003B5346"/>
    <w:rsid w:val="003C1399"/>
    <w:rsid w:val="003C1B49"/>
    <w:rsid w:val="003C367A"/>
    <w:rsid w:val="003C4A07"/>
    <w:rsid w:val="003C63D4"/>
    <w:rsid w:val="003C6CCA"/>
    <w:rsid w:val="003C6D62"/>
    <w:rsid w:val="003C792A"/>
    <w:rsid w:val="003C7D2D"/>
    <w:rsid w:val="003D0F80"/>
    <w:rsid w:val="003D322C"/>
    <w:rsid w:val="003D33FE"/>
    <w:rsid w:val="003D5E80"/>
    <w:rsid w:val="003D753A"/>
    <w:rsid w:val="003D76E5"/>
    <w:rsid w:val="003D77F3"/>
    <w:rsid w:val="003E4DB8"/>
    <w:rsid w:val="003F0C58"/>
    <w:rsid w:val="003F2682"/>
    <w:rsid w:val="003F2DC0"/>
    <w:rsid w:val="003F54C8"/>
    <w:rsid w:val="003F595B"/>
    <w:rsid w:val="003F7306"/>
    <w:rsid w:val="00401FB6"/>
    <w:rsid w:val="004044DB"/>
    <w:rsid w:val="004053B5"/>
    <w:rsid w:val="00406BDB"/>
    <w:rsid w:val="00410FB0"/>
    <w:rsid w:val="00411F49"/>
    <w:rsid w:val="00413975"/>
    <w:rsid w:val="0041410C"/>
    <w:rsid w:val="004143F3"/>
    <w:rsid w:val="004157AA"/>
    <w:rsid w:val="00417340"/>
    <w:rsid w:val="00420AC6"/>
    <w:rsid w:val="004212A5"/>
    <w:rsid w:val="00422AE8"/>
    <w:rsid w:val="00425073"/>
    <w:rsid w:val="004277D8"/>
    <w:rsid w:val="004320A3"/>
    <w:rsid w:val="004344A7"/>
    <w:rsid w:val="00435D73"/>
    <w:rsid w:val="00437191"/>
    <w:rsid w:val="004372DA"/>
    <w:rsid w:val="0043794E"/>
    <w:rsid w:val="00440548"/>
    <w:rsid w:val="0044287B"/>
    <w:rsid w:val="00446C2E"/>
    <w:rsid w:val="0044753E"/>
    <w:rsid w:val="00450F8E"/>
    <w:rsid w:val="0045114D"/>
    <w:rsid w:val="00453D34"/>
    <w:rsid w:val="00454005"/>
    <w:rsid w:val="00456ABF"/>
    <w:rsid w:val="00457761"/>
    <w:rsid w:val="00457FEE"/>
    <w:rsid w:val="00461DAA"/>
    <w:rsid w:val="004625A5"/>
    <w:rsid w:val="004737D0"/>
    <w:rsid w:val="00477108"/>
    <w:rsid w:val="00483130"/>
    <w:rsid w:val="00486A2A"/>
    <w:rsid w:val="00490727"/>
    <w:rsid w:val="004935DA"/>
    <w:rsid w:val="004942C0"/>
    <w:rsid w:val="00494E5F"/>
    <w:rsid w:val="004974B2"/>
    <w:rsid w:val="00497AFC"/>
    <w:rsid w:val="004A2D7C"/>
    <w:rsid w:val="004A3055"/>
    <w:rsid w:val="004A38B1"/>
    <w:rsid w:val="004A4C02"/>
    <w:rsid w:val="004A5685"/>
    <w:rsid w:val="004B0BCA"/>
    <w:rsid w:val="004B29F8"/>
    <w:rsid w:val="004B384C"/>
    <w:rsid w:val="004B63FF"/>
    <w:rsid w:val="004B786E"/>
    <w:rsid w:val="004C13F8"/>
    <w:rsid w:val="004C1873"/>
    <w:rsid w:val="004C195C"/>
    <w:rsid w:val="004C1D1B"/>
    <w:rsid w:val="004C1F6E"/>
    <w:rsid w:val="004C29F3"/>
    <w:rsid w:val="004C2F6D"/>
    <w:rsid w:val="004C4E6F"/>
    <w:rsid w:val="004C5F67"/>
    <w:rsid w:val="004D0DCE"/>
    <w:rsid w:val="004D21D5"/>
    <w:rsid w:val="004D6C92"/>
    <w:rsid w:val="004E7DDF"/>
    <w:rsid w:val="004F0AB5"/>
    <w:rsid w:val="004F1F02"/>
    <w:rsid w:val="004F6E96"/>
    <w:rsid w:val="0050050F"/>
    <w:rsid w:val="00500A88"/>
    <w:rsid w:val="00500BF1"/>
    <w:rsid w:val="00502276"/>
    <w:rsid w:val="005025D2"/>
    <w:rsid w:val="005026F4"/>
    <w:rsid w:val="005119A3"/>
    <w:rsid w:val="00513BC8"/>
    <w:rsid w:val="00514328"/>
    <w:rsid w:val="0051580F"/>
    <w:rsid w:val="00515E56"/>
    <w:rsid w:val="00515EE1"/>
    <w:rsid w:val="00520FC3"/>
    <w:rsid w:val="005246C8"/>
    <w:rsid w:val="0052552E"/>
    <w:rsid w:val="005260C2"/>
    <w:rsid w:val="005262F7"/>
    <w:rsid w:val="005276D2"/>
    <w:rsid w:val="00536BE2"/>
    <w:rsid w:val="005405CB"/>
    <w:rsid w:val="00545158"/>
    <w:rsid w:val="00545C92"/>
    <w:rsid w:val="00550C8E"/>
    <w:rsid w:val="00554E10"/>
    <w:rsid w:val="00557FEE"/>
    <w:rsid w:val="00563D52"/>
    <w:rsid w:val="005644C6"/>
    <w:rsid w:val="005659F8"/>
    <w:rsid w:val="00573B63"/>
    <w:rsid w:val="00574326"/>
    <w:rsid w:val="0057459C"/>
    <w:rsid w:val="005754FE"/>
    <w:rsid w:val="005765B2"/>
    <w:rsid w:val="00582A97"/>
    <w:rsid w:val="00584DEE"/>
    <w:rsid w:val="0058565A"/>
    <w:rsid w:val="00585B3F"/>
    <w:rsid w:val="0058605D"/>
    <w:rsid w:val="005903E3"/>
    <w:rsid w:val="005911F9"/>
    <w:rsid w:val="00592161"/>
    <w:rsid w:val="00592216"/>
    <w:rsid w:val="00593050"/>
    <w:rsid w:val="00594E71"/>
    <w:rsid w:val="005A2A20"/>
    <w:rsid w:val="005A3032"/>
    <w:rsid w:val="005A3456"/>
    <w:rsid w:val="005A4076"/>
    <w:rsid w:val="005A4155"/>
    <w:rsid w:val="005A48F6"/>
    <w:rsid w:val="005A6C86"/>
    <w:rsid w:val="005B05BA"/>
    <w:rsid w:val="005B2D00"/>
    <w:rsid w:val="005B4B0E"/>
    <w:rsid w:val="005B4F4A"/>
    <w:rsid w:val="005B5FAE"/>
    <w:rsid w:val="005B7431"/>
    <w:rsid w:val="005C04FB"/>
    <w:rsid w:val="005C19F0"/>
    <w:rsid w:val="005C4995"/>
    <w:rsid w:val="005C78DA"/>
    <w:rsid w:val="005D1936"/>
    <w:rsid w:val="005D19C2"/>
    <w:rsid w:val="005D3A37"/>
    <w:rsid w:val="005D3E4B"/>
    <w:rsid w:val="005D56B3"/>
    <w:rsid w:val="005E3425"/>
    <w:rsid w:val="005F0B65"/>
    <w:rsid w:val="005F1F8A"/>
    <w:rsid w:val="005F41BD"/>
    <w:rsid w:val="005F48C3"/>
    <w:rsid w:val="005F7D38"/>
    <w:rsid w:val="00600642"/>
    <w:rsid w:val="006034FD"/>
    <w:rsid w:val="00610D4C"/>
    <w:rsid w:val="00610F6D"/>
    <w:rsid w:val="00611D35"/>
    <w:rsid w:val="00617EBB"/>
    <w:rsid w:val="006212E3"/>
    <w:rsid w:val="00621AB5"/>
    <w:rsid w:val="006226C6"/>
    <w:rsid w:val="00623328"/>
    <w:rsid w:val="00625544"/>
    <w:rsid w:val="006264B4"/>
    <w:rsid w:val="00630A05"/>
    <w:rsid w:val="00631B3C"/>
    <w:rsid w:val="00631FD0"/>
    <w:rsid w:val="00632992"/>
    <w:rsid w:val="006329C7"/>
    <w:rsid w:val="0063335C"/>
    <w:rsid w:val="00634BD2"/>
    <w:rsid w:val="0064381A"/>
    <w:rsid w:val="0064608C"/>
    <w:rsid w:val="0065278B"/>
    <w:rsid w:val="00653498"/>
    <w:rsid w:val="006601CC"/>
    <w:rsid w:val="00665E77"/>
    <w:rsid w:val="00666D7D"/>
    <w:rsid w:val="00666FE3"/>
    <w:rsid w:val="006709FC"/>
    <w:rsid w:val="00674BF1"/>
    <w:rsid w:val="00676EF3"/>
    <w:rsid w:val="00680506"/>
    <w:rsid w:val="006814A2"/>
    <w:rsid w:val="00681DEB"/>
    <w:rsid w:val="00684B44"/>
    <w:rsid w:val="00691026"/>
    <w:rsid w:val="006A0046"/>
    <w:rsid w:val="006A1A6B"/>
    <w:rsid w:val="006A1C44"/>
    <w:rsid w:val="006A58C8"/>
    <w:rsid w:val="006B2AFB"/>
    <w:rsid w:val="006B3E6D"/>
    <w:rsid w:val="006B6D16"/>
    <w:rsid w:val="006C063D"/>
    <w:rsid w:val="006C13D9"/>
    <w:rsid w:val="006C516D"/>
    <w:rsid w:val="006C6B93"/>
    <w:rsid w:val="006D197F"/>
    <w:rsid w:val="006D31F3"/>
    <w:rsid w:val="006D414C"/>
    <w:rsid w:val="006D41DE"/>
    <w:rsid w:val="006D535D"/>
    <w:rsid w:val="006D5AD0"/>
    <w:rsid w:val="006D7BA0"/>
    <w:rsid w:val="006E0A6A"/>
    <w:rsid w:val="006E1349"/>
    <w:rsid w:val="006E2283"/>
    <w:rsid w:val="006E449A"/>
    <w:rsid w:val="006F1196"/>
    <w:rsid w:val="006F134B"/>
    <w:rsid w:val="006F151A"/>
    <w:rsid w:val="006F4101"/>
    <w:rsid w:val="006F6053"/>
    <w:rsid w:val="00701E23"/>
    <w:rsid w:val="00703134"/>
    <w:rsid w:val="00703BC2"/>
    <w:rsid w:val="0070466E"/>
    <w:rsid w:val="00705343"/>
    <w:rsid w:val="00712C31"/>
    <w:rsid w:val="00713738"/>
    <w:rsid w:val="00716D9C"/>
    <w:rsid w:val="00717B15"/>
    <w:rsid w:val="00717F4C"/>
    <w:rsid w:val="00717FF2"/>
    <w:rsid w:val="00720A19"/>
    <w:rsid w:val="00721382"/>
    <w:rsid w:val="0072235C"/>
    <w:rsid w:val="0072402F"/>
    <w:rsid w:val="00726B1C"/>
    <w:rsid w:val="0073046A"/>
    <w:rsid w:val="00732C6E"/>
    <w:rsid w:val="00733C2D"/>
    <w:rsid w:val="00735BDA"/>
    <w:rsid w:val="00735EAD"/>
    <w:rsid w:val="007447AE"/>
    <w:rsid w:val="00750D7A"/>
    <w:rsid w:val="007534C5"/>
    <w:rsid w:val="007538D7"/>
    <w:rsid w:val="0075512D"/>
    <w:rsid w:val="0075787F"/>
    <w:rsid w:val="00763B94"/>
    <w:rsid w:val="00764107"/>
    <w:rsid w:val="00764E61"/>
    <w:rsid w:val="0076751D"/>
    <w:rsid w:val="00767A4F"/>
    <w:rsid w:val="00772D83"/>
    <w:rsid w:val="00773B8B"/>
    <w:rsid w:val="007742FB"/>
    <w:rsid w:val="00774360"/>
    <w:rsid w:val="007772CD"/>
    <w:rsid w:val="007900F6"/>
    <w:rsid w:val="00791134"/>
    <w:rsid w:val="00793FDB"/>
    <w:rsid w:val="00795151"/>
    <w:rsid w:val="007969AA"/>
    <w:rsid w:val="007974A8"/>
    <w:rsid w:val="007A1360"/>
    <w:rsid w:val="007A2125"/>
    <w:rsid w:val="007A4517"/>
    <w:rsid w:val="007A46A5"/>
    <w:rsid w:val="007A698D"/>
    <w:rsid w:val="007B1650"/>
    <w:rsid w:val="007B56E7"/>
    <w:rsid w:val="007B6CC8"/>
    <w:rsid w:val="007C0871"/>
    <w:rsid w:val="007C3E5D"/>
    <w:rsid w:val="007D26DA"/>
    <w:rsid w:val="007D3153"/>
    <w:rsid w:val="007D408C"/>
    <w:rsid w:val="007D5EEE"/>
    <w:rsid w:val="007E0775"/>
    <w:rsid w:val="007E158B"/>
    <w:rsid w:val="007F0397"/>
    <w:rsid w:val="007F185C"/>
    <w:rsid w:val="007F2A3E"/>
    <w:rsid w:val="00802796"/>
    <w:rsid w:val="008059CD"/>
    <w:rsid w:val="00805FC2"/>
    <w:rsid w:val="008115D2"/>
    <w:rsid w:val="00811741"/>
    <w:rsid w:val="00817832"/>
    <w:rsid w:val="0082545B"/>
    <w:rsid w:val="00825E51"/>
    <w:rsid w:val="008269DA"/>
    <w:rsid w:val="00826CF0"/>
    <w:rsid w:val="00830751"/>
    <w:rsid w:val="00835073"/>
    <w:rsid w:val="0083579E"/>
    <w:rsid w:val="00836110"/>
    <w:rsid w:val="008367CC"/>
    <w:rsid w:val="00840CBD"/>
    <w:rsid w:val="0084139F"/>
    <w:rsid w:val="008416AB"/>
    <w:rsid w:val="00844056"/>
    <w:rsid w:val="00844C11"/>
    <w:rsid w:val="00846107"/>
    <w:rsid w:val="008511C5"/>
    <w:rsid w:val="00851792"/>
    <w:rsid w:val="00851A7E"/>
    <w:rsid w:val="0085321B"/>
    <w:rsid w:val="008536DD"/>
    <w:rsid w:val="00855250"/>
    <w:rsid w:val="0086118A"/>
    <w:rsid w:val="0086172A"/>
    <w:rsid w:val="00862198"/>
    <w:rsid w:val="008644B4"/>
    <w:rsid w:val="00864D91"/>
    <w:rsid w:val="00864DF4"/>
    <w:rsid w:val="00866E54"/>
    <w:rsid w:val="0086795D"/>
    <w:rsid w:val="00870A7F"/>
    <w:rsid w:val="00871492"/>
    <w:rsid w:val="00872D50"/>
    <w:rsid w:val="0087397C"/>
    <w:rsid w:val="00873D17"/>
    <w:rsid w:val="00873EB7"/>
    <w:rsid w:val="00874A62"/>
    <w:rsid w:val="0087516B"/>
    <w:rsid w:val="00877F88"/>
    <w:rsid w:val="0088184A"/>
    <w:rsid w:val="008826B1"/>
    <w:rsid w:val="0088679C"/>
    <w:rsid w:val="00890773"/>
    <w:rsid w:val="00891718"/>
    <w:rsid w:val="0089569C"/>
    <w:rsid w:val="008A2E09"/>
    <w:rsid w:val="008A3547"/>
    <w:rsid w:val="008A4E59"/>
    <w:rsid w:val="008A50BD"/>
    <w:rsid w:val="008B2CC1"/>
    <w:rsid w:val="008B3CF1"/>
    <w:rsid w:val="008C1E9C"/>
    <w:rsid w:val="008C2310"/>
    <w:rsid w:val="008C2CD0"/>
    <w:rsid w:val="008C4F4C"/>
    <w:rsid w:val="008C575C"/>
    <w:rsid w:val="008C5959"/>
    <w:rsid w:val="008C638E"/>
    <w:rsid w:val="008C6C7D"/>
    <w:rsid w:val="008D23DB"/>
    <w:rsid w:val="008D2863"/>
    <w:rsid w:val="008D3362"/>
    <w:rsid w:val="008D48D6"/>
    <w:rsid w:val="008D5926"/>
    <w:rsid w:val="008D69FE"/>
    <w:rsid w:val="008D738D"/>
    <w:rsid w:val="008E4F31"/>
    <w:rsid w:val="008F163B"/>
    <w:rsid w:val="008F595D"/>
    <w:rsid w:val="008F5AA7"/>
    <w:rsid w:val="008F6E44"/>
    <w:rsid w:val="008F7888"/>
    <w:rsid w:val="00900B6C"/>
    <w:rsid w:val="009031EC"/>
    <w:rsid w:val="00903EE2"/>
    <w:rsid w:val="00907E83"/>
    <w:rsid w:val="00910134"/>
    <w:rsid w:val="0091183D"/>
    <w:rsid w:val="00913859"/>
    <w:rsid w:val="0091512F"/>
    <w:rsid w:val="0092000C"/>
    <w:rsid w:val="00920ADB"/>
    <w:rsid w:val="00920C06"/>
    <w:rsid w:val="0092146C"/>
    <w:rsid w:val="00921E98"/>
    <w:rsid w:val="009257A6"/>
    <w:rsid w:val="009354BC"/>
    <w:rsid w:val="00935A13"/>
    <w:rsid w:val="009362CC"/>
    <w:rsid w:val="009366B0"/>
    <w:rsid w:val="0093687A"/>
    <w:rsid w:val="009373D4"/>
    <w:rsid w:val="00937494"/>
    <w:rsid w:val="00941C90"/>
    <w:rsid w:val="00945852"/>
    <w:rsid w:val="00950920"/>
    <w:rsid w:val="00951458"/>
    <w:rsid w:val="009516F4"/>
    <w:rsid w:val="00951D3B"/>
    <w:rsid w:val="00954258"/>
    <w:rsid w:val="00960991"/>
    <w:rsid w:val="00962F43"/>
    <w:rsid w:val="009652C3"/>
    <w:rsid w:val="00967FFD"/>
    <w:rsid w:val="00971A29"/>
    <w:rsid w:val="00974B69"/>
    <w:rsid w:val="0098228E"/>
    <w:rsid w:val="00982EF9"/>
    <w:rsid w:val="009859E4"/>
    <w:rsid w:val="00985EA0"/>
    <w:rsid w:val="0098674F"/>
    <w:rsid w:val="00986847"/>
    <w:rsid w:val="009919F4"/>
    <w:rsid w:val="00993C9E"/>
    <w:rsid w:val="00993F02"/>
    <w:rsid w:val="00996364"/>
    <w:rsid w:val="009970B6"/>
    <w:rsid w:val="00997A04"/>
    <w:rsid w:val="009A35E0"/>
    <w:rsid w:val="009A3864"/>
    <w:rsid w:val="009A4E24"/>
    <w:rsid w:val="009A501C"/>
    <w:rsid w:val="009A6206"/>
    <w:rsid w:val="009B0CC3"/>
    <w:rsid w:val="009B6D2F"/>
    <w:rsid w:val="009C0C75"/>
    <w:rsid w:val="009C10E6"/>
    <w:rsid w:val="009C2860"/>
    <w:rsid w:val="009C4196"/>
    <w:rsid w:val="009C5C25"/>
    <w:rsid w:val="009D266F"/>
    <w:rsid w:val="009D2D70"/>
    <w:rsid w:val="009D34C8"/>
    <w:rsid w:val="009D40C2"/>
    <w:rsid w:val="009D411A"/>
    <w:rsid w:val="009D5104"/>
    <w:rsid w:val="009D68C1"/>
    <w:rsid w:val="009D6A64"/>
    <w:rsid w:val="009D6CBA"/>
    <w:rsid w:val="009D6FE0"/>
    <w:rsid w:val="009E08D5"/>
    <w:rsid w:val="009E2BE8"/>
    <w:rsid w:val="009E3CAC"/>
    <w:rsid w:val="009E3EEA"/>
    <w:rsid w:val="009E54C3"/>
    <w:rsid w:val="009E5DA0"/>
    <w:rsid w:val="009E7E9B"/>
    <w:rsid w:val="009F2A28"/>
    <w:rsid w:val="009F2F4D"/>
    <w:rsid w:val="009F395E"/>
    <w:rsid w:val="009F3AB0"/>
    <w:rsid w:val="009F44A0"/>
    <w:rsid w:val="009F465E"/>
    <w:rsid w:val="009F64FD"/>
    <w:rsid w:val="009F6BE6"/>
    <w:rsid w:val="009F72C2"/>
    <w:rsid w:val="00A01E1F"/>
    <w:rsid w:val="00A0210C"/>
    <w:rsid w:val="00A02128"/>
    <w:rsid w:val="00A03D58"/>
    <w:rsid w:val="00A053A9"/>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3FB6"/>
    <w:rsid w:val="00A34268"/>
    <w:rsid w:val="00A35382"/>
    <w:rsid w:val="00A35BC7"/>
    <w:rsid w:val="00A35FE4"/>
    <w:rsid w:val="00A364AE"/>
    <w:rsid w:val="00A3741F"/>
    <w:rsid w:val="00A4664F"/>
    <w:rsid w:val="00A46D11"/>
    <w:rsid w:val="00A47780"/>
    <w:rsid w:val="00A5049E"/>
    <w:rsid w:val="00A54568"/>
    <w:rsid w:val="00A56E37"/>
    <w:rsid w:val="00A57273"/>
    <w:rsid w:val="00A606D5"/>
    <w:rsid w:val="00A60BD6"/>
    <w:rsid w:val="00A61C6F"/>
    <w:rsid w:val="00A65199"/>
    <w:rsid w:val="00A666BA"/>
    <w:rsid w:val="00A66E18"/>
    <w:rsid w:val="00A77394"/>
    <w:rsid w:val="00A775F1"/>
    <w:rsid w:val="00A82952"/>
    <w:rsid w:val="00A82D10"/>
    <w:rsid w:val="00A83E4C"/>
    <w:rsid w:val="00A84690"/>
    <w:rsid w:val="00A848B0"/>
    <w:rsid w:val="00A870BD"/>
    <w:rsid w:val="00A90C27"/>
    <w:rsid w:val="00A9268A"/>
    <w:rsid w:val="00A93783"/>
    <w:rsid w:val="00A93C6F"/>
    <w:rsid w:val="00A944BF"/>
    <w:rsid w:val="00A9513A"/>
    <w:rsid w:val="00AB11F2"/>
    <w:rsid w:val="00AB1927"/>
    <w:rsid w:val="00AB2028"/>
    <w:rsid w:val="00AB4C09"/>
    <w:rsid w:val="00AB6965"/>
    <w:rsid w:val="00AC4063"/>
    <w:rsid w:val="00AC65FA"/>
    <w:rsid w:val="00AD0AE9"/>
    <w:rsid w:val="00AD0D34"/>
    <w:rsid w:val="00AD2CE6"/>
    <w:rsid w:val="00AD471C"/>
    <w:rsid w:val="00AD514E"/>
    <w:rsid w:val="00AD554B"/>
    <w:rsid w:val="00AD6485"/>
    <w:rsid w:val="00AD6E0D"/>
    <w:rsid w:val="00AD7F40"/>
    <w:rsid w:val="00AE5099"/>
    <w:rsid w:val="00AE5FC0"/>
    <w:rsid w:val="00AF314E"/>
    <w:rsid w:val="00AF55AF"/>
    <w:rsid w:val="00AF7596"/>
    <w:rsid w:val="00B0580C"/>
    <w:rsid w:val="00B06546"/>
    <w:rsid w:val="00B07F5E"/>
    <w:rsid w:val="00B105F2"/>
    <w:rsid w:val="00B137D7"/>
    <w:rsid w:val="00B13BFA"/>
    <w:rsid w:val="00B14683"/>
    <w:rsid w:val="00B149F1"/>
    <w:rsid w:val="00B152DC"/>
    <w:rsid w:val="00B15758"/>
    <w:rsid w:val="00B167C7"/>
    <w:rsid w:val="00B17DB2"/>
    <w:rsid w:val="00B24110"/>
    <w:rsid w:val="00B26B07"/>
    <w:rsid w:val="00B26E31"/>
    <w:rsid w:val="00B279D3"/>
    <w:rsid w:val="00B34A4A"/>
    <w:rsid w:val="00B355EF"/>
    <w:rsid w:val="00B36AD1"/>
    <w:rsid w:val="00B4396F"/>
    <w:rsid w:val="00B44D36"/>
    <w:rsid w:val="00B452B6"/>
    <w:rsid w:val="00B45AFE"/>
    <w:rsid w:val="00B46A6E"/>
    <w:rsid w:val="00B5024C"/>
    <w:rsid w:val="00B54B5E"/>
    <w:rsid w:val="00B61704"/>
    <w:rsid w:val="00B61D17"/>
    <w:rsid w:val="00B622A9"/>
    <w:rsid w:val="00B63997"/>
    <w:rsid w:val="00B6593E"/>
    <w:rsid w:val="00B66C93"/>
    <w:rsid w:val="00B723B0"/>
    <w:rsid w:val="00B73F1C"/>
    <w:rsid w:val="00B75F34"/>
    <w:rsid w:val="00B7636E"/>
    <w:rsid w:val="00B76812"/>
    <w:rsid w:val="00B77DCD"/>
    <w:rsid w:val="00B81F04"/>
    <w:rsid w:val="00B81F39"/>
    <w:rsid w:val="00B8462D"/>
    <w:rsid w:val="00B91090"/>
    <w:rsid w:val="00B927A8"/>
    <w:rsid w:val="00B9315D"/>
    <w:rsid w:val="00B967F3"/>
    <w:rsid w:val="00B9737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062E"/>
    <w:rsid w:val="00BD672D"/>
    <w:rsid w:val="00BD695B"/>
    <w:rsid w:val="00BE46E6"/>
    <w:rsid w:val="00BE55F7"/>
    <w:rsid w:val="00BE7311"/>
    <w:rsid w:val="00BE7365"/>
    <w:rsid w:val="00BE740D"/>
    <w:rsid w:val="00BF068F"/>
    <w:rsid w:val="00BF308F"/>
    <w:rsid w:val="00BF4A53"/>
    <w:rsid w:val="00C00BBD"/>
    <w:rsid w:val="00C010BC"/>
    <w:rsid w:val="00C0181B"/>
    <w:rsid w:val="00C01E14"/>
    <w:rsid w:val="00C04129"/>
    <w:rsid w:val="00C05414"/>
    <w:rsid w:val="00C057AA"/>
    <w:rsid w:val="00C07AC1"/>
    <w:rsid w:val="00C07D35"/>
    <w:rsid w:val="00C10553"/>
    <w:rsid w:val="00C157BB"/>
    <w:rsid w:val="00C174FE"/>
    <w:rsid w:val="00C178F1"/>
    <w:rsid w:val="00C20685"/>
    <w:rsid w:val="00C213A2"/>
    <w:rsid w:val="00C22F5D"/>
    <w:rsid w:val="00C270A2"/>
    <w:rsid w:val="00C34B93"/>
    <w:rsid w:val="00C34CF3"/>
    <w:rsid w:val="00C370C4"/>
    <w:rsid w:val="00C406D2"/>
    <w:rsid w:val="00C42B8A"/>
    <w:rsid w:val="00C440A5"/>
    <w:rsid w:val="00C45AFE"/>
    <w:rsid w:val="00C46D71"/>
    <w:rsid w:val="00C47649"/>
    <w:rsid w:val="00C5021B"/>
    <w:rsid w:val="00C510A9"/>
    <w:rsid w:val="00C52761"/>
    <w:rsid w:val="00C529CD"/>
    <w:rsid w:val="00C52A7B"/>
    <w:rsid w:val="00C53680"/>
    <w:rsid w:val="00C540BE"/>
    <w:rsid w:val="00C54E83"/>
    <w:rsid w:val="00C551A4"/>
    <w:rsid w:val="00C570EB"/>
    <w:rsid w:val="00C57695"/>
    <w:rsid w:val="00C62D37"/>
    <w:rsid w:val="00C644F8"/>
    <w:rsid w:val="00C64E2B"/>
    <w:rsid w:val="00C65000"/>
    <w:rsid w:val="00C65DFA"/>
    <w:rsid w:val="00C66AC9"/>
    <w:rsid w:val="00C66D9E"/>
    <w:rsid w:val="00C73780"/>
    <w:rsid w:val="00C73D50"/>
    <w:rsid w:val="00C74688"/>
    <w:rsid w:val="00C83BFD"/>
    <w:rsid w:val="00C90228"/>
    <w:rsid w:val="00C91148"/>
    <w:rsid w:val="00C97BB3"/>
    <w:rsid w:val="00CB718F"/>
    <w:rsid w:val="00CC0813"/>
    <w:rsid w:val="00CC1F21"/>
    <w:rsid w:val="00CC2E82"/>
    <w:rsid w:val="00CC4E39"/>
    <w:rsid w:val="00CD379C"/>
    <w:rsid w:val="00CD42CF"/>
    <w:rsid w:val="00CD4591"/>
    <w:rsid w:val="00CD4942"/>
    <w:rsid w:val="00CE25BE"/>
    <w:rsid w:val="00CE25F5"/>
    <w:rsid w:val="00CE44F2"/>
    <w:rsid w:val="00CE66AA"/>
    <w:rsid w:val="00CF2FF0"/>
    <w:rsid w:val="00CF30A6"/>
    <w:rsid w:val="00CF32A2"/>
    <w:rsid w:val="00CF32E0"/>
    <w:rsid w:val="00CF4E4A"/>
    <w:rsid w:val="00CF7632"/>
    <w:rsid w:val="00D006B4"/>
    <w:rsid w:val="00D019F4"/>
    <w:rsid w:val="00D029DA"/>
    <w:rsid w:val="00D06759"/>
    <w:rsid w:val="00D06F58"/>
    <w:rsid w:val="00D0739D"/>
    <w:rsid w:val="00D110D7"/>
    <w:rsid w:val="00D14D23"/>
    <w:rsid w:val="00D14FF8"/>
    <w:rsid w:val="00D21822"/>
    <w:rsid w:val="00D23744"/>
    <w:rsid w:val="00D246BE"/>
    <w:rsid w:val="00D24E91"/>
    <w:rsid w:val="00D25696"/>
    <w:rsid w:val="00D27D6D"/>
    <w:rsid w:val="00D30B04"/>
    <w:rsid w:val="00D30E01"/>
    <w:rsid w:val="00D322AC"/>
    <w:rsid w:val="00D32829"/>
    <w:rsid w:val="00D3584D"/>
    <w:rsid w:val="00D35955"/>
    <w:rsid w:val="00D41AD2"/>
    <w:rsid w:val="00D43E1F"/>
    <w:rsid w:val="00D4499D"/>
    <w:rsid w:val="00D45BF7"/>
    <w:rsid w:val="00D47226"/>
    <w:rsid w:val="00D508F1"/>
    <w:rsid w:val="00D51761"/>
    <w:rsid w:val="00D518A7"/>
    <w:rsid w:val="00D5310C"/>
    <w:rsid w:val="00D53A85"/>
    <w:rsid w:val="00D543D4"/>
    <w:rsid w:val="00D64CE8"/>
    <w:rsid w:val="00D65610"/>
    <w:rsid w:val="00D65728"/>
    <w:rsid w:val="00D74454"/>
    <w:rsid w:val="00D75E50"/>
    <w:rsid w:val="00D76FB5"/>
    <w:rsid w:val="00D80062"/>
    <w:rsid w:val="00D80279"/>
    <w:rsid w:val="00D80768"/>
    <w:rsid w:val="00D84308"/>
    <w:rsid w:val="00D85B90"/>
    <w:rsid w:val="00D86353"/>
    <w:rsid w:val="00D86E7C"/>
    <w:rsid w:val="00D87B51"/>
    <w:rsid w:val="00D90E0C"/>
    <w:rsid w:val="00D930D6"/>
    <w:rsid w:val="00D94176"/>
    <w:rsid w:val="00D96533"/>
    <w:rsid w:val="00DA1D68"/>
    <w:rsid w:val="00DA31CA"/>
    <w:rsid w:val="00DA3F48"/>
    <w:rsid w:val="00DB1A19"/>
    <w:rsid w:val="00DB1C3D"/>
    <w:rsid w:val="00DB296A"/>
    <w:rsid w:val="00DB3415"/>
    <w:rsid w:val="00DB4091"/>
    <w:rsid w:val="00DB4CA1"/>
    <w:rsid w:val="00DB5CB8"/>
    <w:rsid w:val="00DB6323"/>
    <w:rsid w:val="00DB69C7"/>
    <w:rsid w:val="00DC0882"/>
    <w:rsid w:val="00DC088A"/>
    <w:rsid w:val="00DC4ADF"/>
    <w:rsid w:val="00DC5460"/>
    <w:rsid w:val="00DC54D0"/>
    <w:rsid w:val="00DD163E"/>
    <w:rsid w:val="00DD1B07"/>
    <w:rsid w:val="00DD345B"/>
    <w:rsid w:val="00DD6EC7"/>
    <w:rsid w:val="00DD7798"/>
    <w:rsid w:val="00DE059F"/>
    <w:rsid w:val="00DE0FBE"/>
    <w:rsid w:val="00DE1319"/>
    <w:rsid w:val="00DE163C"/>
    <w:rsid w:val="00DE28F3"/>
    <w:rsid w:val="00DE69F2"/>
    <w:rsid w:val="00DF1B7D"/>
    <w:rsid w:val="00DF2D13"/>
    <w:rsid w:val="00E010C7"/>
    <w:rsid w:val="00E03729"/>
    <w:rsid w:val="00E10977"/>
    <w:rsid w:val="00E10F5F"/>
    <w:rsid w:val="00E14D00"/>
    <w:rsid w:val="00E17F4D"/>
    <w:rsid w:val="00E2021C"/>
    <w:rsid w:val="00E207CE"/>
    <w:rsid w:val="00E22CD5"/>
    <w:rsid w:val="00E242E0"/>
    <w:rsid w:val="00E2567F"/>
    <w:rsid w:val="00E25C16"/>
    <w:rsid w:val="00E269E4"/>
    <w:rsid w:val="00E303B2"/>
    <w:rsid w:val="00E347D5"/>
    <w:rsid w:val="00E3599D"/>
    <w:rsid w:val="00E42677"/>
    <w:rsid w:val="00E43BFD"/>
    <w:rsid w:val="00E45038"/>
    <w:rsid w:val="00E551C8"/>
    <w:rsid w:val="00E55EE0"/>
    <w:rsid w:val="00E56521"/>
    <w:rsid w:val="00E56B57"/>
    <w:rsid w:val="00E5703F"/>
    <w:rsid w:val="00E60954"/>
    <w:rsid w:val="00E60E5B"/>
    <w:rsid w:val="00E65789"/>
    <w:rsid w:val="00E729FC"/>
    <w:rsid w:val="00E758A8"/>
    <w:rsid w:val="00E77F81"/>
    <w:rsid w:val="00E8073E"/>
    <w:rsid w:val="00E80872"/>
    <w:rsid w:val="00E80D3E"/>
    <w:rsid w:val="00E844E9"/>
    <w:rsid w:val="00E85070"/>
    <w:rsid w:val="00E86F72"/>
    <w:rsid w:val="00E91F09"/>
    <w:rsid w:val="00E92658"/>
    <w:rsid w:val="00E9642B"/>
    <w:rsid w:val="00E9659A"/>
    <w:rsid w:val="00E97801"/>
    <w:rsid w:val="00EA2710"/>
    <w:rsid w:val="00EB1B76"/>
    <w:rsid w:val="00EB2973"/>
    <w:rsid w:val="00EB4D0B"/>
    <w:rsid w:val="00EB4F3F"/>
    <w:rsid w:val="00EB7817"/>
    <w:rsid w:val="00EC7C47"/>
    <w:rsid w:val="00ED057E"/>
    <w:rsid w:val="00ED06B2"/>
    <w:rsid w:val="00ED2050"/>
    <w:rsid w:val="00ED4D26"/>
    <w:rsid w:val="00EE06C8"/>
    <w:rsid w:val="00EE1B9A"/>
    <w:rsid w:val="00EE2F0A"/>
    <w:rsid w:val="00EE5BA4"/>
    <w:rsid w:val="00EE5C93"/>
    <w:rsid w:val="00EF020E"/>
    <w:rsid w:val="00EF02C1"/>
    <w:rsid w:val="00EF16D8"/>
    <w:rsid w:val="00EF1B9F"/>
    <w:rsid w:val="00EF28DD"/>
    <w:rsid w:val="00F00275"/>
    <w:rsid w:val="00F030FA"/>
    <w:rsid w:val="00F0330D"/>
    <w:rsid w:val="00F0537B"/>
    <w:rsid w:val="00F12351"/>
    <w:rsid w:val="00F13F0D"/>
    <w:rsid w:val="00F142DA"/>
    <w:rsid w:val="00F14649"/>
    <w:rsid w:val="00F15189"/>
    <w:rsid w:val="00F165A6"/>
    <w:rsid w:val="00F16987"/>
    <w:rsid w:val="00F17793"/>
    <w:rsid w:val="00F231AB"/>
    <w:rsid w:val="00F23980"/>
    <w:rsid w:val="00F23F1F"/>
    <w:rsid w:val="00F25B47"/>
    <w:rsid w:val="00F30399"/>
    <w:rsid w:val="00F31FF3"/>
    <w:rsid w:val="00F35E2D"/>
    <w:rsid w:val="00F36F5B"/>
    <w:rsid w:val="00F420FD"/>
    <w:rsid w:val="00F47E14"/>
    <w:rsid w:val="00F5298A"/>
    <w:rsid w:val="00F52DF5"/>
    <w:rsid w:val="00F54C46"/>
    <w:rsid w:val="00F558B4"/>
    <w:rsid w:val="00F563F9"/>
    <w:rsid w:val="00F5652C"/>
    <w:rsid w:val="00F56985"/>
    <w:rsid w:val="00F60540"/>
    <w:rsid w:val="00F654CF"/>
    <w:rsid w:val="00F6550D"/>
    <w:rsid w:val="00F65B25"/>
    <w:rsid w:val="00F6679A"/>
    <w:rsid w:val="00F66E8A"/>
    <w:rsid w:val="00F73777"/>
    <w:rsid w:val="00F73E72"/>
    <w:rsid w:val="00F8422C"/>
    <w:rsid w:val="00F9309A"/>
    <w:rsid w:val="00F93818"/>
    <w:rsid w:val="00F9448E"/>
    <w:rsid w:val="00F97037"/>
    <w:rsid w:val="00F97BEE"/>
    <w:rsid w:val="00FA434B"/>
    <w:rsid w:val="00FA4B49"/>
    <w:rsid w:val="00FA72EE"/>
    <w:rsid w:val="00FA7476"/>
    <w:rsid w:val="00FB4339"/>
    <w:rsid w:val="00FC28EC"/>
    <w:rsid w:val="00FC3C48"/>
    <w:rsid w:val="00FC57E2"/>
    <w:rsid w:val="00FC689F"/>
    <w:rsid w:val="00FD1DFB"/>
    <w:rsid w:val="00FD368D"/>
    <w:rsid w:val="00FD478D"/>
    <w:rsid w:val="00FD49A5"/>
    <w:rsid w:val="00FD7E8E"/>
    <w:rsid w:val="00FE445A"/>
    <w:rsid w:val="00FE4F2C"/>
    <w:rsid w:val="00FE5232"/>
    <w:rsid w:val="00FE6351"/>
    <w:rsid w:val="00FE6355"/>
    <w:rsid w:val="00FE6FBD"/>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500AF07C-AA0F-47AF-A0A1-9F3B8ED1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styleId="FootnoteText">
    <w:name w:val="footnote text"/>
    <w:basedOn w:val="Normal"/>
    <w:link w:val="FootnoteTextChar"/>
    <w:uiPriority w:val="99"/>
    <w:unhideWhenUsed/>
    <w:rsid w:val="00F6679A"/>
    <w:rPr>
      <w:sz w:val="20"/>
      <w:szCs w:val="20"/>
    </w:rPr>
  </w:style>
  <w:style w:type="character" w:customStyle="1" w:styleId="FootnoteTextChar">
    <w:name w:val="Footnote Text Char"/>
    <w:basedOn w:val="DefaultParagraphFont"/>
    <w:link w:val="FootnoteText"/>
    <w:uiPriority w:val="99"/>
    <w:rsid w:val="00F6679A"/>
    <w:rPr>
      <w:rFonts w:ascii="Arial" w:eastAsia="Arial" w:hAnsi="Arial" w:cs="Arial"/>
      <w:sz w:val="20"/>
      <w:szCs w:val="20"/>
      <w:lang w:val="en-GB"/>
    </w:rPr>
  </w:style>
  <w:style w:type="character" w:styleId="FootnoteReference">
    <w:name w:val="footnote reference"/>
    <w:basedOn w:val="DefaultParagraphFont"/>
    <w:uiPriority w:val="99"/>
    <w:semiHidden/>
    <w:unhideWhenUsed/>
    <w:rsid w:val="00F6679A"/>
    <w:rPr>
      <w:vertAlign w:val="superscript"/>
    </w:rPr>
  </w:style>
  <w:style w:type="paragraph" w:styleId="EndnoteText">
    <w:name w:val="endnote text"/>
    <w:basedOn w:val="Normal"/>
    <w:link w:val="EndnoteTextChar"/>
    <w:uiPriority w:val="99"/>
    <w:semiHidden/>
    <w:unhideWhenUsed/>
    <w:rsid w:val="00E10977"/>
    <w:rPr>
      <w:sz w:val="20"/>
      <w:szCs w:val="20"/>
    </w:rPr>
  </w:style>
  <w:style w:type="character" w:customStyle="1" w:styleId="EndnoteTextChar">
    <w:name w:val="Endnote Text Char"/>
    <w:basedOn w:val="DefaultParagraphFont"/>
    <w:link w:val="EndnoteText"/>
    <w:uiPriority w:val="99"/>
    <w:semiHidden/>
    <w:rsid w:val="00E10977"/>
    <w:rPr>
      <w:rFonts w:ascii="Arial" w:eastAsia="Arial" w:hAnsi="Arial" w:cs="Arial"/>
      <w:sz w:val="20"/>
      <w:szCs w:val="20"/>
      <w:lang w:val="en-GB"/>
    </w:rPr>
  </w:style>
  <w:style w:type="character" w:styleId="EndnoteReference">
    <w:name w:val="endnote reference"/>
    <w:basedOn w:val="DefaultParagraphFont"/>
    <w:uiPriority w:val="99"/>
    <w:semiHidden/>
    <w:unhideWhenUsed/>
    <w:rsid w:val="00E10977"/>
    <w:rPr>
      <w:vertAlign w:val="superscript"/>
    </w:rPr>
  </w:style>
  <w:style w:type="paragraph" w:styleId="TOCHeading">
    <w:name w:val="TOC Heading"/>
    <w:basedOn w:val="Heading1"/>
    <w:next w:val="Normal"/>
    <w:uiPriority w:val="39"/>
    <w:unhideWhenUsed/>
    <w:qFormat/>
    <w:rsid w:val="00B9315D"/>
    <w:pPr>
      <w:keepNext/>
      <w:keepLines/>
      <w:widowControl/>
      <w:autoSpaceDE/>
      <w:autoSpaceDN/>
      <w:spacing w:before="240" w:after="0" w:line="259" w:lineRule="auto"/>
      <w:outlineLvl w:val="9"/>
    </w:pPr>
    <w:rPr>
      <w:rFonts w:asciiTheme="majorHAnsi" w:eastAsiaTheme="majorEastAsia" w:hAnsiTheme="majorHAnsi" w:cstheme="majorBidi"/>
      <w:i w:val="0"/>
      <w:color w:val="549031" w:themeColor="accent1" w:themeShade="BF"/>
      <w:sz w:val="32"/>
      <w:szCs w:val="32"/>
      <w:lang w:val="en-US"/>
    </w:rPr>
  </w:style>
  <w:style w:type="paragraph" w:styleId="TOC3">
    <w:name w:val="toc 3"/>
    <w:basedOn w:val="Normal"/>
    <w:next w:val="Normal"/>
    <w:autoRedefine/>
    <w:uiPriority w:val="39"/>
    <w:unhideWhenUsed/>
    <w:rsid w:val="00B9315D"/>
    <w:pPr>
      <w:spacing w:after="100"/>
      <w:ind w:left="440"/>
    </w:pPr>
  </w:style>
  <w:style w:type="paragraph" w:styleId="TOC2">
    <w:name w:val="toc 2"/>
    <w:basedOn w:val="Normal"/>
    <w:next w:val="Normal"/>
    <w:autoRedefine/>
    <w:uiPriority w:val="39"/>
    <w:unhideWhenUsed/>
    <w:rsid w:val="00B9315D"/>
    <w:pPr>
      <w:spacing w:after="100"/>
      <w:ind w:left="220"/>
    </w:pPr>
  </w:style>
  <w:style w:type="paragraph" w:styleId="TOC1">
    <w:name w:val="toc 1"/>
    <w:basedOn w:val="Normal"/>
    <w:next w:val="Normal"/>
    <w:autoRedefine/>
    <w:uiPriority w:val="39"/>
    <w:unhideWhenUsed/>
    <w:rsid w:val="00B9315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05554699">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5791640">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hyperlink" Target="https://www.cipd.org/uk/knowledge/factsheets/pestle-analysis-factsheet/" TargetMode="External"/><Relationship Id="rId39" Type="http://schemas.openxmlformats.org/officeDocument/2006/relationships/theme" Target="theme/theme1.xml"/><Relationship Id="rId21" Type="http://schemas.openxmlformats.org/officeDocument/2006/relationships/hyperlink" Target="https://www.cipd.org/uk/the-people-profession/the-profession-map/how-it-works/" TargetMode="External"/><Relationship Id="rId34"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yperlink" Target="https://doi.org/10.1080/13678860701718760" TargetMode="External"/><Relationship Id="rId33" Type="http://schemas.openxmlformats.org/officeDocument/2006/relationships/hyperlink" Target="https://doi-org.ezproxy.uwtsd.ac.uk/10.1177/1468794106058877op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hart" Target="charts/chart4.xml"/><Relationship Id="rId29" Type="http://schemas.openxmlformats.org/officeDocument/2006/relationships/hyperlink" Target="https://www.cipd.org/globalassets/media/knowledge/knowledge-hub/reports/ethical-decision-making-2015-eight-perspectives-on-workplace-dilemmas_tcm18-956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13678860701718760" TargetMode="External"/><Relationship Id="rId32" Type="http://schemas.openxmlformats.org/officeDocument/2006/relationships/hyperlink" Target="https://www.cipd.org/uk/knowledge/guides/ethnicity-pay-reporting-guide/" TargetMode="External"/><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cipd.org/uk/knowledge/factsheets/swot-analysis-factsheet/" TargetMode="External"/><Relationship Id="rId28" Type="http://schemas.openxmlformats.org/officeDocument/2006/relationships/hyperlink" Target="https://www.mindtools.com/aesdntj/the-tannenbaum-schmidt-leadership-continuum"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hyperlink" Target="https://www.gov.uk/government/publications/positive-action-in-the-workplace-guidance-for-employers/positive-action-in-the-workpla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peoplemanagement.co.uk/article/1845833/considering-application-relevance-evidence-based-hr" TargetMode="External"/><Relationship Id="rId27" Type="http://schemas.openxmlformats.org/officeDocument/2006/relationships/hyperlink" Target="https://www.linkedin.com/learning/critical-thinking/the-importance-of-critical-thinking-2?autoplay=true&amp;trk=learning-course_tocItem&amp;upsellOrderOrigin=default_guest_learning" TargetMode="External"/><Relationship Id="rId30" Type="http://schemas.openxmlformats.org/officeDocument/2006/relationships/hyperlink" Target="https://www.cipd.org/globalassets/media/knowledge/knowledge-hub/reports/ethical-decision-making-2015-eight-perspectives-on-workplace-dilemmas_tcm18-9564.pdf" TargetMode="External"/><Relationship Id="rId35" Type="http://schemas.openxmlformats.org/officeDocument/2006/relationships/image" Target="media/image7.png"/><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cipd.org/globalassets/media/knowledge/knowledge-hub/reports/ethical-decision-making-2015-eight-perspectives-on-workplace-dilemmas_tcm18-9564.pdf" TargetMode="External"/><Relationship Id="rId3" Type="http://schemas.openxmlformats.org/officeDocument/2006/relationships/hyperlink" Target="https://www.cipd.org/uk/knowledge/factsheets/swot-analysis-factsheet/" TargetMode="External"/><Relationship Id="rId7" Type="http://schemas.openxmlformats.org/officeDocument/2006/relationships/hyperlink" Target="https://www.mindtools.com/aesdntj/the-tannenbaum-schmidt-leadership-continuum" TargetMode="External"/><Relationship Id="rId12" Type="http://schemas.openxmlformats.org/officeDocument/2006/relationships/hyperlink" Target="https://doi-org.ezproxy.uwtsd.ac.uk/10.1177/1468794106058877ope" TargetMode="External"/><Relationship Id="rId2" Type="http://schemas.openxmlformats.org/officeDocument/2006/relationships/hyperlink" Target="https://www.peoplemanagement.co.uk/article/1845833/considering-application-relevance-evidence-based-hr" TargetMode="External"/><Relationship Id="rId1" Type="http://schemas.openxmlformats.org/officeDocument/2006/relationships/hyperlink" Target="https://www.cipd.org/uk/the-people-profession/the-profession-map/how-it-works/" TargetMode="External"/><Relationship Id="rId6" Type="http://schemas.openxmlformats.org/officeDocument/2006/relationships/hyperlink" Target="https://www.linkedin.com/learning/critical-thinking/the-importance-of-critical-thinking-2?autoplay=true&amp;trk=learning-course_tocItem&amp;upsellOrderOrigin=default_guest_learning" TargetMode="External"/><Relationship Id="rId11" Type="http://schemas.openxmlformats.org/officeDocument/2006/relationships/hyperlink" Target="https://www.cipd.org/uk/knowledge/guides/ethnicity-pay-reporting-guide/" TargetMode="External"/><Relationship Id="rId5" Type="http://schemas.openxmlformats.org/officeDocument/2006/relationships/hyperlink" Target="https://www.cipd.org/uk/knowledge/factsheets/pestle-analysis-factsheet/" TargetMode="External"/><Relationship Id="rId10" Type="http://schemas.openxmlformats.org/officeDocument/2006/relationships/hyperlink" Target="https://www.gov.uk/government/publications/positive-action-in-the-workplace-guidance-for-employers/positive-action-in-the-workplace" TargetMode="External"/><Relationship Id="rId4" Type="http://schemas.openxmlformats.org/officeDocument/2006/relationships/hyperlink" Target="https://doi.org/10.1080/13678860701718760" TargetMode="External"/><Relationship Id="rId9" Type="http://schemas.openxmlformats.org/officeDocument/2006/relationships/hyperlink" Target="https://www.cipd.org/globalassets/media/knowledge/knowledge-hub/reports/ethical-decision-making-2015-eight-perspectives-on-workplace-dilemmas_tcm18-9564.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(1).xlsx]G - Ethnicity % per team!PivotTable1</c:name>
    <c:fmtId val="-1"/>
  </c:pivotSource>
  <c:chart>
    <c:autoTitleDeleted val="0"/>
    <c:pivotFmts>
      <c:pivotFmt>
        <c:idx val="0"/>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40000"/>
              <a:lumOff val="60000"/>
            </a:schemeClr>
          </a:solidFill>
          <a:ln>
            <a:noFill/>
          </a:ln>
          <a:effectLst/>
        </c:spPr>
      </c:pivotFmt>
      <c:pivotFmt>
        <c:idx val="3"/>
        <c:spPr>
          <a:solidFill>
            <a:schemeClr val="tx2">
              <a:lumMod val="60000"/>
              <a:lumOff val="40000"/>
            </a:schemeClr>
          </a:solidFill>
          <a:ln>
            <a:noFill/>
          </a:ln>
          <a:effectLst/>
        </c:spPr>
      </c:pivotFmt>
      <c:pivotFmt>
        <c:idx val="4"/>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tx2">
              <a:lumMod val="60000"/>
              <a:lumOff val="40000"/>
            </a:schemeClr>
          </a:solidFill>
          <a:ln>
            <a:noFill/>
          </a:ln>
          <a:effectLst/>
        </c:spPr>
        <c:marker>
          <c:symbol val="none"/>
        </c:marker>
        <c:dLbl>
          <c:idx val="0"/>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4">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'G - Ethnicity % per team'!$B$4</c:f>
              <c:strCache>
                <c:ptCount val="1"/>
                <c:pt idx="0">
                  <c:v>Count of Ethnicity</c:v>
                </c:pt>
              </c:strCache>
            </c:strRef>
          </c:tx>
          <c:spPr>
            <a:solidFill>
              <a:schemeClr val="tx2">
                <a:lumMod val="60000"/>
                <a:lumOff val="40000"/>
              </a:schemeClr>
            </a:solidFill>
            <a:ln>
              <a:noFill/>
            </a:ln>
            <a:effectLst/>
          </c:spPr>
          <c:invertIfNegative val="0"/>
          <c:dLbls>
            <c:spPr>
              <a:solidFill>
                <a:srgbClr val="FFFF00"/>
              </a:solidFill>
              <a:ln>
                <a:noFill/>
              </a:ln>
              <a:effectLst>
                <a:glow rad="127000">
                  <a:schemeClr val="tx1"/>
                </a:glow>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team'!$B$5:$B$72</c:f>
              <c:numCache>
                <c:formatCode>General</c:formatCode>
                <c:ptCount val="39"/>
                <c:pt idx="0">
                  <c:v>7</c:v>
                </c:pt>
                <c:pt idx="1">
                  <c:v>1</c:v>
                </c:pt>
                <c:pt idx="2">
                  <c:v>1</c:v>
                </c:pt>
                <c:pt idx="3">
                  <c:v>1</c:v>
                </c:pt>
                <c:pt idx="4">
                  <c:v>1</c:v>
                </c:pt>
                <c:pt idx="5">
                  <c:v>1</c:v>
                </c:pt>
                <c:pt idx="6">
                  <c:v>4</c:v>
                </c:pt>
                <c:pt idx="7">
                  <c:v>1</c:v>
                </c:pt>
                <c:pt idx="8">
                  <c:v>2</c:v>
                </c:pt>
                <c:pt idx="9">
                  <c:v>12</c:v>
                </c:pt>
                <c:pt idx="10">
                  <c:v>1</c:v>
                </c:pt>
                <c:pt idx="11">
                  <c:v>4</c:v>
                </c:pt>
                <c:pt idx="12">
                  <c:v>2</c:v>
                </c:pt>
                <c:pt idx="13">
                  <c:v>1</c:v>
                </c:pt>
                <c:pt idx="14">
                  <c:v>1</c:v>
                </c:pt>
                <c:pt idx="15">
                  <c:v>8</c:v>
                </c:pt>
                <c:pt idx="16">
                  <c:v>1</c:v>
                </c:pt>
                <c:pt idx="17">
                  <c:v>2</c:v>
                </c:pt>
                <c:pt idx="18">
                  <c:v>11</c:v>
                </c:pt>
                <c:pt idx="19">
                  <c:v>1</c:v>
                </c:pt>
                <c:pt idx="20">
                  <c:v>1</c:v>
                </c:pt>
                <c:pt idx="21">
                  <c:v>1</c:v>
                </c:pt>
                <c:pt idx="22">
                  <c:v>16</c:v>
                </c:pt>
                <c:pt idx="23">
                  <c:v>17</c:v>
                </c:pt>
                <c:pt idx="24">
                  <c:v>1</c:v>
                </c:pt>
                <c:pt idx="25">
                  <c:v>1</c:v>
                </c:pt>
                <c:pt idx="26">
                  <c:v>1</c:v>
                </c:pt>
                <c:pt idx="27">
                  <c:v>8</c:v>
                </c:pt>
                <c:pt idx="28">
                  <c:v>10</c:v>
                </c:pt>
                <c:pt idx="29">
                  <c:v>4</c:v>
                </c:pt>
                <c:pt idx="30">
                  <c:v>1</c:v>
                </c:pt>
                <c:pt idx="31">
                  <c:v>10</c:v>
                </c:pt>
                <c:pt idx="32">
                  <c:v>1</c:v>
                </c:pt>
                <c:pt idx="33">
                  <c:v>98</c:v>
                </c:pt>
                <c:pt idx="34">
                  <c:v>5</c:v>
                </c:pt>
                <c:pt idx="35">
                  <c:v>1</c:v>
                </c:pt>
                <c:pt idx="36">
                  <c:v>10</c:v>
                </c:pt>
                <c:pt idx="37">
                  <c:v>9</c:v>
                </c:pt>
                <c:pt idx="38">
                  <c:v>2</c:v>
                </c:pt>
              </c:numCache>
            </c:numRef>
          </c:val>
          <c:extLst>
            <c:ext xmlns:c16="http://schemas.microsoft.com/office/drawing/2014/chart" uri="{C3380CC4-5D6E-409C-BE32-E72D297353CC}">
              <c16:uniqueId val="{00000000-BDB0-47C2-B076-4BAB88598705}"/>
            </c:ext>
          </c:extLst>
        </c:ser>
        <c:ser>
          <c:idx val="1"/>
          <c:order val="1"/>
          <c:tx>
            <c:strRef>
              <c:f>'G - Ethnicity % per team'!$C$4</c:f>
              <c:strCache>
                <c:ptCount val="1"/>
                <c:pt idx="0">
                  <c:v>Average % of team</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 - Ethnicity % per team'!$A$5:$A$72</c:f>
              <c:multiLvlStrCache>
                <c:ptCount val="39"/>
                <c:lvl>
                  <c:pt idx="0">
                    <c:v>White British</c:v>
                  </c:pt>
                  <c:pt idx="1">
                    <c:v>White Irish</c:v>
                  </c:pt>
                  <c:pt idx="2">
                    <c:v>White Other</c:v>
                  </c:pt>
                  <c:pt idx="3">
                    <c:v>Indian</c:v>
                  </c:pt>
                  <c:pt idx="4">
                    <c:v>Mixed - Other</c:v>
                  </c:pt>
                  <c:pt idx="5">
                    <c:v>White and Black Caribbean</c:v>
                  </c:pt>
                  <c:pt idx="6">
                    <c:v>White British</c:v>
                  </c:pt>
                  <c:pt idx="7">
                    <c:v>Chinese</c:v>
                  </c:pt>
                  <c:pt idx="8">
                    <c:v>Pakistani</c:v>
                  </c:pt>
                  <c:pt idx="9">
                    <c:v>White British</c:v>
                  </c:pt>
                  <c:pt idx="10">
                    <c:v>Indian</c:v>
                  </c:pt>
                  <c:pt idx="11">
                    <c:v>White British</c:v>
                  </c:pt>
                  <c:pt idx="12">
                    <c:v>White British</c:v>
                  </c:pt>
                  <c:pt idx="13">
                    <c:v>Black - Other</c:v>
                  </c:pt>
                  <c:pt idx="14">
                    <c:v>Indian</c:v>
                  </c:pt>
                  <c:pt idx="15">
                    <c:v>White British</c:v>
                  </c:pt>
                  <c:pt idx="16">
                    <c:v>Indian</c:v>
                  </c:pt>
                  <c:pt idx="17">
                    <c:v>White British</c:v>
                  </c:pt>
                  <c:pt idx="18">
                    <c:v>White British</c:v>
                  </c:pt>
                  <c:pt idx="19">
                    <c:v>White Other</c:v>
                  </c:pt>
                  <c:pt idx="20">
                    <c:v>Asian - Bangladesh</c:v>
                  </c:pt>
                  <c:pt idx="21">
                    <c:v>White and Black Caribbean</c:v>
                  </c:pt>
                  <c:pt idx="22">
                    <c:v>White British</c:v>
                  </c:pt>
                  <c:pt idx="23">
                    <c:v>White British</c:v>
                  </c:pt>
                  <c:pt idx="24">
                    <c:v>White Irish</c:v>
                  </c:pt>
                  <c:pt idx="25">
                    <c:v>White Other</c:v>
                  </c:pt>
                  <c:pt idx="26">
                    <c:v>Black - Other</c:v>
                  </c:pt>
                  <c:pt idx="27">
                    <c:v>White British</c:v>
                  </c:pt>
                  <c:pt idx="28">
                    <c:v>White British</c:v>
                  </c:pt>
                  <c:pt idx="29">
                    <c:v>White British</c:v>
                  </c:pt>
                  <c:pt idx="30">
                    <c:v>Chinese</c:v>
                  </c:pt>
                  <c:pt idx="31">
                    <c:v>White British</c:v>
                  </c:pt>
                  <c:pt idx="32">
                    <c:v>Pakistani</c:v>
                  </c:pt>
                  <c:pt idx="33">
                    <c:v>White British</c:v>
                  </c:pt>
                  <c:pt idx="34">
                    <c:v>White British</c:v>
                  </c:pt>
                  <c:pt idx="35">
                    <c:v>White and Black Caribbean</c:v>
                  </c:pt>
                  <c:pt idx="36">
                    <c:v>White British</c:v>
                  </c:pt>
                  <c:pt idx="37">
                    <c:v>White British</c:v>
                  </c:pt>
                  <c:pt idx="38">
                    <c:v>White Other</c:v>
                  </c:pt>
                </c:lvl>
                <c:lvl>
                  <c:pt idx="0">
                    <c:v>Business Services</c:v>
                  </c:pt>
                  <c:pt idx="3">
                    <c:v>Community Engagement and Partnerships</c:v>
                  </c:pt>
                  <c:pt idx="7">
                    <c:v>Customer Services</c:v>
                  </c:pt>
                  <c:pt idx="10">
                    <c:v>Directors</c:v>
                  </c:pt>
                  <c:pt idx="12">
                    <c:v>Facilities</c:v>
                  </c:pt>
                  <c:pt idx="13">
                    <c:v>Finance</c:v>
                  </c:pt>
                  <c:pt idx="16">
                    <c:v>Governance</c:v>
                  </c:pt>
                  <c:pt idx="18">
                    <c:v>Green Spaces</c:v>
                  </c:pt>
                  <c:pt idx="20">
                    <c:v>Housing</c:v>
                  </c:pt>
                  <c:pt idx="23">
                    <c:v>Income Team</c:v>
                  </c:pt>
                  <c:pt idx="26">
                    <c:v>IT</c:v>
                  </c:pt>
                  <c:pt idx="28">
                    <c:v>Lettings</c:v>
                  </c:pt>
                  <c:pt idx="29">
                    <c:v>Marketing</c:v>
                  </c:pt>
                  <c:pt idx="30">
                    <c:v>People Services</c:v>
                  </c:pt>
                  <c:pt idx="32">
                    <c:v>Property Team</c:v>
                  </c:pt>
                  <c:pt idx="34">
                    <c:v>Regeneration</c:v>
                  </c:pt>
                  <c:pt idx="35">
                    <c:v>Supported Housing</c:v>
                  </c:pt>
                  <c:pt idx="37">
                    <c:v>Tenancy Team</c:v>
                  </c:pt>
                </c:lvl>
              </c:multiLvlStrCache>
            </c:multiLvlStrRef>
          </c:cat>
          <c:val>
            <c:numRef>
              <c:f>'G - Ethnicity % per team'!$C$5:$C$72</c:f>
              <c:numCache>
                <c:formatCode>0.00%</c:formatCode>
                <c:ptCount val="39"/>
                <c:pt idx="0">
                  <c:v>0.77777777777777779</c:v>
                </c:pt>
                <c:pt idx="1">
                  <c:v>0.1111111111111111</c:v>
                </c:pt>
                <c:pt idx="2">
                  <c:v>0.1111111111111111</c:v>
                </c:pt>
                <c:pt idx="3">
                  <c:v>0.14285714285714285</c:v>
                </c:pt>
                <c:pt idx="4">
                  <c:v>0.14285714285714285</c:v>
                </c:pt>
                <c:pt idx="5">
                  <c:v>0.14285714285714285</c:v>
                </c:pt>
                <c:pt idx="6">
                  <c:v>0.5714285714285714</c:v>
                </c:pt>
                <c:pt idx="7">
                  <c:v>6.6666666666666666E-2</c:v>
                </c:pt>
                <c:pt idx="8">
                  <c:v>0.13333333333333333</c:v>
                </c:pt>
                <c:pt idx="9">
                  <c:v>0.8</c:v>
                </c:pt>
                <c:pt idx="10">
                  <c:v>0.2</c:v>
                </c:pt>
                <c:pt idx="11">
                  <c:v>0.8</c:v>
                </c:pt>
                <c:pt idx="12">
                  <c:v>1</c:v>
                </c:pt>
                <c:pt idx="13">
                  <c:v>0.1</c:v>
                </c:pt>
                <c:pt idx="14">
                  <c:v>0.1</c:v>
                </c:pt>
                <c:pt idx="15">
                  <c:v>0.8</c:v>
                </c:pt>
                <c:pt idx="16">
                  <c:v>0.33333333333333331</c:v>
                </c:pt>
                <c:pt idx="17">
                  <c:v>0.66666666666666663</c:v>
                </c:pt>
                <c:pt idx="18">
                  <c:v>0.91666666666666663</c:v>
                </c:pt>
                <c:pt idx="19">
                  <c:v>8.3333333333333329E-2</c:v>
                </c:pt>
                <c:pt idx="20">
                  <c:v>5.5555555555555552E-2</c:v>
                </c:pt>
                <c:pt idx="21">
                  <c:v>5.5555555555555552E-2</c:v>
                </c:pt>
                <c:pt idx="22">
                  <c:v>0.88888888888888884</c:v>
                </c:pt>
                <c:pt idx="23">
                  <c:v>0.89473684210526316</c:v>
                </c:pt>
                <c:pt idx="24">
                  <c:v>5.2631578947368418E-2</c:v>
                </c:pt>
                <c:pt idx="25">
                  <c:v>5.2631578947368418E-2</c:v>
                </c:pt>
                <c:pt idx="26">
                  <c:v>0.1111111111111111</c:v>
                </c:pt>
                <c:pt idx="27">
                  <c:v>0.88888888888888884</c:v>
                </c:pt>
                <c:pt idx="28">
                  <c:v>1</c:v>
                </c:pt>
                <c:pt idx="29">
                  <c:v>1</c:v>
                </c:pt>
                <c:pt idx="30">
                  <c:v>9.0909090909090912E-2</c:v>
                </c:pt>
                <c:pt idx="31">
                  <c:v>0.90909090909090906</c:v>
                </c:pt>
                <c:pt idx="32">
                  <c:v>1.0101010101010102E-2</c:v>
                </c:pt>
                <c:pt idx="33">
                  <c:v>0.98989898989898994</c:v>
                </c:pt>
                <c:pt idx="34">
                  <c:v>1</c:v>
                </c:pt>
                <c:pt idx="35">
                  <c:v>9.0909090909090912E-2</c:v>
                </c:pt>
                <c:pt idx="36">
                  <c:v>0.90909090909090906</c:v>
                </c:pt>
                <c:pt idx="37">
                  <c:v>0.81818181818181823</c:v>
                </c:pt>
                <c:pt idx="38">
                  <c:v>0.18181818181818182</c:v>
                </c:pt>
              </c:numCache>
            </c:numRef>
          </c:val>
          <c:extLst>
            <c:ext xmlns:c16="http://schemas.microsoft.com/office/drawing/2014/chart" uri="{C3380CC4-5D6E-409C-BE32-E72D297353CC}">
              <c16:uniqueId val="{00000001-BDB0-47C2-B076-4BAB88598705}"/>
            </c:ext>
          </c:extLst>
        </c:ser>
        <c:dLbls>
          <c:showLegendKey val="0"/>
          <c:showVal val="0"/>
          <c:showCatName val="0"/>
          <c:showSerName val="0"/>
          <c:showPercent val="0"/>
          <c:showBubbleSize val="0"/>
        </c:dLbls>
        <c:gapWidth val="150"/>
        <c:overlap val="100"/>
        <c:axId val="418381983"/>
        <c:axId val="472696767"/>
      </c:barChart>
      <c:catAx>
        <c:axId val="4183819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6767"/>
        <c:crosses val="autoZero"/>
        <c:auto val="1"/>
        <c:lblAlgn val="ctr"/>
        <c:lblOffset val="100"/>
        <c:noMultiLvlLbl val="0"/>
      </c:catAx>
      <c:valAx>
        <c:axId val="47269676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3819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(1).xlsx]H - Disability % by team!PivotTable5</c:name>
    <c:fmtId val="-1"/>
  </c:pivotSource>
  <c:chart>
    <c:autoTitleDeleted val="0"/>
    <c:pivotFmts>
      <c:pivotFmt>
        <c:idx val="0"/>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4">
              <a:lumMod val="60000"/>
              <a:lumOff val="40000"/>
            </a:schemeClr>
          </a:solidFill>
          <a:ln>
            <a:noFill/>
          </a:ln>
          <a:effectLst/>
        </c:spPr>
      </c:pivotFmt>
      <c:pivotFmt>
        <c:idx val="3"/>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tx2">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4">
              <a:lumMod val="60000"/>
              <a:lumOff val="4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'H - Disability % by team'!$C$6</c:f>
              <c:strCache>
                <c:ptCount val="1"/>
                <c:pt idx="0">
                  <c:v>Average % of team</c:v>
                </c:pt>
              </c:strCache>
            </c:strRef>
          </c:tx>
          <c:spPr>
            <a:solidFill>
              <a:schemeClr val="tx2">
                <a:lumMod val="60000"/>
                <a:lumOff val="40000"/>
              </a:schemeClr>
            </a:solidFill>
            <a:ln>
              <a:noFill/>
            </a:ln>
            <a:effectLst/>
          </c:spPr>
          <c:invertIfNegative val="0"/>
          <c:dLbls>
            <c:dLbl>
              <c:idx val="23"/>
              <c:layout>
                <c:manualLayout>
                  <c:x val="2.57680872150644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0F5-4305-82F9-A62443627E25}"/>
                </c:ext>
              </c:extLst>
            </c:dLbl>
            <c:dLbl>
              <c:idx val="24"/>
              <c:layout>
                <c:manualLayout>
                  <c:x val="2.775024777006937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0F5-4305-82F9-A62443627E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team'!$C$7:$C$54</c:f>
              <c:numCache>
                <c:formatCode>0.00%</c:formatCode>
                <c:ptCount val="29"/>
                <c:pt idx="0">
                  <c:v>1</c:v>
                </c:pt>
                <c:pt idx="1">
                  <c:v>0.14285714285714285</c:v>
                </c:pt>
                <c:pt idx="2">
                  <c:v>0.8571428571428571</c:v>
                </c:pt>
                <c:pt idx="3">
                  <c:v>0.2</c:v>
                </c:pt>
                <c:pt idx="4">
                  <c:v>0.8</c:v>
                </c:pt>
                <c:pt idx="5">
                  <c:v>1</c:v>
                </c:pt>
                <c:pt idx="6">
                  <c:v>1</c:v>
                </c:pt>
                <c:pt idx="7">
                  <c:v>0.2</c:v>
                </c:pt>
                <c:pt idx="8">
                  <c:v>0.8</c:v>
                </c:pt>
                <c:pt idx="9">
                  <c:v>1</c:v>
                </c:pt>
                <c:pt idx="10">
                  <c:v>8.3333333333333329E-2</c:v>
                </c:pt>
                <c:pt idx="11">
                  <c:v>0.91666666666666663</c:v>
                </c:pt>
                <c:pt idx="12">
                  <c:v>0.1111111111111111</c:v>
                </c:pt>
                <c:pt idx="13">
                  <c:v>0.88888888888888884</c:v>
                </c:pt>
                <c:pt idx="14">
                  <c:v>5.2631578947368418E-2</c:v>
                </c:pt>
                <c:pt idx="15">
                  <c:v>0.94736842105263153</c:v>
                </c:pt>
                <c:pt idx="16">
                  <c:v>0.22222222222222221</c:v>
                </c:pt>
                <c:pt idx="17">
                  <c:v>0.77777777777777779</c:v>
                </c:pt>
                <c:pt idx="18">
                  <c:v>0.1</c:v>
                </c:pt>
                <c:pt idx="19">
                  <c:v>0.9</c:v>
                </c:pt>
                <c:pt idx="20">
                  <c:v>1</c:v>
                </c:pt>
                <c:pt idx="21">
                  <c:v>0.18181818181818182</c:v>
                </c:pt>
                <c:pt idx="22">
                  <c:v>0.81818181818181823</c:v>
                </c:pt>
                <c:pt idx="23">
                  <c:v>5.0505050505050504E-2</c:v>
                </c:pt>
                <c:pt idx="24">
                  <c:v>0.9494949494949495</c:v>
                </c:pt>
                <c:pt idx="25">
                  <c:v>1</c:v>
                </c:pt>
                <c:pt idx="26">
                  <c:v>1</c:v>
                </c:pt>
                <c:pt idx="27">
                  <c:v>9.0909090909090912E-2</c:v>
                </c:pt>
                <c:pt idx="28">
                  <c:v>0.90909090909090906</c:v>
                </c:pt>
              </c:numCache>
            </c:numRef>
          </c:val>
          <c:extLst>
            <c:ext xmlns:c16="http://schemas.microsoft.com/office/drawing/2014/chart" uri="{C3380CC4-5D6E-409C-BE32-E72D297353CC}">
              <c16:uniqueId val="{00000000-B0F5-4305-82F9-A62443627E25}"/>
            </c:ext>
          </c:extLst>
        </c:ser>
        <c:ser>
          <c:idx val="1"/>
          <c:order val="1"/>
          <c:tx>
            <c:strRef>
              <c:f>'H - Disability % by team'!$D$6</c:f>
              <c:strCache>
                <c:ptCount val="1"/>
                <c:pt idx="0">
                  <c:v>Count of Disability status</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'H - Disability % by team'!$B$7:$B$54</c:f>
              <c:multiLvlStrCache>
                <c:ptCount val="29"/>
                <c:lvl>
                  <c:pt idx="0">
                    <c:v>Not disabled</c:v>
                  </c:pt>
                  <c:pt idx="1">
                    <c:v>Disabled</c:v>
                  </c:pt>
                  <c:pt idx="2">
                    <c:v>Not disabled</c:v>
                  </c:pt>
                  <c:pt idx="3">
                    <c:v>Disabled</c:v>
                  </c:pt>
                  <c:pt idx="4">
                    <c:v>Not disabled</c:v>
                  </c:pt>
                  <c:pt idx="5">
                    <c:v>Not disabled</c:v>
                  </c:pt>
                  <c:pt idx="6">
                    <c:v>Not disabled</c:v>
                  </c:pt>
                  <c:pt idx="7">
                    <c:v>Disabled</c:v>
                  </c:pt>
                  <c:pt idx="8">
                    <c:v>Not disabled</c:v>
                  </c:pt>
                  <c:pt idx="9">
                    <c:v>Not disabled</c:v>
                  </c:pt>
                  <c:pt idx="10">
                    <c:v>Disabled</c:v>
                  </c:pt>
                  <c:pt idx="11">
                    <c:v>Not disabled</c:v>
                  </c:pt>
                  <c:pt idx="12">
                    <c:v>Disabled</c:v>
                  </c:pt>
                  <c:pt idx="13">
                    <c:v>Not disabled</c:v>
                  </c:pt>
                  <c:pt idx="14">
                    <c:v>Disabled</c:v>
                  </c:pt>
                  <c:pt idx="15">
                    <c:v>Not disabled</c:v>
                  </c:pt>
                  <c:pt idx="16">
                    <c:v>Disabled</c:v>
                  </c:pt>
                  <c:pt idx="17">
                    <c:v>Not disabled</c:v>
                  </c:pt>
                  <c:pt idx="18">
                    <c:v>Disabled</c:v>
                  </c:pt>
                  <c:pt idx="19">
                    <c:v>Not disabled</c:v>
                  </c:pt>
                  <c:pt idx="20">
                    <c:v>Not disabled</c:v>
                  </c:pt>
                  <c:pt idx="21">
                    <c:v>Disabled</c:v>
                  </c:pt>
                  <c:pt idx="22">
                    <c:v>Not disabled</c:v>
                  </c:pt>
                  <c:pt idx="23">
                    <c:v>Disabled</c:v>
                  </c:pt>
                  <c:pt idx="24">
                    <c:v>Not disabled</c:v>
                  </c:pt>
                  <c:pt idx="25">
                    <c:v>Not disabled</c:v>
                  </c:pt>
                  <c:pt idx="26">
                    <c:v>Not disabled</c:v>
                  </c:pt>
                  <c:pt idx="27">
                    <c:v>Disabled</c:v>
                  </c:pt>
                  <c:pt idx="28">
                    <c:v>Not disabled</c:v>
                  </c:pt>
                </c:lvl>
                <c:lvl>
                  <c:pt idx="0">
                    <c:v>Business Services</c:v>
                  </c:pt>
                  <c:pt idx="1">
                    <c:v>Community Engagement and Partnerships</c:v>
                  </c:pt>
                  <c:pt idx="3">
                    <c:v>Customer Services</c:v>
                  </c:pt>
                  <c:pt idx="5">
                    <c:v>Directors</c:v>
                  </c:pt>
                  <c:pt idx="6">
                    <c:v>Facilities</c:v>
                  </c:pt>
                  <c:pt idx="7">
                    <c:v>Finance</c:v>
                  </c:pt>
                  <c:pt idx="9">
                    <c:v>Governance</c:v>
                  </c:pt>
                  <c:pt idx="10">
                    <c:v>Green Spaces</c:v>
                  </c:pt>
                  <c:pt idx="12">
                    <c:v>Housing</c:v>
                  </c:pt>
                  <c:pt idx="14">
                    <c:v>Income Team</c:v>
                  </c:pt>
                  <c:pt idx="16">
                    <c:v>IT</c:v>
                  </c:pt>
                  <c:pt idx="18">
                    <c:v>Lettings</c:v>
                  </c:pt>
                  <c:pt idx="20">
                    <c:v>Marketing</c:v>
                  </c:pt>
                  <c:pt idx="21">
                    <c:v>People Services</c:v>
                  </c:pt>
                  <c:pt idx="23">
                    <c:v>Property Team</c:v>
                  </c:pt>
                  <c:pt idx="25">
                    <c:v>Regeneration</c:v>
                  </c:pt>
                  <c:pt idx="26">
                    <c:v>Supported Housing</c:v>
                  </c:pt>
                  <c:pt idx="27">
                    <c:v>Tenancy Team</c:v>
                  </c:pt>
                </c:lvl>
              </c:multiLvlStrCache>
            </c:multiLvlStrRef>
          </c:cat>
          <c:val>
            <c:numRef>
              <c:f>'H - Disability % by team'!$D$7:$D$54</c:f>
              <c:numCache>
                <c:formatCode>General</c:formatCode>
                <c:ptCount val="29"/>
                <c:pt idx="0">
                  <c:v>9</c:v>
                </c:pt>
                <c:pt idx="1">
                  <c:v>1</c:v>
                </c:pt>
                <c:pt idx="2">
                  <c:v>6</c:v>
                </c:pt>
                <c:pt idx="3">
                  <c:v>3</c:v>
                </c:pt>
                <c:pt idx="4">
                  <c:v>12</c:v>
                </c:pt>
                <c:pt idx="5">
                  <c:v>5</c:v>
                </c:pt>
                <c:pt idx="6">
                  <c:v>2</c:v>
                </c:pt>
                <c:pt idx="7">
                  <c:v>2</c:v>
                </c:pt>
                <c:pt idx="8">
                  <c:v>8</c:v>
                </c:pt>
                <c:pt idx="9">
                  <c:v>3</c:v>
                </c:pt>
                <c:pt idx="10">
                  <c:v>1</c:v>
                </c:pt>
                <c:pt idx="11">
                  <c:v>11</c:v>
                </c:pt>
                <c:pt idx="12">
                  <c:v>2</c:v>
                </c:pt>
                <c:pt idx="13">
                  <c:v>16</c:v>
                </c:pt>
                <c:pt idx="14">
                  <c:v>1</c:v>
                </c:pt>
                <c:pt idx="15">
                  <c:v>18</c:v>
                </c:pt>
                <c:pt idx="16">
                  <c:v>2</c:v>
                </c:pt>
                <c:pt idx="17">
                  <c:v>7</c:v>
                </c:pt>
                <c:pt idx="18">
                  <c:v>1</c:v>
                </c:pt>
                <c:pt idx="19">
                  <c:v>9</c:v>
                </c:pt>
                <c:pt idx="20">
                  <c:v>4</c:v>
                </c:pt>
                <c:pt idx="21">
                  <c:v>2</c:v>
                </c:pt>
                <c:pt idx="22">
                  <c:v>9</c:v>
                </c:pt>
                <c:pt idx="23">
                  <c:v>5</c:v>
                </c:pt>
                <c:pt idx="24">
                  <c:v>94</c:v>
                </c:pt>
                <c:pt idx="25">
                  <c:v>5</c:v>
                </c:pt>
                <c:pt idx="26">
                  <c:v>11</c:v>
                </c:pt>
                <c:pt idx="27">
                  <c:v>1</c:v>
                </c:pt>
                <c:pt idx="28">
                  <c:v>10</c:v>
                </c:pt>
              </c:numCache>
            </c:numRef>
          </c:val>
          <c:extLst>
            <c:ext xmlns:c16="http://schemas.microsoft.com/office/drawing/2014/chart" uri="{C3380CC4-5D6E-409C-BE32-E72D297353CC}">
              <c16:uniqueId val="{00000001-B0F5-4305-82F9-A62443627E25}"/>
            </c:ext>
          </c:extLst>
        </c:ser>
        <c:dLbls>
          <c:showLegendKey val="0"/>
          <c:showVal val="0"/>
          <c:showCatName val="0"/>
          <c:showSerName val="0"/>
          <c:showPercent val="0"/>
          <c:showBubbleSize val="0"/>
        </c:dLbls>
        <c:gapWidth val="150"/>
        <c:overlap val="100"/>
        <c:axId val="468939455"/>
        <c:axId val="414225359"/>
      </c:barChart>
      <c:catAx>
        <c:axId val="4689394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25359"/>
        <c:crosses val="autoZero"/>
        <c:auto val="1"/>
        <c:lblAlgn val="ctr"/>
        <c:lblOffset val="100"/>
        <c:noMultiLvlLbl val="0"/>
      </c:catAx>
      <c:valAx>
        <c:axId val="41422535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9394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(1).xlsx]I - Salary difference by gender!PivotTable5</c:name>
    <c:fmtId val="-1"/>
  </c:pivotSource>
  <c:chart>
    <c:autoTitleDeleted val="0"/>
    <c:pivotFmts>
      <c:pivotFmt>
        <c:idx val="0"/>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lumMod val="40000"/>
              <a:lumOff val="60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rgbClr val="92D050"/>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'I - Salary difference by gender'!$D$7</c:f>
              <c:strCache>
                <c:ptCount val="1"/>
                <c:pt idx="0">
                  <c:v>Average of Salary FTE</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gender'!$D$8:$D$11</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5C81-410F-A2CE-DE3A777C74CD}"/>
            </c:ext>
          </c:extLst>
        </c:ser>
        <c:ser>
          <c:idx val="1"/>
          <c:order val="1"/>
          <c:tx>
            <c:strRef>
              <c:f>'I - Salary difference by gender'!$E$7</c:f>
              <c:strCache>
                <c:ptCount val="1"/>
                <c:pt idx="0">
                  <c:v>Count of Gender</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 - Salary difference by gender'!$C$8:$C$11</c:f>
              <c:strCache>
                <c:ptCount val="3"/>
                <c:pt idx="0">
                  <c:v>Female</c:v>
                </c:pt>
                <c:pt idx="1">
                  <c:v>Male</c:v>
                </c:pt>
                <c:pt idx="2">
                  <c:v>Non-binary</c:v>
                </c:pt>
              </c:strCache>
            </c:strRef>
          </c:cat>
          <c:val>
            <c:numRef>
              <c:f>'I - Salary difference by gender'!$E$8:$E$11</c:f>
              <c:numCache>
                <c:formatCode>General</c:formatCode>
                <c:ptCount val="3"/>
                <c:pt idx="0">
                  <c:v>118</c:v>
                </c:pt>
                <c:pt idx="1">
                  <c:v>140</c:v>
                </c:pt>
                <c:pt idx="2">
                  <c:v>2</c:v>
                </c:pt>
              </c:numCache>
            </c:numRef>
          </c:val>
          <c:extLst>
            <c:ext xmlns:c16="http://schemas.microsoft.com/office/drawing/2014/chart" uri="{C3380CC4-5D6E-409C-BE32-E72D297353CC}">
              <c16:uniqueId val="{00000001-5C81-410F-A2CE-DE3A777C74CD}"/>
            </c:ext>
          </c:extLst>
        </c:ser>
        <c:dLbls>
          <c:showLegendKey val="0"/>
          <c:showVal val="0"/>
          <c:showCatName val="0"/>
          <c:showSerName val="0"/>
          <c:showPercent val="0"/>
          <c:showBubbleSize val="0"/>
        </c:dLbls>
        <c:gapWidth val="182"/>
        <c:axId val="413353855"/>
        <c:axId val="25247791"/>
      </c:barChart>
      <c:catAx>
        <c:axId val="4133538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47791"/>
        <c:crosses val="autoZero"/>
        <c:auto val="1"/>
        <c:lblAlgn val="ctr"/>
        <c:lblOffset val="100"/>
        <c:noMultiLvlLbl val="0"/>
      </c:catAx>
      <c:valAx>
        <c:axId val="25247791"/>
        <c:scaling>
          <c:orientation val="minMax"/>
        </c:scaling>
        <c:delete val="0"/>
        <c:axPos val="b"/>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353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table 1 Evidence Based Practice 2023 (1).xlsx]J - Overall average Salary!PivotTable2</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1"/>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rgbClr val="92D050"/>
            </a:solidFill>
            <a:round/>
          </a:ln>
          <a:effectLst/>
        </c:spPr>
        <c:marker>
          <c:symbol val="none"/>
        </c:marker>
      </c:pivotFmt>
      <c:pivotFmt>
        <c:idx val="3"/>
        <c:spPr>
          <a:solidFill>
            <a:schemeClr val="accent1"/>
          </a:solidFill>
          <a:ln w="28575" cap="rnd">
            <a:solidFill>
              <a:srgbClr val="92D050"/>
            </a:solidFill>
            <a:round/>
          </a:ln>
          <a:effectLst/>
        </c:spPr>
        <c:marker>
          <c:symbol val="none"/>
        </c:marker>
      </c:pivotFmt>
      <c:pivotFmt>
        <c:idx val="4"/>
        <c:spPr>
          <a:solidFill>
            <a:schemeClr val="accent1"/>
          </a:solidFill>
          <a:ln w="28575" cap="rnd">
            <a:solidFill>
              <a:srgbClr val="92D050"/>
            </a:solidFill>
            <a:round/>
          </a:ln>
          <a:effectLst/>
        </c:spPr>
        <c:marker>
          <c:symbol val="none"/>
        </c:marker>
      </c:pivotFmt>
      <c:pivotFmt>
        <c:idx val="5"/>
        <c:spPr>
          <a:solidFill>
            <a:schemeClr val="accent1"/>
          </a:solidFill>
          <a:ln w="28575" cap="rnd">
            <a:solidFill>
              <a:srgbClr val="92D050"/>
            </a:solidFill>
            <a:round/>
          </a:ln>
          <a:effectLst/>
        </c:spPr>
        <c:marker>
          <c:symbol val="none"/>
        </c:marker>
      </c:pivotFmt>
      <c:pivotFmt>
        <c:idx val="6"/>
        <c:spPr>
          <a:solidFill>
            <a:schemeClr val="accent1"/>
          </a:solidFill>
          <a:ln w="28575" cap="rnd">
            <a:solidFill>
              <a:srgbClr val="92D050"/>
            </a:solidFill>
            <a:round/>
          </a:ln>
          <a:effectLst/>
        </c:spPr>
        <c:marker>
          <c:symbol val="none"/>
        </c:marker>
      </c:pivotFmt>
      <c:pivotFmt>
        <c:idx val="7"/>
        <c:spPr>
          <a:solidFill>
            <a:schemeClr val="accent1"/>
          </a:solidFill>
          <a:ln w="28575" cap="rnd">
            <a:solidFill>
              <a:srgbClr val="92D050"/>
            </a:solidFill>
            <a:round/>
          </a:ln>
          <a:effectLst/>
        </c:spPr>
        <c:marker>
          <c:symbol val="none"/>
        </c:marker>
      </c:pivotFmt>
      <c:pivotFmt>
        <c:idx val="8"/>
        <c:spPr>
          <a:solidFill>
            <a:schemeClr val="accent1"/>
          </a:solidFill>
          <a:ln w="28575" cap="rnd">
            <a:solidFill>
              <a:srgbClr val="92D050"/>
            </a:solidFill>
            <a:round/>
          </a:ln>
          <a:effectLst/>
        </c:spPr>
        <c:marker>
          <c:symbol val="none"/>
        </c:marker>
      </c:pivotFmt>
      <c:pivotFmt>
        <c:idx val="9"/>
        <c:spPr>
          <a:solidFill>
            <a:schemeClr val="accent1"/>
          </a:solidFill>
          <a:ln w="28575" cap="rnd">
            <a:solidFill>
              <a:srgbClr val="92D050"/>
            </a:solidFill>
            <a:round/>
          </a:ln>
          <a:effectLst/>
        </c:spPr>
        <c:marker>
          <c:symbol val="none"/>
        </c:marker>
      </c:pivotFmt>
      <c:pivotFmt>
        <c:idx val="10"/>
        <c:spPr>
          <a:solidFill>
            <a:schemeClr val="accent1"/>
          </a:solidFill>
          <a:ln w="28575" cap="rnd">
            <a:solidFill>
              <a:srgbClr val="92D050"/>
            </a:solidFill>
            <a:round/>
          </a:ln>
          <a:effectLst/>
        </c:spPr>
        <c:marker>
          <c:symbol val="none"/>
        </c:marker>
      </c:pivotFmt>
      <c:pivotFmt>
        <c:idx val="11"/>
        <c:spPr>
          <a:solidFill>
            <a:schemeClr val="accent1"/>
          </a:solidFill>
          <a:ln w="28575" cap="rnd">
            <a:solidFill>
              <a:srgbClr val="92D050"/>
            </a:solidFill>
            <a:round/>
          </a:ln>
          <a:effectLst/>
        </c:spPr>
        <c:marker>
          <c:symbol val="none"/>
        </c:marker>
      </c:pivotFmt>
      <c:pivotFmt>
        <c:idx val="12"/>
        <c:spPr>
          <a:solidFill>
            <a:schemeClr val="accent1"/>
          </a:solidFill>
          <a:ln w="28575" cap="rnd">
            <a:solidFill>
              <a:srgbClr val="92D050"/>
            </a:solidFill>
            <a:round/>
          </a:ln>
          <a:effectLst/>
        </c:spPr>
        <c:marker>
          <c:symbol val="none"/>
        </c:marker>
      </c:pivotFmt>
      <c:pivotFmt>
        <c:idx val="13"/>
        <c:spPr>
          <a:solidFill>
            <a:schemeClr val="accent1"/>
          </a:solidFill>
          <a:ln w="28575" cap="rnd">
            <a:solidFill>
              <a:srgbClr val="92D050"/>
            </a:solidFill>
            <a:round/>
          </a:ln>
          <a:effectLst/>
        </c:spPr>
        <c:marker>
          <c:symbol val="none"/>
        </c:marker>
      </c:pivotFmt>
      <c:pivotFmt>
        <c:idx val="14"/>
        <c:spPr>
          <a:solidFill>
            <a:schemeClr val="accent1"/>
          </a:solidFill>
          <a:ln w="28575" cap="rnd">
            <a:solidFill>
              <a:srgbClr val="92D050"/>
            </a:solidFill>
            <a:round/>
          </a:ln>
          <a:effectLst/>
        </c:spPr>
        <c:marker>
          <c:symbol val="none"/>
        </c:marker>
      </c:pivotFmt>
      <c:pivotFmt>
        <c:idx val="15"/>
        <c:spPr>
          <a:solidFill>
            <a:schemeClr val="accent1"/>
          </a:solidFill>
          <a:ln w="28575" cap="rnd">
            <a:solidFill>
              <a:srgbClr val="92D050"/>
            </a:solidFill>
            <a:round/>
          </a:ln>
          <a:effectLst/>
        </c:spPr>
        <c:marker>
          <c:symbol val="none"/>
        </c:marker>
      </c:pivotFmt>
      <c:pivotFmt>
        <c:idx val="16"/>
        <c:spPr>
          <a:solidFill>
            <a:schemeClr val="accent1"/>
          </a:solidFill>
          <a:ln w="28575" cap="rnd">
            <a:solidFill>
              <a:srgbClr val="92D050"/>
            </a:solidFill>
            <a:round/>
          </a:ln>
          <a:effectLst/>
        </c:spPr>
        <c:marker>
          <c:symbol val="none"/>
        </c:marker>
      </c:pivotFmt>
      <c:pivotFmt>
        <c:idx val="17"/>
        <c:spPr>
          <a:solidFill>
            <a:schemeClr val="accent1"/>
          </a:solidFill>
          <a:ln w="28575" cap="rnd">
            <a:solidFill>
              <a:srgbClr val="92D050"/>
            </a:solidFill>
            <a:round/>
          </a:ln>
          <a:effectLst/>
        </c:spPr>
        <c:marker>
          <c:symbol val="none"/>
        </c:marker>
      </c:pivotFmt>
      <c:pivotFmt>
        <c:idx val="18"/>
        <c:spPr>
          <a:solidFill>
            <a:schemeClr val="accent1"/>
          </a:solidFill>
          <a:ln w="28575" cap="rnd">
            <a:solidFill>
              <a:srgbClr val="92D050"/>
            </a:solidFill>
            <a:round/>
          </a:ln>
          <a:effectLst/>
        </c:spPr>
        <c:marker>
          <c:symbol val="none"/>
        </c:marker>
      </c:pivotFmt>
      <c:pivotFmt>
        <c:idx val="19"/>
        <c:spPr>
          <a:solidFill>
            <a:schemeClr val="accent1"/>
          </a:solidFill>
          <a:ln w="28575" cap="rnd">
            <a:solidFill>
              <a:srgbClr val="92D050"/>
            </a:solidFill>
            <a:round/>
          </a:ln>
          <a:effectLst/>
        </c:spPr>
        <c:marker>
          <c:symbol val="none"/>
        </c:marker>
      </c:pivotFmt>
      <c:pivotFmt>
        <c:idx val="20"/>
        <c:spPr>
          <a:solidFill>
            <a:schemeClr val="accent1"/>
          </a:solidFill>
          <a:ln w="28575" cap="rnd">
            <a:solidFill>
              <a:schemeClr val="accent1"/>
            </a:solidFill>
            <a:round/>
          </a:ln>
          <a:effectLst/>
        </c:spPr>
        <c:marker>
          <c:symbol val="none"/>
        </c:marker>
        <c:dLbl>
          <c:idx val="0"/>
          <c:layout>
            <c:manualLayout>
              <c:x val="-3.0716066486014084E-3"/>
              <c:y val="2.85109643740159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1"/>
        <c:spPr>
          <a:solidFill>
            <a:schemeClr val="accent1"/>
          </a:solidFill>
          <a:ln w="28575" cap="rnd">
            <a:solidFill>
              <a:schemeClr val="accent1"/>
            </a:solidFill>
            <a:round/>
          </a:ln>
          <a:effectLst/>
        </c:spPr>
        <c:marker>
          <c:symbol val="none"/>
        </c:marker>
        <c:dLbl>
          <c:idx val="0"/>
          <c:layout>
            <c:manualLayout>
              <c:x val="-4.9145706377622854E-2"/>
              <c:y val="-0.10929203010039451"/>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2"/>
        <c:spPr>
          <a:solidFill>
            <a:schemeClr val="accent1"/>
          </a:solidFill>
          <a:ln w="28575" cap="rnd">
            <a:solidFill>
              <a:schemeClr val="accent1"/>
            </a:solidFill>
            <a:round/>
          </a:ln>
          <a:effectLst/>
        </c:spPr>
        <c:marker>
          <c:symbol val="none"/>
        </c:marker>
        <c:dLbl>
          <c:idx val="0"/>
          <c:layout>
            <c:manualLayout>
              <c:x val="-3.2763804251748595E-2"/>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3"/>
        <c:spPr>
          <a:solidFill>
            <a:schemeClr val="accent1"/>
          </a:solidFill>
          <a:ln w="28575" cap="rnd">
            <a:solidFill>
              <a:schemeClr val="accent1"/>
            </a:solidFill>
            <a:round/>
          </a:ln>
          <a:effectLst/>
        </c:spPr>
        <c:marker>
          <c:symbol val="none"/>
        </c:marker>
        <c:dLbl>
          <c:idx val="0"/>
          <c:layout>
            <c:manualLayout>
              <c:x val="-5.2217313026224413E-2"/>
              <c:y val="9.028472051771720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4"/>
        <c:spPr>
          <a:solidFill>
            <a:schemeClr val="accent1"/>
          </a:solidFill>
          <a:ln w="28575" cap="rnd">
            <a:solidFill>
              <a:schemeClr val="accent1"/>
            </a:solidFill>
            <a:round/>
          </a:ln>
          <a:effectLst/>
        </c:spPr>
        <c:marker>
          <c:symbol val="none"/>
        </c:marker>
        <c:dLbl>
          <c:idx val="0"/>
          <c:layout>
            <c:manualLayout>
              <c:x val="-3.0716066486014275E-3"/>
              <c:y val="-4.7518273956693356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5"/>
        <c:spPr>
          <a:solidFill>
            <a:schemeClr val="accent1"/>
          </a:solidFill>
          <a:ln w="28575" cap="rnd">
            <a:solidFill>
              <a:schemeClr val="accent1"/>
            </a:solidFill>
            <a:round/>
          </a:ln>
          <a:effectLst/>
        </c:spPr>
        <c:marker>
          <c:symbol val="none"/>
        </c:marker>
        <c:dLbl>
          <c:idx val="0"/>
          <c:layout>
            <c:manualLayout>
              <c:x val="-1.0238688828670675E-3"/>
              <c:y val="3.801461916535461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6"/>
        <c:spPr>
          <a:solidFill>
            <a:schemeClr val="accent1"/>
          </a:solidFill>
          <a:ln w="28575" cap="rnd">
            <a:solidFill>
              <a:schemeClr val="accent1"/>
            </a:solidFill>
            <a:round/>
          </a:ln>
          <a:effectLst/>
        </c:spPr>
        <c:marker>
          <c:symbol val="none"/>
        </c:marker>
        <c:dLbl>
          <c:idx val="0"/>
          <c:layout>
            <c:manualLayout>
              <c:x val="-1.638190212587428E-2"/>
              <c:y val="-9.028472051771725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7"/>
        <c:spPr>
          <a:solidFill>
            <a:schemeClr val="accent1"/>
          </a:solidFill>
          <a:ln w="28575" cap="rnd">
            <a:solidFill>
              <a:schemeClr val="accent1"/>
            </a:solidFill>
            <a:round/>
          </a:ln>
          <a:effectLst/>
        </c:spPr>
        <c:marker>
          <c:symbol val="none"/>
        </c:marker>
        <c:dLbl>
          <c:idx val="0"/>
          <c:layout>
            <c:manualLayout>
              <c:x val="-3.0716066486014275E-3"/>
              <c:y val="-4.276644656102394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8"/>
        <c:spPr>
          <a:solidFill>
            <a:schemeClr val="accent1"/>
          </a:solidFill>
          <a:ln w="28575" cap="rnd">
            <a:solidFill>
              <a:schemeClr val="accent1"/>
            </a:solidFill>
            <a:round/>
          </a:ln>
          <a:effectLst/>
        </c:spPr>
        <c:marker>
          <c:symbol val="none"/>
        </c:marker>
        <c:dLbl>
          <c:idx val="0"/>
          <c:layout>
            <c:manualLayout>
              <c:x val="-4.09547553146857E-3"/>
              <c:y val="5.4646015050197255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29"/>
        <c:spPr>
          <a:solidFill>
            <a:schemeClr val="accent1"/>
          </a:solidFill>
          <a:ln w="28575" cap="rnd">
            <a:solidFill>
              <a:schemeClr val="accent1"/>
            </a:solidFill>
            <a:round/>
          </a:ln>
          <a:effectLst/>
        </c:spPr>
        <c:marker>
          <c:symbol val="none"/>
        </c:marker>
        <c:dLbl>
          <c:idx val="0"/>
          <c:layout>
            <c:manualLayout>
              <c:x val="-1.1262557711538567E-2"/>
              <c:y val="3.5638705467519863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0"/>
        <c:spPr>
          <a:solidFill>
            <a:schemeClr val="accent1"/>
          </a:solidFill>
          <a:ln w="28575" cap="rnd">
            <a:solidFill>
              <a:schemeClr val="accent1"/>
            </a:solidFill>
            <a:round/>
          </a:ln>
          <a:effectLst/>
        </c:spPr>
        <c:marker>
          <c:symbol val="none"/>
        </c:marker>
        <c:dLbl>
          <c:idx val="0"/>
          <c:layout>
            <c:manualLayout>
              <c:x val="-6.143213297202855E-3"/>
              <c:y val="4.989418765452793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1"/>
        <c:spPr>
          <a:solidFill>
            <a:schemeClr val="accent1"/>
          </a:solidFill>
          <a:ln w="28575" cap="rnd">
            <a:solidFill>
              <a:schemeClr val="accent1"/>
            </a:solidFill>
            <a:round/>
          </a:ln>
          <a:effectLst/>
        </c:spPr>
        <c:marker>
          <c:symbol val="none"/>
        </c:marker>
        <c:dLbl>
          <c:idx val="0"/>
          <c:layout>
            <c:manualLayout>
              <c:x val="0"/>
              <c:y val="-5.2270101352362597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2"/>
        <c:spPr>
          <a:solidFill>
            <a:schemeClr val="accent1"/>
          </a:solidFill>
          <a:ln w="28575" cap="rnd">
            <a:solidFill>
              <a:schemeClr val="accent1"/>
            </a:solidFill>
            <a:round/>
          </a:ln>
          <a:effectLst/>
        </c:spPr>
        <c:marker>
          <c:symbol val="none"/>
        </c:marker>
        <c:dLbl>
          <c:idx val="0"/>
          <c:layout>
            <c:manualLayout>
              <c:x val="-1.1262557711538642E-2"/>
              <c:y val="8.0781065726378554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3"/>
        <c:spPr>
          <a:solidFill>
            <a:schemeClr val="accent1"/>
          </a:solidFill>
          <a:ln w="28575" cap="rnd">
            <a:solidFill>
              <a:schemeClr val="accent1"/>
            </a:solidFill>
            <a:round/>
          </a:ln>
          <a:effectLst/>
        </c:spPr>
        <c:marker>
          <c:symbol val="none"/>
        </c:marker>
        <c:dLbl>
          <c:idx val="0"/>
          <c:layout>
            <c:manualLayout>
              <c:x val="0"/>
              <c:y val="-5.7021928748031921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4"/>
        <c:spPr>
          <a:solidFill>
            <a:schemeClr val="accent1"/>
          </a:solidFill>
          <a:ln w="28575" cap="rnd">
            <a:solidFill>
              <a:schemeClr val="accent1"/>
            </a:solidFill>
            <a:round/>
          </a:ln>
          <a:effectLst/>
        </c:spPr>
        <c:marker>
          <c:symbol val="none"/>
        </c:marker>
        <c:dLbl>
          <c:idx val="0"/>
          <c:layout>
            <c:manualLayout>
              <c:x val="-3.0716066486014274E-2"/>
              <c:y val="8.3156979424213212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5"/>
        <c:spPr>
          <a:solidFill>
            <a:schemeClr val="accent1"/>
          </a:solidFill>
          <a:ln w="28575" cap="rnd">
            <a:solidFill>
              <a:schemeClr val="accent1"/>
            </a:solidFill>
            <a:round/>
          </a:ln>
          <a:effectLst/>
        </c:spPr>
        <c:marker>
          <c:symbol val="none"/>
        </c:marker>
        <c:dLbl>
          <c:idx val="0"/>
          <c:layout>
            <c:manualLayout>
              <c:x val="-2.0477377657342848E-2"/>
              <c:y val="-7.1277410935039989E-2"/>
            </c:manualLayout>
          </c:layout>
          <c:spPr>
            <a:noFill/>
            <a:ln>
              <a:noFill/>
            </a:ln>
            <a:effectLst/>
          </c:spPr>
          <c:txPr>
            <a:bodyPr rot="0" spcFirstLastPara="1" vertOverflow="ellipsis" horzOverflow="clip" vert="horz" wrap="square" lIns="38100" tIns="19050" rIns="38100" bIns="19050" anchor="t" anchorCtr="0">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pivotFmt>
      <c:pivotFmt>
        <c:idx val="3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rgbClr val="92D050"/>
            </a:solidFill>
            <a:round/>
          </a:ln>
          <a:effectLst/>
        </c:spPr>
        <c:marker>
          <c:symbol val="none"/>
        </c:marker>
        <c:dLbl>
          <c:idx val="0"/>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'J - Overall average Salary'!$C$5</c:f>
              <c:strCache>
                <c:ptCount val="1"/>
                <c:pt idx="0">
                  <c:v>Average of Salary FTE</c:v>
                </c:pt>
              </c:strCache>
            </c:strRef>
          </c:tx>
          <c:spPr>
            <a:ln w="28575" cap="rnd">
              <a:solidFill>
                <a:schemeClr val="accent1"/>
              </a:solidFill>
              <a:round/>
            </a:ln>
            <a:effectLst/>
          </c:spPr>
          <c:marker>
            <c:symbol val="none"/>
          </c:marker>
          <c:trendline>
            <c:name>Average Salary: £31,757.46</c:name>
            <c:spPr>
              <a:ln w="19050" cap="rnd">
                <a:solidFill>
                  <a:schemeClr val="accent1"/>
                </a:solidFill>
                <a:prstDash val="sysDot"/>
              </a:ln>
              <a:effectLst/>
            </c:spPr>
            <c:trendlineType val="linear"/>
            <c:dispRSqr val="0"/>
            <c:dispEq val="0"/>
          </c:trendline>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Salary'!$C$6:$C$24</c:f>
              <c:numCache>
                <c:formatCode>"£"#,##0.00_);[Red]\("£"#,##0.00\)</c:formatCode>
                <c:ptCount val="18"/>
                <c:pt idx="0">
                  <c:v>35490.555555555555</c:v>
                </c:pt>
                <c:pt idx="1">
                  <c:v>27328.571428571428</c:v>
                </c:pt>
                <c:pt idx="2">
                  <c:v>27494.333333333332</c:v>
                </c:pt>
                <c:pt idx="3">
                  <c:v>93791</c:v>
                </c:pt>
                <c:pt idx="4">
                  <c:v>33577.5</c:v>
                </c:pt>
                <c:pt idx="5">
                  <c:v>35759</c:v>
                </c:pt>
                <c:pt idx="6">
                  <c:v>31666.666666666668</c:v>
                </c:pt>
                <c:pt idx="7">
                  <c:v>21030</c:v>
                </c:pt>
                <c:pt idx="8">
                  <c:v>30194.444444444445</c:v>
                </c:pt>
                <c:pt idx="9">
                  <c:v>30364.21052631579</c:v>
                </c:pt>
                <c:pt idx="10">
                  <c:v>39766.666666666664</c:v>
                </c:pt>
                <c:pt idx="11">
                  <c:v>27665</c:v>
                </c:pt>
                <c:pt idx="12">
                  <c:v>28037.5</c:v>
                </c:pt>
                <c:pt idx="13">
                  <c:v>38126.36363636364</c:v>
                </c:pt>
                <c:pt idx="14">
                  <c:v>30614.141414141413</c:v>
                </c:pt>
                <c:pt idx="15">
                  <c:v>36118</c:v>
                </c:pt>
                <c:pt idx="16">
                  <c:v>22863.636363636364</c:v>
                </c:pt>
                <c:pt idx="17">
                  <c:v>31213.636363636364</c:v>
                </c:pt>
              </c:numCache>
            </c:numRef>
          </c:val>
          <c:smooth val="0"/>
          <c:extLst>
            <c:ext xmlns:c16="http://schemas.microsoft.com/office/drawing/2014/chart" uri="{C3380CC4-5D6E-409C-BE32-E72D297353CC}">
              <c16:uniqueId val="{00000001-5B39-4F7C-B68F-5D30FC49E73F}"/>
            </c:ext>
          </c:extLst>
        </c:ser>
        <c:ser>
          <c:idx val="1"/>
          <c:order val="1"/>
          <c:tx>
            <c:strRef>
              <c:f>'J - Overall average Salary'!$D$5</c:f>
              <c:strCache>
                <c:ptCount val="1"/>
                <c:pt idx="0">
                  <c:v>Count of Team</c:v>
                </c:pt>
              </c:strCache>
            </c:strRef>
          </c:tx>
          <c:spPr>
            <a:ln w="28575" cap="rnd">
              <a:solidFill>
                <a:srgbClr val="92D050"/>
              </a:solidFill>
              <a:round/>
            </a:ln>
            <a:effectLst/>
          </c:spPr>
          <c:marker>
            <c:symbol val="none"/>
          </c:marker>
          <c:dLbls>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'J - Overall average Salary'!$B$6:$B$24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'J - Overall average Salary'!$D$6:$D$24</c:f>
              <c:numCache>
                <c:formatCode>General</c:formatCode>
                <c:ptCount val="18"/>
                <c:pt idx="0">
                  <c:v>9</c:v>
                </c:pt>
                <c:pt idx="1">
                  <c:v>7</c:v>
                </c:pt>
                <c:pt idx="2">
                  <c:v>15</c:v>
                </c:pt>
                <c:pt idx="3">
                  <c:v>5</c:v>
                </c:pt>
                <c:pt idx="4">
                  <c:v>2</c:v>
                </c:pt>
                <c:pt idx="5">
                  <c:v>10</c:v>
                </c:pt>
                <c:pt idx="6">
                  <c:v>3</c:v>
                </c:pt>
                <c:pt idx="7">
                  <c:v>12</c:v>
                </c:pt>
                <c:pt idx="8">
                  <c:v>18</c:v>
                </c:pt>
                <c:pt idx="9">
                  <c:v>19</c:v>
                </c:pt>
                <c:pt idx="10">
                  <c:v>9</c:v>
                </c:pt>
                <c:pt idx="11">
                  <c:v>10</c:v>
                </c:pt>
                <c:pt idx="12">
                  <c:v>4</c:v>
                </c:pt>
                <c:pt idx="13">
                  <c:v>11</c:v>
                </c:pt>
                <c:pt idx="14">
                  <c:v>99</c:v>
                </c:pt>
                <c:pt idx="15">
                  <c:v>5</c:v>
                </c:pt>
                <c:pt idx="16">
                  <c:v>11</c:v>
                </c:pt>
                <c:pt idx="17">
                  <c:v>11</c:v>
                </c:pt>
              </c:numCache>
            </c:numRef>
          </c:val>
          <c:smooth val="0"/>
          <c:extLst>
            <c:ext xmlns:c16="http://schemas.microsoft.com/office/drawing/2014/chart" uri="{C3380CC4-5D6E-409C-BE32-E72D297353CC}">
              <c16:uniqueId val="{00000002-5B39-4F7C-B68F-5D30FC49E73F}"/>
            </c:ext>
          </c:extLst>
        </c:ser>
        <c:dLbls>
          <c:showLegendKey val="0"/>
          <c:showVal val="0"/>
          <c:showCatName val="0"/>
          <c:showSerName val="0"/>
          <c:showPercent val="0"/>
          <c:showBubbleSize val="0"/>
        </c:dLbls>
        <c:smooth val="0"/>
        <c:axId val="467672479"/>
        <c:axId val="472695327"/>
      </c:lineChart>
      <c:catAx>
        <c:axId val="467672479"/>
        <c:scaling>
          <c:orientation val="minMax"/>
        </c:scaling>
        <c:delete val="0"/>
        <c:axPos val="b"/>
        <c:numFmt formatCode="General" sourceLinked="1"/>
        <c:majorTickMark val="out"/>
        <c:minorTickMark val="none"/>
        <c:tickLblPos val="nextTo"/>
        <c:spPr>
          <a:noFill/>
          <a:ln w="9525" cap="flat" cmpd="sng" algn="ctr">
            <a:solidFill>
              <a:srgbClr val="92D050"/>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695327"/>
        <c:crosses val="autoZero"/>
        <c:auto val="1"/>
        <c:lblAlgn val="ctr"/>
        <c:lblOffset val="100"/>
        <c:noMultiLvlLbl val="0"/>
      </c:catAx>
      <c:valAx>
        <c:axId val="472695327"/>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67247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5571</Words>
  <Characters>31759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Thomas Jones</cp:lastModifiedBy>
  <cp:revision>6</cp:revision>
  <dcterms:created xsi:type="dcterms:W3CDTF">2023-12-04T22:03:00Z</dcterms:created>
  <dcterms:modified xsi:type="dcterms:W3CDTF">2023-12-04T22:26:00Z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