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eastAsiaTheme="minorHAnsi" w:hAnsi="Arial" w:cs="Arial"/>
          <w:color w:val="4472C4" w:themeColor="accent1"/>
          <w:sz w:val="24"/>
          <w:szCs w:val="24"/>
        </w:rPr>
        <w:id w:val="533929516"/>
        <w:docPartObj>
          <w:docPartGallery w:val="Cover Pages"/>
          <w:docPartUnique/>
        </w:docPartObj>
      </w:sdtPr>
      <w:sdtEndPr>
        <w:rPr>
          <w:color w:val="auto"/>
        </w:rPr>
      </w:sdtEndPr>
      <w:sdtContent>
        <w:p w14:paraId="450B5EA8" w14:textId="3FDACBE4" w:rsidR="003D53F3" w:rsidRPr="00F641BF" w:rsidRDefault="00B80C90" w:rsidP="00F641BF">
          <w:pPr>
            <w:pStyle w:val="Heading1"/>
            <w:spacing w:line="360" w:lineRule="auto"/>
            <w:jc w:val="center"/>
            <w:rPr>
              <w:rFonts w:ascii="Arial" w:eastAsia="Times New Roman" w:hAnsi="Arial" w:cs="Arial"/>
              <w:b/>
              <w:bCs/>
              <w:color w:val="000000" w:themeColor="text1"/>
              <w:kern w:val="36"/>
              <w:sz w:val="28"/>
              <w:szCs w:val="28"/>
              <w:lang w:eastAsia="en-GB"/>
              <w14:ligatures w14:val="none"/>
            </w:rPr>
          </w:pPr>
          <w:r w:rsidRPr="00F641BF">
            <w:rPr>
              <w:rFonts w:ascii="Arial" w:eastAsiaTheme="minorHAnsi" w:hAnsi="Arial" w:cs="Arial"/>
              <w:noProof/>
              <w:color w:val="000000" w:themeColor="text1"/>
              <w:sz w:val="28"/>
              <w:szCs w:val="28"/>
            </w:rPr>
            <w:drawing>
              <wp:anchor distT="0" distB="0" distL="114300" distR="114300" simplePos="0" relativeHeight="251659264" behindDoc="0" locked="0" layoutInCell="1" allowOverlap="1" wp14:anchorId="0876709E" wp14:editId="42CB0EC7">
                <wp:simplePos x="0" y="0"/>
                <wp:positionH relativeFrom="column">
                  <wp:posOffset>925797</wp:posOffset>
                </wp:positionH>
                <wp:positionV relativeFrom="paragraph">
                  <wp:posOffset>0</wp:posOffset>
                </wp:positionV>
                <wp:extent cx="3609340" cy="1551305"/>
                <wp:effectExtent l="0" t="0" r="0" b="0"/>
                <wp:wrapTopAndBottom/>
                <wp:docPr id="5693173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9317303" name="Picture 569317303"/>
                        <pic:cNvPicPr/>
                      </pic:nvPicPr>
                      <pic:blipFill rotWithShape="1">
                        <a:blip r:embed="rId8">
                          <a:extLst>
                            <a:ext uri="{28A0092B-C50C-407E-A947-70E740481C1C}">
                              <a14:useLocalDpi xmlns:a14="http://schemas.microsoft.com/office/drawing/2010/main" val="0"/>
                            </a:ext>
                          </a:extLst>
                        </a:blip>
                        <a:srcRect l="8068" t="32736" r="14060" b="31076"/>
                        <a:stretch>
                          <a:fillRect/>
                        </a:stretch>
                      </pic:blipFill>
                      <pic:spPr bwMode="auto">
                        <a:xfrm>
                          <a:off x="0" y="0"/>
                          <a:ext cx="3609340" cy="1551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53F3" w:rsidRPr="00F641BF">
            <w:rPr>
              <w:rFonts w:ascii="Arial" w:eastAsia="Times New Roman" w:hAnsi="Arial" w:cs="Arial"/>
              <w:kern w:val="36"/>
              <w:lang w:eastAsia="en-GB"/>
              <w14:ligatures w14:val="none"/>
            </w:rPr>
            <w:t xml:space="preserve"> </w:t>
          </w:r>
          <w:r w:rsidR="00EE038C" w:rsidRPr="00F641BF">
            <w:rPr>
              <w:rFonts w:ascii="Arial" w:eastAsia="Times New Roman" w:hAnsi="Arial" w:cs="Arial"/>
              <w:b/>
              <w:bCs/>
              <w:color w:val="000000" w:themeColor="text1"/>
              <w:kern w:val="36"/>
              <w:sz w:val="28"/>
              <w:szCs w:val="28"/>
              <w:lang w:eastAsia="en-GB"/>
              <w14:ligatures w14:val="none"/>
            </w:rPr>
            <w:t xml:space="preserve">International Market Entry Strategy Analysis: </w:t>
          </w:r>
          <w:r w:rsidR="00EA092F" w:rsidRPr="00F641BF">
            <w:rPr>
              <w:rFonts w:ascii="Arial" w:eastAsia="Times New Roman" w:hAnsi="Arial" w:cs="Arial"/>
              <w:b/>
              <w:bCs/>
              <w:color w:val="000000" w:themeColor="text1"/>
              <w:kern w:val="36"/>
              <w:sz w:val="28"/>
              <w:szCs w:val="28"/>
              <w:lang w:eastAsia="en-GB"/>
              <w14:ligatures w14:val="none"/>
            </w:rPr>
            <w:t>Evaluating Aldi's Potential Entry into the Indian Retail Market</w:t>
          </w:r>
        </w:p>
        <w:p w14:paraId="2DE313F5" w14:textId="603B2F91" w:rsidR="00B80C90" w:rsidRPr="00F641BF" w:rsidRDefault="000E7EC6" w:rsidP="00F641BF">
          <w:pPr>
            <w:pStyle w:val="Heading1"/>
            <w:spacing w:line="360" w:lineRule="auto"/>
            <w:jc w:val="center"/>
            <w:rPr>
              <w:rFonts w:ascii="Arial" w:eastAsia="Times New Roman" w:hAnsi="Arial" w:cs="Arial"/>
              <w:color w:val="000000" w:themeColor="text1"/>
              <w:kern w:val="0"/>
              <w:sz w:val="28"/>
              <w:szCs w:val="28"/>
              <w:lang w:eastAsia="en-GB"/>
              <w14:ligatures w14:val="none"/>
            </w:rPr>
          </w:pPr>
          <w:r>
            <w:rPr>
              <w:rFonts w:asciiTheme="minorHAnsi" w:eastAsiaTheme="minorHAnsi" w:hAnsiTheme="minorHAnsi" w:cstheme="minorBidi"/>
              <w:color w:val="auto"/>
              <w:sz w:val="24"/>
              <w:szCs w:val="24"/>
            </w:rPr>
          </w:r>
          <w:r>
            <w:rPr>
              <w:rFonts w:asciiTheme="minorHAnsi" w:eastAsiaTheme="minorHAnsi" w:hAnsiTheme="minorHAnsi" w:cstheme="minorBidi"/>
              <w:color w:val="auto"/>
              <w:sz w:val="24"/>
              <w:szCs w:val="24"/>
            </w:rPr>
            <w:pict w14:anchorId="53C02BBD">
              <v:rect id="Horizontal Line 1" o:spid="_x0000_s1026" alt="" style="width:451.3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7B816748" w14:textId="3B1BEE90" w:rsidR="00B80C90" w:rsidRPr="00F641BF" w:rsidRDefault="00B80C90" w:rsidP="00F641BF">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F641BF">
            <w:rPr>
              <w:rFonts w:ascii="Arial" w:eastAsia="Times New Roman" w:hAnsi="Arial" w:cs="Arial"/>
              <w:color w:val="000000" w:themeColor="text1"/>
              <w:kern w:val="0"/>
              <w:lang w:eastAsia="en-GB"/>
              <w14:ligatures w14:val="none"/>
            </w:rPr>
            <w:t xml:space="preserve">Module Name: </w:t>
          </w:r>
          <w:r w:rsidR="00701956" w:rsidRPr="00F641BF">
            <w:rPr>
              <w:rFonts w:ascii="Arial" w:eastAsia="Times New Roman" w:hAnsi="Arial" w:cs="Arial"/>
              <w:color w:val="000000" w:themeColor="text1"/>
              <w:kern w:val="0"/>
              <w:lang w:val="en-GB" w:eastAsia="en-GB"/>
              <w14:ligatures w14:val="none"/>
            </w:rPr>
            <w:t xml:space="preserve">International </w:t>
          </w:r>
          <w:r w:rsidR="00EE038C" w:rsidRPr="00F641BF">
            <w:rPr>
              <w:rFonts w:ascii="Arial" w:eastAsia="Times New Roman" w:hAnsi="Arial" w:cs="Arial"/>
              <w:bCs/>
              <w:color w:val="000000" w:themeColor="text1"/>
              <w:kern w:val="0"/>
              <w:lang w:val="en-GB" w:eastAsia="en-GB"/>
              <w14:ligatures w14:val="none"/>
            </w:rPr>
            <w:t>Business Concepts</w:t>
          </w:r>
        </w:p>
        <w:p w14:paraId="2E6427B9" w14:textId="037FDC2D" w:rsidR="00B80C90" w:rsidRPr="00F641BF" w:rsidRDefault="00B80C90" w:rsidP="00F641BF">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F641BF">
            <w:rPr>
              <w:rFonts w:ascii="Arial" w:eastAsia="Times New Roman" w:hAnsi="Arial" w:cs="Arial"/>
              <w:color w:val="000000" w:themeColor="text1"/>
              <w:kern w:val="0"/>
              <w:lang w:eastAsia="en-GB"/>
              <w14:ligatures w14:val="none"/>
            </w:rPr>
            <w:t>Module Code: LCMB70</w:t>
          </w:r>
          <w:r w:rsidR="00EE038C" w:rsidRPr="00F641BF">
            <w:rPr>
              <w:rFonts w:ascii="Arial" w:eastAsia="Times New Roman" w:hAnsi="Arial" w:cs="Arial"/>
              <w:color w:val="000000" w:themeColor="text1"/>
              <w:kern w:val="0"/>
              <w:lang w:eastAsia="en-GB"/>
              <w14:ligatures w14:val="none"/>
            </w:rPr>
            <w:t>34</w:t>
          </w:r>
        </w:p>
        <w:p w14:paraId="5354B3B5" w14:textId="77777777" w:rsidR="00B80C90" w:rsidRPr="00F641BF" w:rsidRDefault="00B80C90" w:rsidP="00F641BF">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F641BF">
            <w:rPr>
              <w:rFonts w:ascii="Arial" w:eastAsia="Times New Roman" w:hAnsi="Arial" w:cs="Arial"/>
              <w:color w:val="000000" w:themeColor="text1"/>
              <w:kern w:val="0"/>
              <w:lang w:eastAsia="en-GB"/>
              <w14:ligatures w14:val="none"/>
            </w:rPr>
            <w:t>Student Name: Prince Laurence Sade</w:t>
          </w:r>
        </w:p>
        <w:p w14:paraId="737EF5E0" w14:textId="77777777" w:rsidR="00B80C90" w:rsidRPr="00F641BF" w:rsidRDefault="00B80C90" w:rsidP="00F641BF">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F641BF">
            <w:rPr>
              <w:rFonts w:ascii="Arial" w:eastAsia="Times New Roman" w:hAnsi="Arial" w:cs="Arial"/>
              <w:color w:val="000000" w:themeColor="text1"/>
              <w:kern w:val="0"/>
              <w:lang w:eastAsia="en-GB"/>
              <w14:ligatures w14:val="none"/>
            </w:rPr>
            <w:t>Student ID: 2525510</w:t>
          </w:r>
        </w:p>
        <w:p w14:paraId="68AB8B62" w14:textId="77777777" w:rsidR="00B80C90" w:rsidRPr="00F641BF" w:rsidRDefault="00B80C90" w:rsidP="00F641BF">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F641BF">
            <w:rPr>
              <w:rFonts w:ascii="Arial" w:eastAsia="Times New Roman" w:hAnsi="Arial" w:cs="Arial"/>
              <w:color w:val="000000" w:themeColor="text1"/>
              <w:kern w:val="0"/>
              <w:lang w:eastAsia="en-GB"/>
              <w14:ligatures w14:val="none"/>
            </w:rPr>
            <w:t>Programme: Master of Business Administration (MBA)</w:t>
          </w:r>
        </w:p>
        <w:p w14:paraId="180F15EE" w14:textId="77777777" w:rsidR="00B80C90" w:rsidRPr="00F641BF" w:rsidRDefault="00B80C90" w:rsidP="00F641BF">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F641BF">
            <w:rPr>
              <w:rFonts w:ascii="Arial" w:eastAsia="Times New Roman" w:hAnsi="Arial" w:cs="Arial"/>
              <w:color w:val="000000" w:themeColor="text1"/>
              <w:kern w:val="0"/>
              <w:lang w:eastAsia="en-GB"/>
              <w14:ligatures w14:val="none"/>
            </w:rPr>
            <w:t>University: University of Wales Trinity Saint David</w:t>
          </w:r>
        </w:p>
        <w:p w14:paraId="0FDFE83E" w14:textId="0030AB03" w:rsidR="003D53F3" w:rsidRPr="00F641BF" w:rsidRDefault="00B80C90" w:rsidP="00F641BF">
          <w:pPr>
            <w:spacing w:line="360" w:lineRule="auto"/>
            <w:jc w:val="center"/>
            <w:rPr>
              <w:rFonts w:ascii="Arial" w:hAnsi="Arial" w:cs="Arial"/>
              <w:color w:val="000000" w:themeColor="text1"/>
              <w:lang w:val="it-IT"/>
            </w:rPr>
          </w:pPr>
          <w:r w:rsidRPr="00F641BF">
            <w:rPr>
              <w:rFonts w:ascii="Arial" w:eastAsia="Times New Roman" w:hAnsi="Arial" w:cs="Arial"/>
              <w:color w:val="000000" w:themeColor="text1"/>
              <w:kern w:val="0"/>
              <w:lang w:eastAsia="en-GB"/>
              <w14:ligatures w14:val="none"/>
            </w:rPr>
            <w:t xml:space="preserve">Lecturer : </w:t>
          </w:r>
          <w:r w:rsidR="00EE038C" w:rsidRPr="00F641BF">
            <w:rPr>
              <w:rFonts w:ascii="Arial" w:hAnsi="Arial" w:cs="Arial"/>
              <w:color w:val="000000" w:themeColor="text1"/>
              <w:lang w:val="it-IT"/>
            </w:rPr>
            <w:t>Akshay Narayanan</w:t>
          </w:r>
          <w:r w:rsidR="003D53F3" w:rsidRPr="00F641BF">
            <w:rPr>
              <w:rFonts w:ascii="Arial" w:hAnsi="Arial" w:cs="Arial"/>
              <w:color w:val="000000" w:themeColor="text1"/>
              <w:lang w:val="it-IT"/>
            </w:rPr>
            <w:t xml:space="preserve"> (London)</w:t>
          </w:r>
        </w:p>
        <w:p w14:paraId="15C91172" w14:textId="053260C0" w:rsidR="00B80C90" w:rsidRPr="00F641BF" w:rsidRDefault="00EE038C" w:rsidP="00F641BF">
          <w:pPr>
            <w:spacing w:line="360" w:lineRule="auto"/>
            <w:jc w:val="center"/>
            <w:rPr>
              <w:rFonts w:ascii="Arial" w:hAnsi="Arial" w:cs="Arial"/>
              <w:color w:val="000000" w:themeColor="text1"/>
            </w:rPr>
          </w:pPr>
          <w:r w:rsidRPr="00F641BF">
            <w:rPr>
              <w:rFonts w:ascii="Arial" w:hAnsi="Arial" w:cs="Arial"/>
              <w:color w:val="000000" w:themeColor="text1"/>
              <w:lang w:val="it-IT"/>
            </w:rPr>
            <w:t>Mansoob Murshed</w:t>
          </w:r>
          <w:r w:rsidR="003D53F3" w:rsidRPr="00F641BF">
            <w:rPr>
              <w:rFonts w:ascii="Arial" w:hAnsi="Arial" w:cs="Arial"/>
              <w:color w:val="000000" w:themeColor="text1"/>
              <w:lang w:val="it-IT"/>
            </w:rPr>
            <w:t xml:space="preserve"> (Birmingham)</w:t>
          </w:r>
        </w:p>
        <w:p w14:paraId="509AB838" w14:textId="77777777" w:rsidR="003D53F3" w:rsidRPr="00F641BF" w:rsidRDefault="00B80C90" w:rsidP="00F641BF">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F641BF">
            <w:rPr>
              <w:rFonts w:ascii="Arial" w:eastAsia="Times New Roman" w:hAnsi="Arial" w:cs="Arial"/>
              <w:color w:val="000000" w:themeColor="text1"/>
              <w:kern w:val="0"/>
              <w:lang w:eastAsia="en-GB"/>
              <w14:ligatures w14:val="none"/>
            </w:rPr>
            <w:t>Assessment Title:</w:t>
          </w:r>
          <w:r w:rsidRPr="00F641BF">
            <w:rPr>
              <w:rFonts w:ascii="Arial" w:eastAsia="Times New Roman" w:hAnsi="Arial" w:cs="Arial"/>
              <w:color w:val="000000"/>
              <w:kern w:val="0"/>
              <w:sz w:val="17"/>
              <w:szCs w:val="17"/>
              <w:lang w:eastAsia="en-GB"/>
              <w14:ligatures w14:val="none"/>
            </w:rPr>
            <w:t xml:space="preserve"> </w:t>
          </w:r>
          <w:r w:rsidR="003D53F3" w:rsidRPr="00F641BF">
            <w:rPr>
              <w:rFonts w:ascii="Arial" w:eastAsia="Times New Roman" w:hAnsi="Arial" w:cs="Arial"/>
              <w:color w:val="000000" w:themeColor="text1"/>
              <w:kern w:val="0"/>
              <w:lang w:val="en-GB" w:eastAsia="en-GB"/>
              <w14:ligatures w14:val="none"/>
            </w:rPr>
            <w:t>Assessment component - Individual report</w:t>
          </w:r>
          <w:r w:rsidR="003D53F3" w:rsidRPr="00F641BF">
            <w:rPr>
              <w:rFonts w:ascii="Arial" w:eastAsia="Times New Roman" w:hAnsi="Arial" w:cs="Arial"/>
              <w:color w:val="000000" w:themeColor="text1"/>
              <w:kern w:val="0"/>
              <w:lang w:eastAsia="en-GB"/>
              <w14:ligatures w14:val="none"/>
            </w:rPr>
            <w:t xml:space="preserve"> </w:t>
          </w:r>
        </w:p>
        <w:p w14:paraId="58B7185F" w14:textId="11EA2550" w:rsidR="00B80C90" w:rsidRPr="00F641BF" w:rsidRDefault="00B80C90" w:rsidP="00F641BF">
          <w:pPr>
            <w:spacing w:before="100" w:beforeAutospacing="1" w:after="100" w:afterAutospacing="1" w:line="360" w:lineRule="auto"/>
            <w:jc w:val="center"/>
            <w:rPr>
              <w:rFonts w:ascii="Arial" w:eastAsia="Times New Roman" w:hAnsi="Arial" w:cs="Arial"/>
              <w:color w:val="000000" w:themeColor="text1"/>
              <w:kern w:val="0"/>
              <w:lang w:eastAsia="en-GB"/>
              <w14:ligatures w14:val="none"/>
            </w:rPr>
          </w:pPr>
          <w:r w:rsidRPr="00F641BF">
            <w:rPr>
              <w:rFonts w:ascii="Arial" w:eastAsia="Times New Roman" w:hAnsi="Arial" w:cs="Arial"/>
              <w:color w:val="000000" w:themeColor="text1"/>
              <w:kern w:val="0"/>
              <w:lang w:eastAsia="en-GB"/>
              <w14:ligatures w14:val="none"/>
            </w:rPr>
            <w:t xml:space="preserve">Word Count: </w:t>
          </w:r>
          <w:r w:rsidR="003D53F3" w:rsidRPr="00F641BF">
            <w:rPr>
              <w:rFonts w:ascii="Arial" w:eastAsia="Times New Roman" w:hAnsi="Arial" w:cs="Arial"/>
              <w:kern w:val="36"/>
              <w:lang w:eastAsia="en-GB"/>
              <w14:ligatures w14:val="none"/>
            </w:rPr>
            <w:t>5,</w:t>
          </w:r>
          <w:r w:rsidR="00EE038C" w:rsidRPr="00F641BF">
            <w:rPr>
              <w:rFonts w:ascii="Arial" w:eastAsia="Times New Roman" w:hAnsi="Arial" w:cs="Arial"/>
              <w:kern w:val="36"/>
              <w:lang w:eastAsia="en-GB"/>
              <w14:ligatures w14:val="none"/>
            </w:rPr>
            <w:t>189</w:t>
          </w:r>
          <w:r w:rsidRPr="00F641BF">
            <w:rPr>
              <w:rFonts w:ascii="Arial" w:eastAsia="Times New Roman" w:hAnsi="Arial" w:cs="Arial"/>
              <w:color w:val="000000" w:themeColor="text1"/>
              <w:kern w:val="0"/>
              <w:lang w:eastAsia="en-GB"/>
              <w14:ligatures w14:val="none"/>
            </w:rPr>
            <w:t xml:space="preserve"> words (excluding references)</w:t>
          </w:r>
        </w:p>
        <w:p w14:paraId="032ECCC8" w14:textId="58F74826" w:rsidR="00B80C90" w:rsidRPr="00F641BF" w:rsidRDefault="00B80C90" w:rsidP="00F641BF">
          <w:pPr>
            <w:spacing w:line="360" w:lineRule="auto"/>
            <w:jc w:val="center"/>
            <w:rPr>
              <w:rFonts w:ascii="Arial" w:hAnsi="Arial" w:cs="Arial"/>
              <w:color w:val="000000" w:themeColor="text1"/>
              <w:sz w:val="22"/>
              <w:szCs w:val="22"/>
            </w:rPr>
          </w:pPr>
          <w:r w:rsidRPr="00F641BF">
            <w:rPr>
              <w:rFonts w:ascii="Arial" w:eastAsia="Times New Roman" w:hAnsi="Arial" w:cs="Arial"/>
              <w:color w:val="000000" w:themeColor="text1"/>
              <w:kern w:val="0"/>
              <w:lang w:eastAsia="en-GB"/>
              <w14:ligatures w14:val="none"/>
            </w:rPr>
            <w:t xml:space="preserve">Submission Date: </w:t>
          </w:r>
          <w:r w:rsidR="00EE038C" w:rsidRPr="00F641BF">
            <w:rPr>
              <w:rFonts w:ascii="Arial" w:hAnsi="Arial" w:cs="Arial"/>
              <w:color w:val="000000" w:themeColor="text1"/>
            </w:rPr>
            <w:t>31</w:t>
          </w:r>
          <w:r w:rsidR="003D53F3" w:rsidRPr="00F641BF">
            <w:rPr>
              <w:rFonts w:ascii="Arial" w:hAnsi="Arial" w:cs="Arial"/>
              <w:color w:val="000000" w:themeColor="text1"/>
            </w:rPr>
            <w:t xml:space="preserve"> July</w:t>
          </w:r>
          <w:r w:rsidRPr="00F641BF">
            <w:rPr>
              <w:rFonts w:ascii="Arial" w:hAnsi="Arial" w:cs="Arial"/>
              <w:color w:val="000000" w:themeColor="text1"/>
            </w:rPr>
            <w:t xml:space="preserve"> 2026</w:t>
          </w:r>
        </w:p>
        <w:p w14:paraId="3572C715" w14:textId="77777777" w:rsidR="007333F7" w:rsidRPr="00F641BF" w:rsidRDefault="007333F7" w:rsidP="00F641BF">
          <w:pPr>
            <w:spacing w:line="360" w:lineRule="auto"/>
            <w:rPr>
              <w:rFonts w:ascii="Arial" w:hAnsi="Arial" w:cs="Arial"/>
            </w:rPr>
          </w:pPr>
        </w:p>
        <w:p w14:paraId="0F4C53D7" w14:textId="77777777" w:rsidR="00B80C90" w:rsidRPr="00F641BF" w:rsidRDefault="00000000" w:rsidP="00F641BF">
          <w:pPr>
            <w:spacing w:line="360" w:lineRule="auto"/>
            <w:rPr>
              <w:rFonts w:ascii="Arial" w:hAnsi="Arial" w:cs="Arial"/>
            </w:rPr>
          </w:pPr>
        </w:p>
      </w:sdtContent>
    </w:sdt>
    <w:p w14:paraId="58C33F47" w14:textId="5EA6188C" w:rsidR="00EE038C" w:rsidRPr="00F641BF" w:rsidRDefault="00EE038C" w:rsidP="00F641BF">
      <w:pPr>
        <w:spacing w:before="100" w:beforeAutospacing="1" w:after="100" w:afterAutospacing="1" w:line="360" w:lineRule="auto"/>
        <w:rPr>
          <w:rFonts w:ascii="Arial" w:eastAsia="Times New Roman" w:hAnsi="Arial" w:cs="Arial"/>
          <w:kern w:val="36"/>
          <w:lang w:eastAsia="en-GB"/>
          <w14:ligatures w14:val="none"/>
        </w:rPr>
      </w:pPr>
    </w:p>
    <w:p w14:paraId="7B19AFA5"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p>
    <w:p w14:paraId="705B1077" w14:textId="4BA5844F"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TABLE OF CONTENTS</w:t>
      </w:r>
    </w:p>
    <w:tbl>
      <w:tblPr>
        <w:tblW w:w="888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8124"/>
        <w:gridCol w:w="756"/>
      </w:tblGrid>
      <w:tr w:rsidR="007F591F" w:rsidRPr="00F641BF" w14:paraId="3C2AE491" w14:textId="77777777" w:rsidTr="00404866">
        <w:trPr>
          <w:tblHeader/>
        </w:trPr>
        <w:tc>
          <w:tcPr>
            <w:tcW w:w="0" w:type="auto"/>
            <w:tcBorders>
              <w:top w:val="single" w:sz="2" w:space="0" w:color="E5E7EB"/>
              <w:left w:val="single" w:sz="2" w:space="0" w:color="E5E7EB"/>
              <w:bottom w:val="single" w:sz="2" w:space="0" w:color="E5E7EB"/>
              <w:right w:val="single" w:sz="2" w:space="0" w:color="E5E7EB"/>
            </w:tcBorders>
            <w:noWrap/>
            <w:vAlign w:val="bottom"/>
            <w:hideMark/>
          </w:tcPr>
          <w:p w14:paraId="7093A248"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Section</w:t>
            </w:r>
          </w:p>
        </w:tc>
        <w:tc>
          <w:tcPr>
            <w:tcW w:w="0" w:type="auto"/>
            <w:tcBorders>
              <w:top w:val="single" w:sz="2" w:space="0" w:color="E5E7EB"/>
              <w:left w:val="single" w:sz="2" w:space="0" w:color="E5E7EB"/>
              <w:bottom w:val="single" w:sz="2" w:space="0" w:color="E5E7EB"/>
              <w:right w:val="single" w:sz="2" w:space="0" w:color="E5E7EB"/>
            </w:tcBorders>
            <w:noWrap/>
            <w:vAlign w:val="bottom"/>
            <w:hideMark/>
          </w:tcPr>
          <w:p w14:paraId="6AC5AA80"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Page</w:t>
            </w:r>
          </w:p>
        </w:tc>
      </w:tr>
      <w:tr w:rsidR="007F591F" w:rsidRPr="00F641BF" w14:paraId="3B683829" w14:textId="77777777" w:rsidTr="00404866">
        <w:tc>
          <w:tcPr>
            <w:tcW w:w="0" w:type="auto"/>
            <w:tcBorders>
              <w:top w:val="single" w:sz="2" w:space="0" w:color="E5E7EB"/>
              <w:left w:val="single" w:sz="2" w:space="0" w:color="E5E7EB"/>
              <w:bottom w:val="single" w:sz="2" w:space="0" w:color="E5E7EB"/>
              <w:right w:val="single" w:sz="2" w:space="0" w:color="E5E7EB"/>
            </w:tcBorders>
            <w:vAlign w:val="bottom"/>
            <w:hideMark/>
          </w:tcPr>
          <w:p w14:paraId="548F501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Executive Summary</w:t>
            </w:r>
          </w:p>
        </w:tc>
        <w:tc>
          <w:tcPr>
            <w:tcW w:w="0" w:type="auto"/>
            <w:tcBorders>
              <w:top w:val="single" w:sz="2" w:space="0" w:color="E5E7EB"/>
              <w:left w:val="single" w:sz="2" w:space="0" w:color="E5E7EB"/>
              <w:bottom w:val="single" w:sz="2" w:space="0" w:color="E5E7EB"/>
              <w:right w:val="single" w:sz="2" w:space="0" w:color="E5E7EB"/>
            </w:tcBorders>
            <w:vAlign w:val="bottom"/>
            <w:hideMark/>
          </w:tcPr>
          <w:p w14:paraId="19004BC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3</w:t>
            </w:r>
          </w:p>
        </w:tc>
      </w:tr>
      <w:tr w:rsidR="007F591F" w:rsidRPr="00F641BF" w14:paraId="525F73B5" w14:textId="77777777" w:rsidTr="00404866">
        <w:tc>
          <w:tcPr>
            <w:tcW w:w="0" w:type="auto"/>
            <w:tcBorders>
              <w:top w:val="single" w:sz="2" w:space="0" w:color="E5E7EB"/>
              <w:left w:val="single" w:sz="2" w:space="0" w:color="E5E7EB"/>
              <w:bottom w:val="single" w:sz="2" w:space="0" w:color="E5E7EB"/>
              <w:right w:val="single" w:sz="2" w:space="0" w:color="E5E7EB"/>
            </w:tcBorders>
            <w:vAlign w:val="bottom"/>
            <w:hideMark/>
          </w:tcPr>
          <w:p w14:paraId="283F441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1. Introduction</w:t>
            </w:r>
          </w:p>
        </w:tc>
        <w:tc>
          <w:tcPr>
            <w:tcW w:w="0" w:type="auto"/>
            <w:tcBorders>
              <w:top w:val="single" w:sz="2" w:space="0" w:color="E5E7EB"/>
              <w:left w:val="single" w:sz="2" w:space="0" w:color="E5E7EB"/>
              <w:bottom w:val="single" w:sz="2" w:space="0" w:color="E5E7EB"/>
              <w:right w:val="single" w:sz="2" w:space="0" w:color="E5E7EB"/>
            </w:tcBorders>
            <w:vAlign w:val="bottom"/>
            <w:hideMark/>
          </w:tcPr>
          <w:p w14:paraId="1E237C2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4</w:t>
            </w:r>
          </w:p>
        </w:tc>
      </w:tr>
      <w:tr w:rsidR="007F591F" w:rsidRPr="00F641BF" w14:paraId="68023D58" w14:textId="77777777" w:rsidTr="00404866">
        <w:tc>
          <w:tcPr>
            <w:tcW w:w="0" w:type="auto"/>
            <w:tcBorders>
              <w:top w:val="single" w:sz="2" w:space="0" w:color="E5E7EB"/>
              <w:left w:val="single" w:sz="2" w:space="0" w:color="E5E7EB"/>
              <w:bottom w:val="single" w:sz="2" w:space="0" w:color="E5E7EB"/>
              <w:right w:val="single" w:sz="2" w:space="0" w:color="E5E7EB"/>
            </w:tcBorders>
            <w:vAlign w:val="bottom"/>
            <w:hideMark/>
          </w:tcPr>
          <w:p w14:paraId="32E6CAC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2. Organisational Classification and Global Strategy</w:t>
            </w:r>
          </w:p>
        </w:tc>
        <w:tc>
          <w:tcPr>
            <w:tcW w:w="0" w:type="auto"/>
            <w:tcBorders>
              <w:top w:val="single" w:sz="2" w:space="0" w:color="E5E7EB"/>
              <w:left w:val="single" w:sz="2" w:space="0" w:color="E5E7EB"/>
              <w:bottom w:val="single" w:sz="2" w:space="0" w:color="E5E7EB"/>
              <w:right w:val="single" w:sz="2" w:space="0" w:color="E5E7EB"/>
            </w:tcBorders>
            <w:vAlign w:val="bottom"/>
            <w:hideMark/>
          </w:tcPr>
          <w:p w14:paraId="5AFE474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5</w:t>
            </w:r>
          </w:p>
        </w:tc>
      </w:tr>
      <w:tr w:rsidR="007F591F" w:rsidRPr="00F641BF" w14:paraId="680F6CFF" w14:textId="77777777" w:rsidTr="00404866">
        <w:tc>
          <w:tcPr>
            <w:tcW w:w="0" w:type="auto"/>
            <w:tcBorders>
              <w:top w:val="single" w:sz="2" w:space="0" w:color="E5E7EB"/>
              <w:left w:val="single" w:sz="2" w:space="0" w:color="E5E7EB"/>
              <w:bottom w:val="single" w:sz="2" w:space="0" w:color="E5E7EB"/>
              <w:right w:val="single" w:sz="2" w:space="0" w:color="E5E7EB"/>
            </w:tcBorders>
            <w:vAlign w:val="bottom"/>
            <w:hideMark/>
          </w:tcPr>
          <w:p w14:paraId="38F85A2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3. Macro-Environmental Appraisal and Market Attractiveness</w:t>
            </w:r>
          </w:p>
        </w:tc>
        <w:tc>
          <w:tcPr>
            <w:tcW w:w="0" w:type="auto"/>
            <w:tcBorders>
              <w:top w:val="single" w:sz="2" w:space="0" w:color="E5E7EB"/>
              <w:left w:val="single" w:sz="2" w:space="0" w:color="E5E7EB"/>
              <w:bottom w:val="single" w:sz="2" w:space="0" w:color="E5E7EB"/>
              <w:right w:val="single" w:sz="2" w:space="0" w:color="E5E7EB"/>
            </w:tcBorders>
            <w:vAlign w:val="bottom"/>
            <w:hideMark/>
          </w:tcPr>
          <w:p w14:paraId="2AA71CF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7</w:t>
            </w:r>
          </w:p>
        </w:tc>
      </w:tr>
      <w:tr w:rsidR="007F591F" w:rsidRPr="00F641BF" w14:paraId="71DC3885" w14:textId="77777777" w:rsidTr="00404866">
        <w:tc>
          <w:tcPr>
            <w:tcW w:w="0" w:type="auto"/>
            <w:tcBorders>
              <w:top w:val="single" w:sz="2" w:space="0" w:color="E5E7EB"/>
              <w:left w:val="single" w:sz="2" w:space="0" w:color="E5E7EB"/>
              <w:bottom w:val="single" w:sz="2" w:space="0" w:color="E5E7EB"/>
              <w:right w:val="single" w:sz="2" w:space="0" w:color="E5E7EB"/>
            </w:tcBorders>
            <w:vAlign w:val="bottom"/>
            <w:hideMark/>
          </w:tcPr>
          <w:p w14:paraId="32D56C1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4. Dunning OLI Framework Analysis</w:t>
            </w:r>
          </w:p>
        </w:tc>
        <w:tc>
          <w:tcPr>
            <w:tcW w:w="0" w:type="auto"/>
            <w:tcBorders>
              <w:top w:val="single" w:sz="2" w:space="0" w:color="E5E7EB"/>
              <w:left w:val="single" w:sz="2" w:space="0" w:color="E5E7EB"/>
              <w:bottom w:val="single" w:sz="2" w:space="0" w:color="E5E7EB"/>
              <w:right w:val="single" w:sz="2" w:space="0" w:color="E5E7EB"/>
            </w:tcBorders>
            <w:vAlign w:val="bottom"/>
            <w:hideMark/>
          </w:tcPr>
          <w:p w14:paraId="40A0BF6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14</w:t>
            </w:r>
          </w:p>
        </w:tc>
      </w:tr>
      <w:tr w:rsidR="007F591F" w:rsidRPr="00F641BF" w14:paraId="5E7BA477" w14:textId="77777777" w:rsidTr="00404866">
        <w:tc>
          <w:tcPr>
            <w:tcW w:w="0" w:type="auto"/>
            <w:tcBorders>
              <w:top w:val="single" w:sz="2" w:space="0" w:color="E5E7EB"/>
              <w:left w:val="single" w:sz="2" w:space="0" w:color="E5E7EB"/>
              <w:bottom w:val="single" w:sz="2" w:space="0" w:color="E5E7EB"/>
              <w:right w:val="single" w:sz="2" w:space="0" w:color="E5E7EB"/>
            </w:tcBorders>
            <w:vAlign w:val="bottom"/>
            <w:hideMark/>
          </w:tcPr>
          <w:p w14:paraId="28713F8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5. Entry Mode Strategy and Strategic Synthesis</w:t>
            </w:r>
          </w:p>
        </w:tc>
        <w:tc>
          <w:tcPr>
            <w:tcW w:w="0" w:type="auto"/>
            <w:tcBorders>
              <w:top w:val="single" w:sz="2" w:space="0" w:color="E5E7EB"/>
              <w:left w:val="single" w:sz="2" w:space="0" w:color="E5E7EB"/>
              <w:bottom w:val="single" w:sz="2" w:space="0" w:color="E5E7EB"/>
              <w:right w:val="single" w:sz="2" w:space="0" w:color="E5E7EB"/>
            </w:tcBorders>
            <w:vAlign w:val="bottom"/>
            <w:hideMark/>
          </w:tcPr>
          <w:p w14:paraId="1B9FDA0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16</w:t>
            </w:r>
          </w:p>
        </w:tc>
      </w:tr>
      <w:tr w:rsidR="007F591F" w:rsidRPr="00F641BF" w14:paraId="64439BD5" w14:textId="77777777" w:rsidTr="00404866">
        <w:tc>
          <w:tcPr>
            <w:tcW w:w="0" w:type="auto"/>
            <w:tcBorders>
              <w:top w:val="single" w:sz="2" w:space="0" w:color="E5E7EB"/>
              <w:left w:val="single" w:sz="2" w:space="0" w:color="E5E7EB"/>
              <w:bottom w:val="single" w:sz="2" w:space="0" w:color="E5E7EB"/>
              <w:right w:val="single" w:sz="2" w:space="0" w:color="E5E7EB"/>
            </w:tcBorders>
            <w:vAlign w:val="bottom"/>
            <w:hideMark/>
          </w:tcPr>
          <w:p w14:paraId="4861615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6. Conclusion and Recommendations</w:t>
            </w:r>
          </w:p>
        </w:tc>
        <w:tc>
          <w:tcPr>
            <w:tcW w:w="0" w:type="auto"/>
            <w:tcBorders>
              <w:top w:val="single" w:sz="2" w:space="0" w:color="E5E7EB"/>
              <w:left w:val="single" w:sz="2" w:space="0" w:color="E5E7EB"/>
              <w:bottom w:val="single" w:sz="2" w:space="0" w:color="E5E7EB"/>
              <w:right w:val="single" w:sz="2" w:space="0" w:color="E5E7EB"/>
            </w:tcBorders>
            <w:vAlign w:val="bottom"/>
            <w:hideMark/>
          </w:tcPr>
          <w:p w14:paraId="5AE026F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19</w:t>
            </w:r>
          </w:p>
        </w:tc>
      </w:tr>
      <w:tr w:rsidR="007F591F" w:rsidRPr="00F641BF" w14:paraId="3645DADF" w14:textId="77777777" w:rsidTr="00404866">
        <w:tc>
          <w:tcPr>
            <w:tcW w:w="0" w:type="auto"/>
            <w:tcBorders>
              <w:top w:val="single" w:sz="2" w:space="0" w:color="E5E7EB"/>
              <w:left w:val="single" w:sz="2" w:space="0" w:color="E5E7EB"/>
              <w:bottom w:val="single" w:sz="2" w:space="0" w:color="E5E7EB"/>
              <w:right w:val="single" w:sz="2" w:space="0" w:color="E5E7EB"/>
            </w:tcBorders>
            <w:vAlign w:val="bottom"/>
            <w:hideMark/>
          </w:tcPr>
          <w:p w14:paraId="10BE2CD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References</w:t>
            </w:r>
          </w:p>
        </w:tc>
        <w:tc>
          <w:tcPr>
            <w:tcW w:w="0" w:type="auto"/>
            <w:tcBorders>
              <w:top w:val="single" w:sz="2" w:space="0" w:color="E5E7EB"/>
              <w:left w:val="single" w:sz="2" w:space="0" w:color="E5E7EB"/>
              <w:bottom w:val="single" w:sz="2" w:space="0" w:color="E5E7EB"/>
              <w:right w:val="single" w:sz="2" w:space="0" w:color="E5E7EB"/>
            </w:tcBorders>
            <w:vAlign w:val="bottom"/>
            <w:hideMark/>
          </w:tcPr>
          <w:p w14:paraId="6ACC2F7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20</w:t>
            </w:r>
          </w:p>
        </w:tc>
      </w:tr>
      <w:tr w:rsidR="007F591F" w:rsidRPr="00F641BF" w14:paraId="75A9C910" w14:textId="77777777" w:rsidTr="00404866">
        <w:tc>
          <w:tcPr>
            <w:tcW w:w="0" w:type="auto"/>
            <w:tcBorders>
              <w:top w:val="single" w:sz="2" w:space="0" w:color="E5E7EB"/>
              <w:left w:val="single" w:sz="2" w:space="0" w:color="E5E7EB"/>
              <w:bottom w:val="single" w:sz="2" w:space="0" w:color="E5E7EB"/>
              <w:right w:val="single" w:sz="2" w:space="0" w:color="E5E7EB"/>
            </w:tcBorders>
            <w:vAlign w:val="bottom"/>
            <w:hideMark/>
          </w:tcPr>
          <w:p w14:paraId="30EA736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Reflective Account</w:t>
            </w:r>
          </w:p>
        </w:tc>
        <w:tc>
          <w:tcPr>
            <w:tcW w:w="0" w:type="auto"/>
            <w:tcBorders>
              <w:top w:val="single" w:sz="2" w:space="0" w:color="E5E7EB"/>
              <w:left w:val="single" w:sz="2" w:space="0" w:color="E5E7EB"/>
              <w:bottom w:val="single" w:sz="2" w:space="0" w:color="E5E7EB"/>
              <w:right w:val="single" w:sz="2" w:space="0" w:color="E5E7EB"/>
            </w:tcBorders>
            <w:vAlign w:val="bottom"/>
            <w:hideMark/>
          </w:tcPr>
          <w:p w14:paraId="2D5A20D1" w14:textId="4090A58E"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2</w:t>
            </w:r>
            <w:r w:rsidR="00C337F0" w:rsidRPr="00F641BF">
              <w:rPr>
                <w:rFonts w:ascii="Arial" w:eastAsia="Times New Roman" w:hAnsi="Arial" w:cs="Arial"/>
                <w:kern w:val="36"/>
                <w:lang w:eastAsia="en-GB"/>
                <w14:ligatures w14:val="none"/>
              </w:rPr>
              <w:t>9</w:t>
            </w:r>
          </w:p>
        </w:tc>
      </w:tr>
    </w:tbl>
    <w:p w14:paraId="0D937489" w14:textId="602CAA85"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2702696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00E7AF9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0F30CC9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76745D1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53DEFB2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4F8CB23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21D730A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5819F64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75A8587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6C0E298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6CEA59B3"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lastRenderedPageBreak/>
        <w:t>EXECUTIVE SUMMARY</w:t>
      </w:r>
    </w:p>
    <w:p w14:paraId="75800F2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This report evaluates Aldi's potential market entry into India, where the German discount retailer currently maintains no operational presence. Aldi operates approximately 12,000 stores across 11 countries with combined revenues exceeding €130 billion, whilst India's retail market is valued at $850 billion and projected to reach $1.3 trillion by 2028.</w:t>
      </w:r>
    </w:p>
    <w:p w14:paraId="4CD13C6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Applying Bartlett and Ghoshal's (1989) framework, Aldi is classified as pursuing an international strategy with global integration tendencies. The company transfers its proven German operational model across markets with minimal adaptation, prioritising standardisation and efficiency over local responsiveness. This strategic orientation creates potential tensions with India's heterogeneous consumer landscape and fragmented retail infrastructure.</w:t>
      </w:r>
    </w:p>
    <w:p w14:paraId="120820E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The macro-environmental analysis reveals contradictory signals. India offers attractive GDP growth (6-7% annually), expanding middle-class consumption, and digitalisation trends supporting organised retail. However, regulatory barriers—particularly FDI restrictions prohibiting foreign-owned multi-brand retail—directly constrain Aldi's preferred wholly-owned operational model. Infrastructure fragmentation, particularly cold chain logistics deficits, undermines operational efficiency advantages. Cultural factors including daily fresh shopping patterns, private label scepticism, and regional diversity challenge Aldi's standardised limited-assortment approach.</w:t>
      </w:r>
    </w:p>
    <w:p w14:paraId="5CE308B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Dunning's OLI framework analysis identifies strong ownership advantages in operational efficiency and procurement capabilities, yet location disadvantages in regulatory complexity and infrastructure deficits appear significant. Internalisation logic favours wholly-owned operations for quality control, but regulatory restrictions force partnership consideration.</w:t>
      </w:r>
    </w:p>
    <w:p w14:paraId="0CD1792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 xml:space="preserve">The recommended entry mode is a phased minority joint venture (26-49% initial stake) with an established Indian retail partner, beginning with 10-15 pilot stores in one metropolitan market. This approach balances regulatory compliance, risk mitigation, and local knowledge access whilst preserving operational influence </w:t>
      </w:r>
      <w:r w:rsidRPr="00F641BF">
        <w:rPr>
          <w:rFonts w:ascii="Arial" w:eastAsia="Times New Roman" w:hAnsi="Arial" w:cs="Arial"/>
          <w:kern w:val="36"/>
          <w:lang w:eastAsia="en-GB"/>
          <w14:ligatures w14:val="none"/>
        </w:rPr>
        <w:lastRenderedPageBreak/>
        <w:t>through governance arrangements. However, fundamental questions about strategic fit persist given required model adaptations and partnership complexities conflicting with Aldi's historical preferences.</w:t>
      </w:r>
    </w:p>
    <w:p w14:paraId="5B214A2B" w14:textId="007E0586"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272749A3"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1. INTRODUCTION</w:t>
      </w:r>
    </w:p>
    <w:p w14:paraId="744C1D8F" w14:textId="77777777" w:rsidR="0059577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Aldi is one of the world's largest discount retailers, operating around 12,000 stores across 11 countries with annual revenues exceeding €130 billion. Its business model focuses on operational efficiency, limited product assortment and strong private-label offerings.</w:t>
      </w:r>
      <w:r w:rsidR="007F591F" w:rsidRPr="00F641BF">
        <w:rPr>
          <w:rFonts w:ascii="Arial" w:eastAsia="Times New Roman" w:hAnsi="Arial" w:cs="Arial"/>
          <w:kern w:val="36"/>
          <w:lang w:eastAsia="en-GB"/>
          <w14:ligatures w14:val="none"/>
        </w:rPr>
        <w:t xml:space="preserve"> Aldi's business model emphasises limited SKU ranges (approximately 1,400-1,800 products versus 30,000+ in conventional supermarkets), private label dominance (circa 90% of assortment), minimal marketing expenditure, and operational efficiency prioritisation (Ellickson, 2016). This approach delivers cost advantages enabling aggressive pricing whilst maintaining quality standards that differentiate Aldi from ultra-discount competitors.</w:t>
      </w:r>
    </w:p>
    <w:p w14:paraId="588A2B68" w14:textId="5B6CFB8C" w:rsidR="00595771" w:rsidRPr="00F641BF" w:rsidRDefault="0059577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noProof/>
          <w:kern w:val="36"/>
          <w:lang w:eastAsia="en-GB"/>
          <w14:ligatures w14:val="none"/>
        </w:rPr>
        <w:drawing>
          <wp:inline distT="0" distB="0" distL="0" distR="0" wp14:anchorId="7EFB177A" wp14:editId="66074D51">
            <wp:extent cx="5731510" cy="3219450"/>
            <wp:effectExtent l="0" t="0" r="0" b="6350"/>
            <wp:docPr id="1346450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450440" name=""/>
                    <pic:cNvPicPr/>
                  </pic:nvPicPr>
                  <pic:blipFill>
                    <a:blip r:embed="rId9"/>
                    <a:stretch>
                      <a:fillRect/>
                    </a:stretch>
                  </pic:blipFill>
                  <pic:spPr>
                    <a:xfrm>
                      <a:off x="0" y="0"/>
                      <a:ext cx="5731510" cy="3219450"/>
                    </a:xfrm>
                    <a:prstGeom prst="rect">
                      <a:avLst/>
                    </a:prstGeom>
                  </pic:spPr>
                </pic:pic>
              </a:graphicData>
            </a:graphic>
          </wp:inline>
        </w:drawing>
      </w:r>
    </w:p>
    <w:p w14:paraId="353FD9EC" w14:textId="7547A4CC" w:rsidR="00595771" w:rsidRPr="00F641BF" w:rsidRDefault="0059577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Figure 1: Aldi's discount retail business model based on operational efficiency, limited assortment and private-label products.</w:t>
      </w:r>
    </w:p>
    <w:p w14:paraId="309CE36A" w14:textId="7A8191F3"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India's retail landscape presents a contrasting context. As the world's fifth-largest retail market valued at approximately $850 billion in 2023, Indian retail remains dominated by traditional trade, with an estimated 88% of transactions occurring through small independent stores, wet markets, and street vendors (Deloitte, 2024). Modern retail formats, whilst growing rapidly at 15-20% annually, serve primarily urban affluent segments and command only 12% market share nationally</w:t>
      </w:r>
      <w:r w:rsidR="000116E0" w:rsidRPr="00F641BF">
        <w:rPr>
          <w:rFonts w:ascii="Arial" w:eastAsia="Times New Roman" w:hAnsi="Arial" w:cs="Arial"/>
          <w:kern w:val="36"/>
          <w:lang w:eastAsia="en-GB"/>
          <w14:ligatures w14:val="none"/>
        </w:rPr>
        <w:t xml:space="preserve">. </w:t>
      </w:r>
      <w:r w:rsidRPr="00F641BF">
        <w:rPr>
          <w:rFonts w:ascii="Arial" w:eastAsia="Times New Roman" w:hAnsi="Arial" w:cs="Arial"/>
          <w:kern w:val="36"/>
          <w:lang w:eastAsia="en-GB"/>
          <w14:ligatures w14:val="none"/>
        </w:rPr>
        <w:t>The market exhibits extraordinary heterogeneity across geographic regions, income segments, linguistic groups, and cultural communities, creating complexity that challenges standardised international retail formats.</w:t>
      </w:r>
    </w:p>
    <w:p w14:paraId="0DCD1B2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Critically, as of June 2026, Aldi maintains no operational presence, announced expansion plans, or partnership agreements in India. This distinguishes the analysis from competitors including Walmart (which acquired majority stake in Flipkart in 2018), Carrefour (which exited India in 2014), and IKEA (operating since 2018), and enables genuine greenfield market entry evaluation.</w:t>
      </w:r>
    </w:p>
    <w:p w14:paraId="109738C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This report's purpose is to conduct theoretically-informed assessment of India's attractiveness as an expansion market for Aldi, applying established international business frameworks to evaluate strategic fit and formulate evidence-based recommendations. Specific objectives include: classifying Aldi's international strategy using Bartlett and Ghoshal's (1989) typology; conducting macro-environmental analysis focused on factors material to discount retail operations; applying Dunning's (1988) eclectic paradigm to assess ownership, location, and internalisation advantages; analysing historical entry patterns and alternative entry modes; and synthesising findings into justified strategic recommendations. The analysis draws on academic literature, industry reports, government data, and company sources spanning 2022-2026 to ensure currency and relevance.</w:t>
      </w:r>
    </w:p>
    <w:p w14:paraId="1469F812" w14:textId="7DA68A8A"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405E92D8"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2. ORGANISATIONAL CLASSIFICATION AND GLOBAL STRATEGY</w:t>
      </w:r>
    </w:p>
    <w:p w14:paraId="07344D2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 xml:space="preserve">Bartlett and Ghoshal's (1989) framework classifies multinational enterprises based on their strategic orientation regarding global integration versus local responsiveness, distinguishing between international, global, multinational, and </w:t>
      </w:r>
      <w:r w:rsidRPr="00F641BF">
        <w:rPr>
          <w:rFonts w:ascii="Arial" w:eastAsia="Times New Roman" w:hAnsi="Arial" w:cs="Arial"/>
          <w:kern w:val="36"/>
          <w:lang w:eastAsia="en-GB"/>
          <w14:ligatures w14:val="none"/>
        </w:rPr>
        <w:lastRenderedPageBreak/>
        <w:t>transnational organisational types. Applying this typology to Aldi requires examining value creation logic, knowledge transfer patterns, and subsidiary roles across the company's international network.</w:t>
      </w:r>
    </w:p>
    <w:p w14:paraId="7C816F9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Aldi demonstrates characteristics predominantly aligning with the </w:t>
      </w:r>
      <w:r w:rsidRPr="00F641BF">
        <w:rPr>
          <w:rFonts w:ascii="Arial" w:eastAsia="Times New Roman" w:hAnsi="Arial" w:cs="Arial"/>
          <w:b/>
          <w:bCs/>
          <w:kern w:val="36"/>
          <w:lang w:eastAsia="en-GB"/>
          <w14:ligatures w14:val="none"/>
        </w:rPr>
        <w:t>international strategy</w:t>
      </w:r>
      <w:r w:rsidRPr="00F641BF">
        <w:rPr>
          <w:rFonts w:ascii="Arial" w:eastAsia="Times New Roman" w:hAnsi="Arial" w:cs="Arial"/>
          <w:kern w:val="36"/>
          <w:lang w:eastAsia="en-GB"/>
          <w14:ligatures w14:val="none"/>
        </w:rPr>
        <w:t> classification, exhibiting evolutionary tendencies toward stronger global integration. The company's competitive advantage derives fundamentally from operational efficiency achieved through extreme standardisation across markets. Store formats, product selection methodologies, supplier relationship structures, and operational processes remain remarkably consistent whether in Germany, the United States, or Australia (Colla, 2023; Reinartz and Wiegand, 2022). Knowledge and capabilities developed at German headquarters are systematically transferred to foreign subsidiaries through rigorous training programmes, detailed operational manuals, and intensive management oversight. Local subsidiary managers implement the proven Aldi formula rather than developing market-specific innovations or adapting substantially to local conditions.</w:t>
      </w:r>
    </w:p>
    <w:p w14:paraId="0CA3EA0D" w14:textId="4EB03864"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This international strategic orientation manifests in several observable patterns. Product assortment demonstrates high standardisation, with approximately 85-90% SKU overlap across markets and only 10-15% local variation accommodating specific regional preferences—for example, increased fresh produce variety in Australian stores or ethnic food categories in UK locations serving diverse populations Store design follows identical principles globally: simple layouts, minimal fixtures, product displays in original shipping cartons, and limited customer service infrastructure. Supplier relationships, particularly for private label products, leverage global purchasing power with identical products marketed under different brand names across countries. Operational metrics including sales per square metre, inventory turnover, and labour productivity maintain consistency suggesting successful knowledge transfer and standardisation achievement (Brandes, 2014).</w:t>
      </w:r>
    </w:p>
    <w:p w14:paraId="0756AC8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 xml:space="preserve">However, Aldi exhibits stronger global integration than classic international firms. The company pursues economies of scale through coordinated supplier relationships, particularly for non-food general merchandise where identical products appear in multiple country markets under the Aldi private label portfolio (Reinartz and Wiegand, 2022). Purchasing power is leveraged centrally for categories including </w:t>
      </w:r>
      <w:r w:rsidRPr="00F641BF">
        <w:rPr>
          <w:rFonts w:ascii="Arial" w:eastAsia="Times New Roman" w:hAnsi="Arial" w:cs="Arial"/>
          <w:kern w:val="36"/>
          <w:lang w:eastAsia="en-GB"/>
          <w14:ligatures w14:val="none"/>
        </w:rPr>
        <w:lastRenderedPageBreak/>
        <w:t>electronics, household goods, and seasonal items. Operational learnings are systematically shared across geographic markets through management rotations, best practice documentation, and regular inter-market forums. This coordination exceeds the predominantly one-way centre-to-periphery knowledge flow characteristic of traditional international strategies.</w:t>
      </w:r>
    </w:p>
    <w:p w14:paraId="19E968D4" w14:textId="5858DF77" w:rsidR="00E021E8" w:rsidRPr="00F641BF" w:rsidRDefault="00E021E8"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Although Aldi demonstrates some local adaptation, standardisation remains central to its strategy. This supports classification as an international strategy with global integration tendencies.</w:t>
      </w:r>
    </w:p>
    <w:p w14:paraId="7399885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Critical Evaluation</w:t>
      </w:r>
    </w:p>
    <w:p w14:paraId="6410F0B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Whilst Bartlett and Ghoshal's framework provides useful analytical structure, it presents limitations when applied to Aldi's model. The typology assumes the integration-responsiveness trade-off represents the primary strategic dimension, potentially overlooking alternative competitive advantage sources. Aldi's success derives not from optimising this balance but from challenging industry conventions about assortment breadth, brand investment, and service levels (Ellickson, 2016). The discount model creates value through operational efficiency rather than sophisticated global-local balancing.</w:t>
      </w:r>
    </w:p>
    <w:p w14:paraId="78F048D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Verbeke and Asmussen (2016) critique the framework for insufficient attention to regional strategy, noting most multinationals operate primarily within home regions rather than globally. Aldi's footprint concentrates in Europe with selective expansion to culturally proximate markets (Australia, United States), suggesting regional rather than truly global logic—a dimension the original framework inadequately captures. Furthermore, recent scholarship emphasises digital platforms and asset-light expansion modes in contemporary international strategy (Nambisan et al., 2019), yet Aldi's model remains decidedly asset-heavy with wholly-owned physical networks requiring substantial capital. Whether frameworks developed in the pre-digital era adequately capture current realities warrants questioning.</w:t>
      </w:r>
    </w:p>
    <w:p w14:paraId="35284E0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 xml:space="preserve">Nevertheless, the classification illuminates Aldi's international value creation approach: transferring proven operational models across markets with minimal adaptation, achieving advantage through replication efficiency rather than local </w:t>
      </w:r>
      <w:r w:rsidRPr="00F641BF">
        <w:rPr>
          <w:rFonts w:ascii="Arial" w:eastAsia="Times New Roman" w:hAnsi="Arial" w:cs="Arial"/>
          <w:kern w:val="36"/>
          <w:lang w:eastAsia="en-GB"/>
          <w14:ligatures w14:val="none"/>
        </w:rPr>
        <w:lastRenderedPageBreak/>
        <w:t>innovation. This orientation creates specific implications for Indian market entry, suggesting Aldi would resist substantial model adaptation despite India's distinctive characteristics potentially demanding such flexibility.</w:t>
      </w:r>
    </w:p>
    <w:p w14:paraId="66474E0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Table 1: Bartlett and Ghoshal Classification Summary</w:t>
      </w: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4"/>
        <w:gridCol w:w="3182"/>
        <w:gridCol w:w="3714"/>
      </w:tblGrid>
      <w:tr w:rsidR="007F591F" w:rsidRPr="00F641BF" w14:paraId="5DB76847" w14:textId="77777777" w:rsidTr="00352DEE">
        <w:trPr>
          <w:tblHeader/>
        </w:trPr>
        <w:tc>
          <w:tcPr>
            <w:tcW w:w="0" w:type="auto"/>
            <w:noWrap/>
            <w:vAlign w:val="bottom"/>
            <w:hideMark/>
          </w:tcPr>
          <w:p w14:paraId="5888F4F9"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Dimension</w:t>
            </w:r>
          </w:p>
        </w:tc>
        <w:tc>
          <w:tcPr>
            <w:tcW w:w="0" w:type="auto"/>
            <w:noWrap/>
            <w:vAlign w:val="bottom"/>
            <w:hideMark/>
          </w:tcPr>
          <w:p w14:paraId="192AE886"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Aldi Characteristics</w:t>
            </w:r>
          </w:p>
        </w:tc>
        <w:tc>
          <w:tcPr>
            <w:tcW w:w="0" w:type="auto"/>
            <w:noWrap/>
            <w:vAlign w:val="bottom"/>
            <w:hideMark/>
          </w:tcPr>
          <w:p w14:paraId="1E271E05"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Strategic Implication</w:t>
            </w:r>
          </w:p>
        </w:tc>
      </w:tr>
      <w:tr w:rsidR="007F591F" w:rsidRPr="00F641BF" w14:paraId="6C79A3BA" w14:textId="77777777" w:rsidTr="00352DEE">
        <w:tc>
          <w:tcPr>
            <w:tcW w:w="0" w:type="auto"/>
            <w:vAlign w:val="bottom"/>
            <w:hideMark/>
          </w:tcPr>
          <w:p w14:paraId="60284A0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Configuration of assets</w:t>
            </w:r>
          </w:p>
        </w:tc>
        <w:tc>
          <w:tcPr>
            <w:tcW w:w="0" w:type="auto"/>
            <w:vAlign w:val="bottom"/>
            <w:hideMark/>
          </w:tcPr>
          <w:p w14:paraId="04ADC1E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Standardised store formats, centralised procurement</w:t>
            </w:r>
          </w:p>
        </w:tc>
        <w:tc>
          <w:tcPr>
            <w:tcW w:w="0" w:type="auto"/>
            <w:vAlign w:val="bottom"/>
            <w:hideMark/>
          </w:tcPr>
          <w:p w14:paraId="18F43A9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International/Global</w:t>
            </w:r>
          </w:p>
        </w:tc>
      </w:tr>
      <w:tr w:rsidR="007F591F" w:rsidRPr="00F641BF" w14:paraId="3A57BC29" w14:textId="77777777" w:rsidTr="00352DEE">
        <w:tc>
          <w:tcPr>
            <w:tcW w:w="0" w:type="auto"/>
            <w:vAlign w:val="bottom"/>
            <w:hideMark/>
          </w:tcPr>
          <w:p w14:paraId="118AF8B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Role of overseas operations</w:t>
            </w:r>
          </w:p>
        </w:tc>
        <w:tc>
          <w:tcPr>
            <w:tcW w:w="0" w:type="auto"/>
            <w:vAlign w:val="bottom"/>
            <w:hideMark/>
          </w:tcPr>
          <w:p w14:paraId="1B74CF7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Implement proven German model; minimal local innovation</w:t>
            </w:r>
          </w:p>
        </w:tc>
        <w:tc>
          <w:tcPr>
            <w:tcW w:w="0" w:type="auto"/>
            <w:vAlign w:val="bottom"/>
            <w:hideMark/>
          </w:tcPr>
          <w:p w14:paraId="6B47BE2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International</w:t>
            </w:r>
          </w:p>
        </w:tc>
      </w:tr>
      <w:tr w:rsidR="007F591F" w:rsidRPr="00F641BF" w14:paraId="3F1E97B0" w14:textId="77777777" w:rsidTr="00352DEE">
        <w:tc>
          <w:tcPr>
            <w:tcW w:w="0" w:type="auto"/>
            <w:vAlign w:val="bottom"/>
            <w:hideMark/>
          </w:tcPr>
          <w:p w14:paraId="52DA357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Knowledge development</w:t>
            </w:r>
          </w:p>
        </w:tc>
        <w:tc>
          <w:tcPr>
            <w:tcW w:w="0" w:type="auto"/>
            <w:vAlign w:val="bottom"/>
            <w:hideMark/>
          </w:tcPr>
          <w:p w14:paraId="184184B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Centre-to-periphery transfer of operational expertise</w:t>
            </w:r>
          </w:p>
        </w:tc>
        <w:tc>
          <w:tcPr>
            <w:tcW w:w="0" w:type="auto"/>
            <w:vAlign w:val="bottom"/>
            <w:hideMark/>
          </w:tcPr>
          <w:p w14:paraId="248C8D8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International</w:t>
            </w:r>
          </w:p>
        </w:tc>
      </w:tr>
      <w:tr w:rsidR="007F591F" w:rsidRPr="00F641BF" w14:paraId="37847CAB" w14:textId="77777777" w:rsidTr="00352DEE">
        <w:tc>
          <w:tcPr>
            <w:tcW w:w="0" w:type="auto"/>
            <w:vAlign w:val="bottom"/>
            <w:hideMark/>
          </w:tcPr>
          <w:p w14:paraId="13AE096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Global integration</w:t>
            </w:r>
          </w:p>
        </w:tc>
        <w:tc>
          <w:tcPr>
            <w:tcW w:w="0" w:type="auto"/>
            <w:vAlign w:val="bottom"/>
            <w:hideMark/>
          </w:tcPr>
          <w:p w14:paraId="16AAFBA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 efficiency focus; coordinated procurement for scale</w:t>
            </w:r>
          </w:p>
        </w:tc>
        <w:tc>
          <w:tcPr>
            <w:tcW w:w="0" w:type="auto"/>
            <w:vAlign w:val="bottom"/>
            <w:hideMark/>
          </w:tcPr>
          <w:p w14:paraId="3883E8B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Global tendencies</w:t>
            </w:r>
          </w:p>
        </w:tc>
      </w:tr>
      <w:tr w:rsidR="007F591F" w:rsidRPr="00F641BF" w14:paraId="60D29E6B" w14:textId="77777777" w:rsidTr="00352DEE">
        <w:tc>
          <w:tcPr>
            <w:tcW w:w="0" w:type="auto"/>
            <w:vAlign w:val="bottom"/>
            <w:hideMark/>
          </w:tcPr>
          <w:p w14:paraId="70AF761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Local responsiveness</w:t>
            </w:r>
          </w:p>
        </w:tc>
        <w:tc>
          <w:tcPr>
            <w:tcW w:w="0" w:type="auto"/>
            <w:vAlign w:val="bottom"/>
            <w:hideMark/>
          </w:tcPr>
          <w:p w14:paraId="16519B7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Limited (10-15% SKU variation only)</w:t>
            </w:r>
          </w:p>
        </w:tc>
        <w:tc>
          <w:tcPr>
            <w:tcW w:w="0" w:type="auto"/>
            <w:vAlign w:val="bottom"/>
            <w:hideMark/>
          </w:tcPr>
          <w:p w14:paraId="53C5A83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Low</w:t>
            </w:r>
          </w:p>
        </w:tc>
      </w:tr>
      <w:tr w:rsidR="007F591F" w:rsidRPr="00F641BF" w14:paraId="7AB1E0E2" w14:textId="77777777" w:rsidTr="00352DEE">
        <w:tc>
          <w:tcPr>
            <w:tcW w:w="0" w:type="auto"/>
            <w:vAlign w:val="bottom"/>
            <w:hideMark/>
          </w:tcPr>
          <w:p w14:paraId="0B144C4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Competitive advantage</w:t>
            </w:r>
          </w:p>
        </w:tc>
        <w:tc>
          <w:tcPr>
            <w:tcW w:w="0" w:type="auto"/>
            <w:vAlign w:val="bottom"/>
            <w:hideMark/>
          </w:tcPr>
          <w:p w14:paraId="24C0399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Operational efficiency through standardisation</w:t>
            </w:r>
          </w:p>
        </w:tc>
        <w:tc>
          <w:tcPr>
            <w:tcW w:w="0" w:type="auto"/>
            <w:vAlign w:val="bottom"/>
            <w:hideMark/>
          </w:tcPr>
          <w:p w14:paraId="7D6DDC8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International/Global</w:t>
            </w:r>
          </w:p>
        </w:tc>
      </w:tr>
      <w:tr w:rsidR="007F591F" w:rsidRPr="00F641BF" w14:paraId="0741248A" w14:textId="77777777" w:rsidTr="00352DEE">
        <w:tc>
          <w:tcPr>
            <w:tcW w:w="0" w:type="auto"/>
            <w:vAlign w:val="bottom"/>
            <w:hideMark/>
          </w:tcPr>
          <w:p w14:paraId="150D470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Overall Classification</w:t>
            </w:r>
          </w:p>
        </w:tc>
        <w:tc>
          <w:tcPr>
            <w:tcW w:w="0" w:type="auto"/>
            <w:vAlign w:val="bottom"/>
            <w:hideMark/>
          </w:tcPr>
          <w:p w14:paraId="3969791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International strategy with global integration tendencies</w:t>
            </w:r>
          </w:p>
        </w:tc>
        <w:tc>
          <w:tcPr>
            <w:tcW w:w="0" w:type="auto"/>
            <w:vAlign w:val="bottom"/>
            <w:hideMark/>
          </w:tcPr>
          <w:p w14:paraId="1E56E94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Standardisation priority may conflict with Indian market adaptation requirements</w:t>
            </w:r>
          </w:p>
        </w:tc>
      </w:tr>
    </w:tbl>
    <w:p w14:paraId="6923756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i/>
          <w:iCs/>
          <w:kern w:val="36"/>
          <w:lang w:eastAsia="en-GB"/>
          <w14:ligatures w14:val="none"/>
        </w:rPr>
        <w:t>Source: Author analysis based on Bartlett and Ghoshal (1989)</w:t>
      </w:r>
    </w:p>
    <w:p w14:paraId="105B13BC" w14:textId="791DDE6B"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1110D2B0"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3. MACRO-ENVIRONMENTAL APPRAISAL AND MARKET ATTRACTIVENESS</w:t>
      </w:r>
    </w:p>
    <w:p w14:paraId="4D6F770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This section analyses political, economic, legal, and cultural factors specifically relevant to Aldi's potential operations, avoiding generic environmental description in favour of focused evaluation of factors directly impacting discount retail viability.</w:t>
      </w:r>
    </w:p>
    <w:p w14:paraId="483690F3"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lastRenderedPageBreak/>
        <w:t>3.1 Political Factors</w:t>
      </w:r>
    </w:p>
    <w:p w14:paraId="70639DB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India's political environment combines liberalising policy intent with persistent regulatory constraints directly affecting foreign retail investment. The BJP government since 2014 has pursued economic liberalisation through "Make in India" and "Digital India" initiatives, signalling general FDI receptivity (Ministry of Commerce and Industry, 2023). However, retail sector FDI policy remains restrictive relative to other sectors, reflecting the political influence of India's estimated 13 million small independent retailers who perceive organised retail as threatening their livelihoods (Mukherjee and Patel, 2022).</w:t>
      </w:r>
    </w:p>
    <w:p w14:paraId="38A6040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Current regulations permit 100% foreign ownership in single-brand retail trade (SBRT) subject to conditions including mandatory 30% local sourcing requirements for brands opening physical stores (Department for Promotion of Industry and Internal Trade, 2024). Multi-brand retail trade (MBRT)—the category under which Aldi would logically operate given its multi-brand private label portfolio—permits FDI only in business-to-business wholesale operations, prohibiting direct-to-consumer retail under 100% foreign ownership (DPIIT, 2024). This regulatory architecture directly constrains Aldi's traditional ownership structure.</w:t>
      </w:r>
    </w:p>
    <w:tbl>
      <w:tblPr>
        <w:tblW w:w="6857" w:type="dxa"/>
        <w:jc w:val="center"/>
        <w:tblCellSpacing w:w="15" w:type="dxa"/>
        <w:tblBorders>
          <w:bottom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9"/>
        <w:gridCol w:w="3404"/>
        <w:gridCol w:w="954"/>
      </w:tblGrid>
      <w:tr w:rsidR="00D14221" w:rsidRPr="00F641BF" w14:paraId="24557B61" w14:textId="77777777" w:rsidTr="000B25A1">
        <w:trPr>
          <w:trHeight w:val="354"/>
          <w:tblHeader/>
          <w:tblCellSpacing w:w="15" w:type="dxa"/>
          <w:jc w:val="center"/>
        </w:trPr>
        <w:tc>
          <w:tcPr>
            <w:tcW w:w="0" w:type="auto"/>
            <w:vAlign w:val="center"/>
            <w:hideMark/>
          </w:tcPr>
          <w:p w14:paraId="01B3BF35" w14:textId="77777777" w:rsidR="00D14221" w:rsidRPr="00F641BF" w:rsidRDefault="00D14221" w:rsidP="00F641BF">
            <w:pPr>
              <w:spacing w:after="0" w:line="360" w:lineRule="auto"/>
              <w:jc w:val="center"/>
              <w:rPr>
                <w:rFonts w:ascii="Arial" w:eastAsia="Times New Roman" w:hAnsi="Arial" w:cs="Arial"/>
                <w:b/>
                <w:bCs/>
                <w:kern w:val="0"/>
                <w:lang w:eastAsia="en-GB"/>
                <w14:ligatures w14:val="none"/>
              </w:rPr>
            </w:pPr>
            <w:r w:rsidRPr="00F641BF">
              <w:rPr>
                <w:rFonts w:ascii="Arial" w:eastAsia="Times New Roman" w:hAnsi="Arial" w:cs="Arial"/>
                <w:b/>
                <w:bCs/>
                <w:kern w:val="0"/>
                <w:lang w:eastAsia="en-GB"/>
                <w14:ligatures w14:val="none"/>
              </w:rPr>
              <w:t>Political Factor</w:t>
            </w:r>
          </w:p>
        </w:tc>
        <w:tc>
          <w:tcPr>
            <w:tcW w:w="0" w:type="auto"/>
            <w:vAlign w:val="center"/>
            <w:hideMark/>
          </w:tcPr>
          <w:p w14:paraId="67BB0CBF" w14:textId="77777777" w:rsidR="00D14221" w:rsidRPr="00F641BF" w:rsidRDefault="00D14221" w:rsidP="00F641BF">
            <w:pPr>
              <w:spacing w:after="0" w:line="360" w:lineRule="auto"/>
              <w:jc w:val="center"/>
              <w:rPr>
                <w:rFonts w:ascii="Arial" w:eastAsia="Times New Roman" w:hAnsi="Arial" w:cs="Arial"/>
                <w:b/>
                <w:bCs/>
                <w:kern w:val="0"/>
                <w:lang w:eastAsia="en-GB"/>
                <w14:ligatures w14:val="none"/>
              </w:rPr>
            </w:pPr>
            <w:r w:rsidRPr="00F641BF">
              <w:rPr>
                <w:rFonts w:ascii="Arial" w:eastAsia="Times New Roman" w:hAnsi="Arial" w:cs="Arial"/>
                <w:b/>
                <w:bCs/>
                <w:kern w:val="0"/>
                <w:lang w:eastAsia="en-GB"/>
                <w14:ligatures w14:val="none"/>
              </w:rPr>
              <w:t>Impact on Aldi</w:t>
            </w:r>
          </w:p>
        </w:tc>
        <w:tc>
          <w:tcPr>
            <w:tcW w:w="0" w:type="auto"/>
            <w:vAlign w:val="center"/>
            <w:hideMark/>
          </w:tcPr>
          <w:p w14:paraId="0DE4F9F2" w14:textId="77777777" w:rsidR="00D14221" w:rsidRPr="00F641BF" w:rsidRDefault="00D14221" w:rsidP="00F641BF">
            <w:pPr>
              <w:spacing w:after="0" w:line="360" w:lineRule="auto"/>
              <w:jc w:val="center"/>
              <w:rPr>
                <w:rFonts w:ascii="Arial" w:eastAsia="Times New Roman" w:hAnsi="Arial" w:cs="Arial"/>
                <w:b/>
                <w:bCs/>
                <w:kern w:val="0"/>
                <w:lang w:eastAsia="en-GB"/>
                <w14:ligatures w14:val="none"/>
              </w:rPr>
            </w:pPr>
            <w:r w:rsidRPr="00F641BF">
              <w:rPr>
                <w:rFonts w:ascii="Arial" w:eastAsia="Times New Roman" w:hAnsi="Arial" w:cs="Arial"/>
                <w:b/>
                <w:bCs/>
                <w:kern w:val="0"/>
                <w:lang w:eastAsia="en-GB"/>
                <w14:ligatures w14:val="none"/>
              </w:rPr>
              <w:t>Risk</w:t>
            </w:r>
          </w:p>
        </w:tc>
      </w:tr>
      <w:tr w:rsidR="00D14221" w:rsidRPr="00F641BF" w14:paraId="74D92A01" w14:textId="77777777" w:rsidTr="000B25A1">
        <w:trPr>
          <w:trHeight w:val="354"/>
          <w:tblCellSpacing w:w="15" w:type="dxa"/>
          <w:jc w:val="center"/>
        </w:trPr>
        <w:tc>
          <w:tcPr>
            <w:tcW w:w="0" w:type="auto"/>
            <w:vAlign w:val="center"/>
            <w:hideMark/>
          </w:tcPr>
          <w:p w14:paraId="7E6AF022"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MBRT FDI restrictions</w:t>
            </w:r>
          </w:p>
        </w:tc>
        <w:tc>
          <w:tcPr>
            <w:tcW w:w="0" w:type="auto"/>
            <w:vAlign w:val="center"/>
            <w:hideMark/>
          </w:tcPr>
          <w:p w14:paraId="678B3585"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Prevents wholly-owned entry</w:t>
            </w:r>
          </w:p>
        </w:tc>
        <w:tc>
          <w:tcPr>
            <w:tcW w:w="0" w:type="auto"/>
            <w:vAlign w:val="center"/>
            <w:hideMark/>
          </w:tcPr>
          <w:p w14:paraId="6291222E"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High</w:t>
            </w:r>
          </w:p>
        </w:tc>
      </w:tr>
      <w:tr w:rsidR="00D14221" w:rsidRPr="00F641BF" w14:paraId="653C83AD" w14:textId="77777777" w:rsidTr="000B25A1">
        <w:trPr>
          <w:trHeight w:val="354"/>
          <w:tblCellSpacing w:w="15" w:type="dxa"/>
          <w:jc w:val="center"/>
        </w:trPr>
        <w:tc>
          <w:tcPr>
            <w:tcW w:w="0" w:type="auto"/>
            <w:vAlign w:val="center"/>
            <w:hideMark/>
          </w:tcPr>
          <w:p w14:paraId="4A2D6CC3"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Policy uncertainty</w:t>
            </w:r>
          </w:p>
        </w:tc>
        <w:tc>
          <w:tcPr>
            <w:tcW w:w="0" w:type="auto"/>
            <w:vAlign w:val="center"/>
            <w:hideMark/>
          </w:tcPr>
          <w:p w14:paraId="4BB24D2E"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Creates planning risk</w:t>
            </w:r>
          </w:p>
        </w:tc>
        <w:tc>
          <w:tcPr>
            <w:tcW w:w="0" w:type="auto"/>
            <w:vAlign w:val="center"/>
            <w:hideMark/>
          </w:tcPr>
          <w:p w14:paraId="1247BD79"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Medium</w:t>
            </w:r>
          </w:p>
        </w:tc>
      </w:tr>
      <w:tr w:rsidR="00D14221" w:rsidRPr="00F641BF" w14:paraId="5AF11426" w14:textId="77777777" w:rsidTr="000B25A1">
        <w:trPr>
          <w:trHeight w:val="354"/>
          <w:tblCellSpacing w:w="15" w:type="dxa"/>
          <w:jc w:val="center"/>
        </w:trPr>
        <w:tc>
          <w:tcPr>
            <w:tcW w:w="0" w:type="auto"/>
            <w:vAlign w:val="center"/>
            <w:hideMark/>
          </w:tcPr>
          <w:p w14:paraId="5D9470F1"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State-level differences</w:t>
            </w:r>
          </w:p>
        </w:tc>
        <w:tc>
          <w:tcPr>
            <w:tcW w:w="0" w:type="auto"/>
            <w:vAlign w:val="center"/>
            <w:hideMark/>
          </w:tcPr>
          <w:p w14:paraId="22BDB960"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Requires phased expansion</w:t>
            </w:r>
          </w:p>
        </w:tc>
        <w:tc>
          <w:tcPr>
            <w:tcW w:w="0" w:type="auto"/>
            <w:vAlign w:val="center"/>
            <w:hideMark/>
          </w:tcPr>
          <w:p w14:paraId="637D59F6"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Medium</w:t>
            </w:r>
          </w:p>
        </w:tc>
      </w:tr>
      <w:tr w:rsidR="00D14221" w:rsidRPr="00F641BF" w14:paraId="32C4A5F4" w14:textId="77777777" w:rsidTr="000B25A1">
        <w:trPr>
          <w:trHeight w:val="383"/>
          <w:tblCellSpacing w:w="15" w:type="dxa"/>
          <w:jc w:val="center"/>
        </w:trPr>
        <w:tc>
          <w:tcPr>
            <w:tcW w:w="0" w:type="auto"/>
            <w:vAlign w:val="center"/>
            <w:hideMark/>
          </w:tcPr>
          <w:p w14:paraId="6D9ED137"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Political stability</w:t>
            </w:r>
          </w:p>
        </w:tc>
        <w:tc>
          <w:tcPr>
            <w:tcW w:w="0" w:type="auto"/>
            <w:vAlign w:val="center"/>
            <w:hideMark/>
          </w:tcPr>
          <w:p w14:paraId="00CD1BE7"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Supports long-term investment</w:t>
            </w:r>
          </w:p>
        </w:tc>
        <w:tc>
          <w:tcPr>
            <w:tcW w:w="0" w:type="auto"/>
            <w:vAlign w:val="center"/>
            <w:hideMark/>
          </w:tcPr>
          <w:p w14:paraId="57B41634" w14:textId="77777777" w:rsidR="00D14221" w:rsidRPr="00F641BF" w:rsidRDefault="00D14221" w:rsidP="00F641BF">
            <w:pPr>
              <w:spacing w:after="0" w:line="360" w:lineRule="auto"/>
              <w:rPr>
                <w:rFonts w:ascii="Arial" w:eastAsia="Times New Roman" w:hAnsi="Arial" w:cs="Arial"/>
                <w:kern w:val="0"/>
                <w:lang w:eastAsia="en-GB"/>
                <w14:ligatures w14:val="none"/>
              </w:rPr>
            </w:pPr>
            <w:r w:rsidRPr="00F641BF">
              <w:rPr>
                <w:rFonts w:ascii="Arial" w:eastAsia="Times New Roman" w:hAnsi="Arial" w:cs="Arial"/>
                <w:kern w:val="0"/>
                <w:lang w:eastAsia="en-GB"/>
                <w14:ligatures w14:val="none"/>
              </w:rPr>
              <w:t>Low</w:t>
            </w:r>
          </w:p>
        </w:tc>
      </w:tr>
    </w:tbl>
    <w:p w14:paraId="5A4721AF"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p>
    <w:p w14:paraId="6429783E" w14:textId="0A8D34F2" w:rsidR="00025E33"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 xml:space="preserve">For Aldi specifically, these political factors create structural challenges. The company's wholly-owned operations preference conflicts fundamentally with MBRT restrictions. Classifying Aldi's private labels as separate "single brands" under SBRT regulations would require individual brand approvals and compliance with 30% local sourcing mandates for each—impractical given Aldi's operational model depending on global supplier relationships and standardised procurement (Colla, 2023). </w:t>
      </w:r>
      <w:r w:rsidR="00025E33" w:rsidRPr="00F641BF">
        <w:rPr>
          <w:rFonts w:ascii="Arial" w:eastAsia="Times New Roman" w:hAnsi="Arial" w:cs="Arial"/>
          <w:kern w:val="36"/>
          <w:lang w:eastAsia="en-GB"/>
          <w14:ligatures w14:val="none"/>
        </w:rPr>
        <w:t xml:space="preserve">This </w:t>
      </w:r>
      <w:r w:rsidR="00025E33" w:rsidRPr="00F641BF">
        <w:rPr>
          <w:rFonts w:ascii="Arial" w:eastAsia="Times New Roman" w:hAnsi="Arial" w:cs="Arial"/>
          <w:kern w:val="36"/>
          <w:lang w:eastAsia="en-GB"/>
          <w14:ligatures w14:val="none"/>
        </w:rPr>
        <w:lastRenderedPageBreak/>
        <w:t>creates a significant challenge for Aldi because the company's preferred operating model does not align with current Indian regulations.</w:t>
      </w:r>
    </w:p>
    <w:p w14:paraId="07D790E2" w14:textId="4A1D6145"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Political stability appears reasonably assured nationally, with the BJP maintaining parliamentary majority and no immediate succession concerns. However, policy unpredictability remains elevated, as evidenced by sudden regulatory changes affecting e-commerce FDI, taxation structures, and foreign investment rules in recent years (Deloitte, 2024). This creates investment risk for capital-intensive physical retail networks requiring multi-year strategic commitments.</w:t>
      </w:r>
    </w:p>
    <w:p w14:paraId="73DDD2D0"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3.2 Economic Factors</w:t>
      </w:r>
    </w:p>
    <w:p w14:paraId="1FED75E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India's macroeconomic context presents impressive aggregate growth alongside structural characteristics challenging for discount retail operations. GDP growth has averaged 6-7% annually over the past decade, with IMF projections suggesting continued robust performance through 2028 (International Monetary Fund, 2024). This growth trajectory implies expanding consumer purchasing power and market opportunity fundamentals.</w:t>
      </w:r>
    </w:p>
    <w:p w14:paraId="73D171B0" w14:textId="5ABD909A"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However, per capita GDP of approximately $2,500 (2023) positions India as lower-middle-income, with vast income disparities across regions and population segments (World Bank, 2024). The consumer market exhibits pyramid structure: a small affluent segment (approximately 5% of households) with developed-market purchasing power; an expanding middle class (25-30% of households) with growing discretionary income; and a large base (65-70%) characterised by extreme price sensitivity and constrained consumption</w:t>
      </w:r>
      <w:r w:rsidR="000116E0" w:rsidRPr="00F641BF">
        <w:rPr>
          <w:rFonts w:ascii="Arial" w:eastAsia="Times New Roman" w:hAnsi="Arial" w:cs="Arial"/>
          <w:kern w:val="36"/>
          <w:lang w:eastAsia="en-GB"/>
          <w14:ligatures w14:val="none"/>
        </w:rPr>
        <w:t xml:space="preserve">. </w:t>
      </w:r>
    </w:p>
    <w:p w14:paraId="2F3CB2BA" w14:textId="7F35DA64"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Aldi's discount model theoretically targets middle and lower-middle segments seeking value. Yet Indian price sensitivity differs from developed markets where Aldi operates successfully. Research indicates target segment consumers prioritise absolute lowest price over consistent quality or shopping convenience, frequently visiting multiple stores to optimise spending</w:t>
      </w:r>
      <w:r w:rsidR="000116E0" w:rsidRPr="00F641BF">
        <w:rPr>
          <w:rFonts w:ascii="Arial" w:eastAsia="Times New Roman" w:hAnsi="Arial" w:cs="Arial"/>
          <w:kern w:val="36"/>
          <w:lang w:eastAsia="en-GB"/>
          <w14:ligatures w14:val="none"/>
        </w:rPr>
        <w:t xml:space="preserve">. </w:t>
      </w:r>
      <w:r w:rsidRPr="00F641BF">
        <w:rPr>
          <w:rFonts w:ascii="Arial" w:eastAsia="Times New Roman" w:hAnsi="Arial" w:cs="Arial"/>
          <w:kern w:val="36"/>
          <w:lang w:eastAsia="en-GB"/>
          <w14:ligatures w14:val="none"/>
        </w:rPr>
        <w:t>This behaviour pattern differs from Western markets where Aldi attracts time-pressed middle-class consumers accepting limited assortment for overall basket savings. Whether Aldi's quality-for-</w:t>
      </w:r>
      <w:r w:rsidRPr="00F641BF">
        <w:rPr>
          <w:rFonts w:ascii="Arial" w:eastAsia="Times New Roman" w:hAnsi="Arial" w:cs="Arial"/>
          <w:kern w:val="36"/>
          <w:lang w:eastAsia="en-GB"/>
          <w14:ligatures w14:val="none"/>
        </w:rPr>
        <w:lastRenderedPageBreak/>
        <w:t>price positioning commands premiums over ultra-low-price local alternatives remains uncertain.</w:t>
      </w:r>
    </w:p>
    <w:p w14:paraId="43EB35CD" w14:textId="31C642EE" w:rsidR="00E021E8" w:rsidRPr="00F641BF" w:rsidRDefault="00E021E8"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Consumer spending growth supports organised retail expansion. However, daily fresh-food shopping remains common, creating challenges for Aldi's existing retail model.</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53"/>
        <w:gridCol w:w="5554"/>
        <w:gridCol w:w="1019"/>
      </w:tblGrid>
      <w:tr w:rsidR="00352DEE" w:rsidRPr="00F641BF" w14:paraId="35DF7DBB" w14:textId="77777777" w:rsidTr="00352DEE">
        <w:trPr>
          <w:tblHeader/>
          <w:tblCellSpacing w:w="15" w:type="dxa"/>
        </w:trPr>
        <w:tc>
          <w:tcPr>
            <w:tcW w:w="0" w:type="auto"/>
            <w:vAlign w:val="center"/>
            <w:hideMark/>
          </w:tcPr>
          <w:p w14:paraId="5D5583C2" w14:textId="77777777" w:rsidR="00352DEE" w:rsidRPr="00F641BF" w:rsidRDefault="00352DEE"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Economic Factor</w:t>
            </w:r>
          </w:p>
        </w:tc>
        <w:tc>
          <w:tcPr>
            <w:tcW w:w="0" w:type="auto"/>
            <w:vAlign w:val="center"/>
            <w:hideMark/>
          </w:tcPr>
          <w:p w14:paraId="34AC92E7" w14:textId="77777777" w:rsidR="00352DEE" w:rsidRPr="00F641BF" w:rsidRDefault="00352DEE"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Impact on Aldi</w:t>
            </w:r>
          </w:p>
        </w:tc>
        <w:tc>
          <w:tcPr>
            <w:tcW w:w="0" w:type="auto"/>
            <w:vAlign w:val="center"/>
            <w:hideMark/>
          </w:tcPr>
          <w:p w14:paraId="5B8C7132" w14:textId="77777777" w:rsidR="00352DEE" w:rsidRPr="00F641BF" w:rsidRDefault="00352DEE"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Severity</w:t>
            </w:r>
          </w:p>
        </w:tc>
      </w:tr>
      <w:tr w:rsidR="00352DEE" w:rsidRPr="00F641BF" w14:paraId="414ECB48" w14:textId="77777777" w:rsidTr="00352DEE">
        <w:trPr>
          <w:tblCellSpacing w:w="15" w:type="dxa"/>
        </w:trPr>
        <w:tc>
          <w:tcPr>
            <w:tcW w:w="0" w:type="auto"/>
            <w:vAlign w:val="center"/>
            <w:hideMark/>
          </w:tcPr>
          <w:p w14:paraId="59E73E5B"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GDP growth</w:t>
            </w:r>
          </w:p>
        </w:tc>
        <w:tc>
          <w:tcPr>
            <w:tcW w:w="0" w:type="auto"/>
            <w:vAlign w:val="center"/>
            <w:hideMark/>
          </w:tcPr>
          <w:p w14:paraId="17501795"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Expanding consumer market</w:t>
            </w:r>
          </w:p>
        </w:tc>
        <w:tc>
          <w:tcPr>
            <w:tcW w:w="0" w:type="auto"/>
            <w:vAlign w:val="center"/>
            <w:hideMark/>
          </w:tcPr>
          <w:p w14:paraId="76A55F88"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r>
      <w:tr w:rsidR="00352DEE" w:rsidRPr="00F641BF" w14:paraId="7427AB89" w14:textId="77777777" w:rsidTr="00352DEE">
        <w:trPr>
          <w:tblCellSpacing w:w="15" w:type="dxa"/>
        </w:trPr>
        <w:tc>
          <w:tcPr>
            <w:tcW w:w="0" w:type="auto"/>
            <w:vAlign w:val="center"/>
            <w:hideMark/>
          </w:tcPr>
          <w:p w14:paraId="06D97222"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Price sensitivity</w:t>
            </w:r>
          </w:p>
        </w:tc>
        <w:tc>
          <w:tcPr>
            <w:tcW w:w="0" w:type="auto"/>
            <w:vAlign w:val="center"/>
            <w:hideMark/>
          </w:tcPr>
          <w:p w14:paraId="5EFC482F"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Challenges value proposition</w:t>
            </w:r>
          </w:p>
        </w:tc>
        <w:tc>
          <w:tcPr>
            <w:tcW w:w="0" w:type="auto"/>
            <w:vAlign w:val="center"/>
            <w:hideMark/>
          </w:tcPr>
          <w:p w14:paraId="0F6A1802"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r>
      <w:tr w:rsidR="00352DEE" w:rsidRPr="00F641BF" w14:paraId="7E76D9AE" w14:textId="77777777" w:rsidTr="00352DEE">
        <w:trPr>
          <w:tblCellSpacing w:w="15" w:type="dxa"/>
        </w:trPr>
        <w:tc>
          <w:tcPr>
            <w:tcW w:w="0" w:type="auto"/>
            <w:vAlign w:val="center"/>
            <w:hideMark/>
          </w:tcPr>
          <w:p w14:paraId="30ECAA6B"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Inflation</w:t>
            </w:r>
          </w:p>
        </w:tc>
        <w:tc>
          <w:tcPr>
            <w:tcW w:w="0" w:type="auto"/>
            <w:vAlign w:val="center"/>
            <w:hideMark/>
          </w:tcPr>
          <w:p w14:paraId="0252AA42"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Margin pressure</w:t>
            </w:r>
          </w:p>
        </w:tc>
        <w:tc>
          <w:tcPr>
            <w:tcW w:w="0" w:type="auto"/>
            <w:vAlign w:val="center"/>
            <w:hideMark/>
          </w:tcPr>
          <w:p w14:paraId="385A6238"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r>
      <w:tr w:rsidR="00352DEE" w:rsidRPr="00F641BF" w14:paraId="1D112197" w14:textId="77777777" w:rsidTr="00352DEE">
        <w:trPr>
          <w:tblCellSpacing w:w="15" w:type="dxa"/>
        </w:trPr>
        <w:tc>
          <w:tcPr>
            <w:tcW w:w="0" w:type="auto"/>
            <w:vAlign w:val="center"/>
            <w:hideMark/>
          </w:tcPr>
          <w:p w14:paraId="3089E92A"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Currency volatility</w:t>
            </w:r>
          </w:p>
        </w:tc>
        <w:tc>
          <w:tcPr>
            <w:tcW w:w="0" w:type="auto"/>
            <w:vAlign w:val="center"/>
            <w:hideMark/>
          </w:tcPr>
          <w:p w14:paraId="35C2BAF6"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Import cost risk</w:t>
            </w:r>
          </w:p>
        </w:tc>
        <w:tc>
          <w:tcPr>
            <w:tcW w:w="0" w:type="auto"/>
            <w:vAlign w:val="center"/>
            <w:hideMark/>
          </w:tcPr>
          <w:p w14:paraId="0A8B4CE2"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r>
      <w:tr w:rsidR="00352DEE" w:rsidRPr="00F641BF" w14:paraId="7CAA757C" w14:textId="77777777" w:rsidTr="00352DEE">
        <w:trPr>
          <w:tblCellSpacing w:w="15" w:type="dxa"/>
        </w:trPr>
        <w:tc>
          <w:tcPr>
            <w:tcW w:w="0" w:type="auto"/>
            <w:vAlign w:val="center"/>
            <w:hideMark/>
          </w:tcPr>
          <w:p w14:paraId="35426D21"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Digitalisation</w:t>
            </w:r>
          </w:p>
        </w:tc>
        <w:tc>
          <w:tcPr>
            <w:tcW w:w="0" w:type="auto"/>
            <w:vAlign w:val="center"/>
            <w:hideMark/>
          </w:tcPr>
          <w:p w14:paraId="50616B92"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Supports organised retail but strengthens online rivals</w:t>
            </w:r>
          </w:p>
        </w:tc>
        <w:tc>
          <w:tcPr>
            <w:tcW w:w="0" w:type="auto"/>
            <w:vAlign w:val="center"/>
            <w:hideMark/>
          </w:tcPr>
          <w:p w14:paraId="44689F0C"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r>
      <w:tr w:rsidR="00352DEE" w:rsidRPr="00F641BF" w14:paraId="3EB1AEDA" w14:textId="77777777" w:rsidTr="00352DEE">
        <w:trPr>
          <w:tblCellSpacing w:w="15" w:type="dxa"/>
        </w:trPr>
        <w:tc>
          <w:tcPr>
            <w:tcW w:w="0" w:type="auto"/>
            <w:vAlign w:val="center"/>
            <w:hideMark/>
          </w:tcPr>
          <w:p w14:paraId="326A05FE"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Metro real estate costs</w:t>
            </w:r>
          </w:p>
        </w:tc>
        <w:tc>
          <w:tcPr>
            <w:tcW w:w="0" w:type="auto"/>
            <w:vAlign w:val="center"/>
            <w:hideMark/>
          </w:tcPr>
          <w:p w14:paraId="2874A2FD"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Reduces cost advantage</w:t>
            </w:r>
          </w:p>
        </w:tc>
        <w:tc>
          <w:tcPr>
            <w:tcW w:w="0" w:type="auto"/>
            <w:vAlign w:val="center"/>
            <w:hideMark/>
          </w:tcPr>
          <w:p w14:paraId="1D9D82DA"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r>
    </w:tbl>
    <w:p w14:paraId="644FA1B8" w14:textId="12481C95"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Table  shows that strong economic growth supports entry, but price sensitivity, inflation and high urban costs may reduce Aldi's ability to transfer its existing model successfully.</w:t>
      </w:r>
    </w:p>
    <w:p w14:paraId="184B4F18" w14:textId="1E050869" w:rsidR="00595771" w:rsidRPr="00F641BF" w:rsidRDefault="00404866"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noProof/>
          <w:kern w:val="36"/>
          <w:lang w:eastAsia="en-GB"/>
          <w14:ligatures w14:val="none"/>
        </w:rPr>
        <w:drawing>
          <wp:inline distT="0" distB="0" distL="0" distR="0" wp14:anchorId="42205CF1" wp14:editId="29FA46E5">
            <wp:extent cx="4642338" cy="3188328"/>
            <wp:effectExtent l="0" t="0" r="0" b="0"/>
            <wp:docPr id="1220660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660144" name=""/>
                    <pic:cNvPicPr/>
                  </pic:nvPicPr>
                  <pic:blipFill>
                    <a:blip r:embed="rId10"/>
                    <a:stretch>
                      <a:fillRect/>
                    </a:stretch>
                  </pic:blipFill>
                  <pic:spPr>
                    <a:xfrm>
                      <a:off x="0" y="0"/>
                      <a:ext cx="4693272" cy="3223309"/>
                    </a:xfrm>
                    <a:prstGeom prst="rect">
                      <a:avLst/>
                    </a:prstGeom>
                  </pic:spPr>
                </pic:pic>
              </a:graphicData>
            </a:graphic>
          </wp:inline>
        </w:drawing>
      </w:r>
    </w:p>
    <w:p w14:paraId="1DF160E9" w14:textId="364B1522" w:rsidR="00595771" w:rsidRPr="00F641BF" w:rsidRDefault="0059577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Figure 2: Growth of India's organised retail sector and expanding consumer market.</w:t>
      </w:r>
    </w:p>
    <w:p w14:paraId="06ACAD36"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3.3 Legal Factors</w:t>
      </w:r>
    </w:p>
    <w:p w14:paraId="297DB42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India's legal environment affecting retail encompasses corporate law, employment regulation, taxation, competition policy, and sector-specific regulations, creating substantial compliance complexity for foreign entrants.</w:t>
      </w:r>
    </w:p>
    <w:tbl>
      <w:tblPr>
        <w:tblW w:w="0" w:type="auto"/>
        <w:tblCellSpacing w:w="15" w:type="dxa"/>
        <w:tblBorders>
          <w:bottom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0"/>
        <w:gridCol w:w="3043"/>
        <w:gridCol w:w="1019"/>
      </w:tblGrid>
      <w:tr w:rsidR="00D14221" w:rsidRPr="00F641BF" w14:paraId="44D39F91" w14:textId="77777777" w:rsidTr="00352DEE">
        <w:trPr>
          <w:tblHeader/>
          <w:tblCellSpacing w:w="15" w:type="dxa"/>
        </w:trPr>
        <w:tc>
          <w:tcPr>
            <w:tcW w:w="0" w:type="auto"/>
            <w:vAlign w:val="center"/>
            <w:hideMark/>
          </w:tcPr>
          <w:p w14:paraId="71D90701"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Legal Factor</w:t>
            </w:r>
          </w:p>
        </w:tc>
        <w:tc>
          <w:tcPr>
            <w:tcW w:w="0" w:type="auto"/>
            <w:vAlign w:val="center"/>
            <w:hideMark/>
          </w:tcPr>
          <w:p w14:paraId="2DEE9851"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Impact on Aldi</w:t>
            </w:r>
          </w:p>
        </w:tc>
        <w:tc>
          <w:tcPr>
            <w:tcW w:w="0" w:type="auto"/>
            <w:vAlign w:val="center"/>
            <w:hideMark/>
          </w:tcPr>
          <w:p w14:paraId="355624EE"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Severity</w:t>
            </w:r>
          </w:p>
        </w:tc>
      </w:tr>
      <w:tr w:rsidR="00D14221" w:rsidRPr="00F641BF" w14:paraId="5E6C3B5B" w14:textId="77777777" w:rsidTr="00352DEE">
        <w:trPr>
          <w:tblCellSpacing w:w="15" w:type="dxa"/>
        </w:trPr>
        <w:tc>
          <w:tcPr>
            <w:tcW w:w="0" w:type="auto"/>
            <w:vAlign w:val="center"/>
            <w:hideMark/>
          </w:tcPr>
          <w:p w14:paraId="059D671B"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FDI regulations</w:t>
            </w:r>
          </w:p>
        </w:tc>
        <w:tc>
          <w:tcPr>
            <w:tcW w:w="0" w:type="auto"/>
            <w:vAlign w:val="center"/>
            <w:hideMark/>
          </w:tcPr>
          <w:p w14:paraId="028919BB"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Limits ownership structure</w:t>
            </w:r>
          </w:p>
        </w:tc>
        <w:tc>
          <w:tcPr>
            <w:tcW w:w="0" w:type="auto"/>
            <w:vAlign w:val="center"/>
            <w:hideMark/>
          </w:tcPr>
          <w:p w14:paraId="60ACC0C5"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r>
      <w:tr w:rsidR="00D14221" w:rsidRPr="00F641BF" w14:paraId="351DA56F" w14:textId="77777777" w:rsidTr="00352DEE">
        <w:trPr>
          <w:tblCellSpacing w:w="15" w:type="dxa"/>
        </w:trPr>
        <w:tc>
          <w:tcPr>
            <w:tcW w:w="0" w:type="auto"/>
            <w:vAlign w:val="center"/>
            <w:hideMark/>
          </w:tcPr>
          <w:p w14:paraId="792DF137"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GST compliance</w:t>
            </w:r>
          </w:p>
        </w:tc>
        <w:tc>
          <w:tcPr>
            <w:tcW w:w="0" w:type="auto"/>
            <w:vAlign w:val="center"/>
            <w:hideMark/>
          </w:tcPr>
          <w:p w14:paraId="728BBF0B"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Administrative burden</w:t>
            </w:r>
          </w:p>
        </w:tc>
        <w:tc>
          <w:tcPr>
            <w:tcW w:w="0" w:type="auto"/>
            <w:vAlign w:val="center"/>
            <w:hideMark/>
          </w:tcPr>
          <w:p w14:paraId="762CF0C5"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r>
      <w:tr w:rsidR="00D14221" w:rsidRPr="00F641BF" w14:paraId="632CE14A" w14:textId="77777777" w:rsidTr="00352DEE">
        <w:trPr>
          <w:tblCellSpacing w:w="15" w:type="dxa"/>
        </w:trPr>
        <w:tc>
          <w:tcPr>
            <w:tcW w:w="0" w:type="auto"/>
            <w:vAlign w:val="center"/>
            <w:hideMark/>
          </w:tcPr>
          <w:p w14:paraId="4D607481"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Labour laws</w:t>
            </w:r>
          </w:p>
        </w:tc>
        <w:tc>
          <w:tcPr>
            <w:tcW w:w="0" w:type="auto"/>
            <w:vAlign w:val="center"/>
            <w:hideMark/>
          </w:tcPr>
          <w:p w14:paraId="08626942"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Reduced flexibility</w:t>
            </w:r>
          </w:p>
        </w:tc>
        <w:tc>
          <w:tcPr>
            <w:tcW w:w="0" w:type="auto"/>
            <w:vAlign w:val="center"/>
            <w:hideMark/>
          </w:tcPr>
          <w:p w14:paraId="426CCE23"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r>
      <w:tr w:rsidR="00D14221" w:rsidRPr="00F641BF" w14:paraId="7F894A50" w14:textId="77777777" w:rsidTr="00352DEE">
        <w:trPr>
          <w:tblCellSpacing w:w="15" w:type="dxa"/>
        </w:trPr>
        <w:tc>
          <w:tcPr>
            <w:tcW w:w="0" w:type="auto"/>
            <w:vAlign w:val="center"/>
            <w:hideMark/>
          </w:tcPr>
          <w:p w14:paraId="4BCBC626"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Food safety standards</w:t>
            </w:r>
          </w:p>
        </w:tc>
        <w:tc>
          <w:tcPr>
            <w:tcW w:w="0" w:type="auto"/>
            <w:vAlign w:val="center"/>
            <w:hideMark/>
          </w:tcPr>
          <w:p w14:paraId="637D79B8"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Product adaptation required</w:t>
            </w:r>
          </w:p>
        </w:tc>
        <w:tc>
          <w:tcPr>
            <w:tcW w:w="0" w:type="auto"/>
            <w:vAlign w:val="center"/>
            <w:hideMark/>
          </w:tcPr>
          <w:p w14:paraId="5FB3607B"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r>
    </w:tbl>
    <w:p w14:paraId="1E645A84" w14:textId="41B55E5A"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FDI regulation remains the most important legal challenge because it restricts Aldi's preferred ownership structure. Labour regulations and food safety requirements increase operating complexity, while GST compliance creates additional administrative costs. Together these factors increase entry costs and reduce operational flexibility.</w:t>
      </w:r>
    </w:p>
    <w:p w14:paraId="184302D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Most significantly, FDI policy carries legal force through the Foreign Exchange Management Act (FEMA), with violations attracting penalties and potential criminal sanctions (Reserve Bank of India, 2023). The regulatory distinction between single-brand and multi-brand retail creates interpretive challenges for Aldi's private label model. Whether Aldi's private labels constitute "single brands" permitting 100% foreign ownership or whether multi-brand assortment characteristics trigger MBRT restrictions represents legal ambiguity requiring regulatory clarification.</w:t>
      </w:r>
    </w:p>
    <w:p w14:paraId="5DCFA074"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3.4 Cultural Factors</w:t>
      </w:r>
    </w:p>
    <w:p w14:paraId="014B798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Cultural dimensions present perhaps the most significant challenges to Aldi's standardised model, extending beyond surface adaptation to questions about fundamental business model compatibility.</w:t>
      </w:r>
    </w:p>
    <w:p w14:paraId="597A63FD" w14:textId="6D1E0A3C" w:rsidR="00404866" w:rsidRPr="00F641BF" w:rsidRDefault="00404866"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noProof/>
          <w:kern w:val="36"/>
          <w:lang w:eastAsia="en-GB"/>
          <w14:ligatures w14:val="none"/>
        </w:rPr>
        <w:lastRenderedPageBreak/>
        <w:drawing>
          <wp:inline distT="0" distB="0" distL="0" distR="0" wp14:anchorId="347BA0AD" wp14:editId="08E76F2B">
            <wp:extent cx="5731510" cy="3811905"/>
            <wp:effectExtent l="0" t="0" r="0" b="0"/>
            <wp:docPr id="1549641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41189" name=""/>
                    <pic:cNvPicPr/>
                  </pic:nvPicPr>
                  <pic:blipFill>
                    <a:blip r:embed="rId11"/>
                    <a:stretch>
                      <a:fillRect/>
                    </a:stretch>
                  </pic:blipFill>
                  <pic:spPr>
                    <a:xfrm>
                      <a:off x="0" y="0"/>
                      <a:ext cx="5731510" cy="3811905"/>
                    </a:xfrm>
                    <a:prstGeom prst="rect">
                      <a:avLst/>
                    </a:prstGeom>
                  </pic:spPr>
                </pic:pic>
              </a:graphicData>
            </a:graphic>
          </wp:inline>
        </w:drawing>
      </w:r>
      <w:r w:rsidRPr="00F641BF">
        <w:rPr>
          <w:rFonts w:ascii="Arial" w:eastAsia="Times New Roman" w:hAnsi="Arial" w:cs="Arial"/>
          <w:kern w:val="36"/>
          <w:lang w:eastAsia="en-GB"/>
          <w14:ligatures w14:val="none"/>
        </w:rPr>
        <w:t>Figure 3: Traditional retail and fresh-market shopping remain important parts of Indian consumer behaviour.</w:t>
      </w:r>
    </w:p>
    <w:p w14:paraId="47810AE7" w14:textId="1FD68528"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Indian food purchasing patterns differ substantially from Western markets where Aldi operates successfully. Fresh food dominates household spending, with consumers—particularly homemakers conducting most household shopping—prioritising daily market visits for freshest produce, meats, and dairy</w:t>
      </w:r>
      <w:r w:rsidR="000116E0" w:rsidRPr="00F641BF">
        <w:rPr>
          <w:rFonts w:ascii="Arial" w:eastAsia="Times New Roman" w:hAnsi="Arial" w:cs="Arial"/>
          <w:kern w:val="36"/>
          <w:lang w:eastAsia="en-GB"/>
          <w14:ligatures w14:val="none"/>
        </w:rPr>
        <w:t xml:space="preserve">. </w:t>
      </w:r>
      <w:r w:rsidRPr="00F641BF">
        <w:rPr>
          <w:rFonts w:ascii="Arial" w:eastAsia="Times New Roman" w:hAnsi="Arial" w:cs="Arial"/>
          <w:kern w:val="36"/>
          <w:lang w:eastAsia="en-GB"/>
          <w14:ligatures w14:val="none"/>
        </w:rPr>
        <w:t>This daily shopping pattern contrasts sharply with weekly or bi-weekly bulk shopping around which Aldi's model is designed. Traditional markets offer sensory product evaluation (touching produce, smelling spices, observing meat freshness), price haggling, and social interaction valued as cultural practices beyond mere transactions</w:t>
      </w:r>
      <w:r w:rsidR="000116E0" w:rsidRPr="00F641BF">
        <w:rPr>
          <w:rFonts w:ascii="Arial" w:eastAsia="Times New Roman" w:hAnsi="Arial" w:cs="Arial"/>
          <w:kern w:val="36"/>
          <w:lang w:eastAsia="en-GB"/>
          <w14:ligatures w14:val="none"/>
        </w:rPr>
        <w:t>.</w:t>
      </w:r>
    </w:p>
    <w:p w14:paraId="3C8C0CD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 xml:space="preserve">Private label acceptance, foundational to Aldi's proposition, faces cultural barriers. Consumer trust gravitates toward established national brands (Tata, Amul, Britannia, ITC) perceived as quality guarantees, whilst unknown private labels trigger quality and safety scepticism (Nielsen IQ, 2023). This contrasts with Germany or the UK where private labels achieve quality parity perceptions and comprise 40-50% of category sales. Building private label credibility requires sustained investment and </w:t>
      </w:r>
      <w:r w:rsidRPr="00F641BF">
        <w:rPr>
          <w:rFonts w:ascii="Arial" w:eastAsia="Times New Roman" w:hAnsi="Arial" w:cs="Arial"/>
          <w:kern w:val="36"/>
          <w:lang w:eastAsia="en-GB"/>
          <w14:ligatures w14:val="none"/>
        </w:rPr>
        <w:lastRenderedPageBreak/>
        <w:t>performance demonstration—potentially conflicting with Aldi's minimal marketing expenditure philosophy (Colla, 2023).</w:t>
      </w:r>
    </w:p>
    <w:tbl>
      <w:tblPr>
        <w:tblW w:w="0" w:type="auto"/>
        <w:tblCellSpacing w:w="15" w:type="dxa"/>
        <w:tblBorders>
          <w:bottom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6"/>
        <w:gridCol w:w="4693"/>
      </w:tblGrid>
      <w:tr w:rsidR="00D14221" w:rsidRPr="00F641BF" w14:paraId="2B967B05" w14:textId="77777777" w:rsidTr="00352DEE">
        <w:trPr>
          <w:tblHeader/>
          <w:tblCellSpacing w:w="15" w:type="dxa"/>
        </w:trPr>
        <w:tc>
          <w:tcPr>
            <w:tcW w:w="0" w:type="auto"/>
            <w:vAlign w:val="center"/>
            <w:hideMark/>
          </w:tcPr>
          <w:p w14:paraId="34AF5705"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Cultural Issue</w:t>
            </w:r>
          </w:p>
        </w:tc>
        <w:tc>
          <w:tcPr>
            <w:tcW w:w="0" w:type="auto"/>
            <w:vAlign w:val="center"/>
            <w:hideMark/>
          </w:tcPr>
          <w:p w14:paraId="45AA2692"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Impact on Aldi</w:t>
            </w:r>
          </w:p>
        </w:tc>
      </w:tr>
      <w:tr w:rsidR="00D14221" w:rsidRPr="00F641BF" w14:paraId="465ABA7C" w14:textId="77777777" w:rsidTr="00352DEE">
        <w:trPr>
          <w:tblCellSpacing w:w="15" w:type="dxa"/>
        </w:trPr>
        <w:tc>
          <w:tcPr>
            <w:tcW w:w="0" w:type="auto"/>
            <w:vAlign w:val="center"/>
            <w:hideMark/>
          </w:tcPr>
          <w:p w14:paraId="46FA2956"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Daily fresh shopping</w:t>
            </w:r>
          </w:p>
        </w:tc>
        <w:tc>
          <w:tcPr>
            <w:tcW w:w="0" w:type="auto"/>
            <w:vAlign w:val="center"/>
            <w:hideMark/>
          </w:tcPr>
          <w:p w14:paraId="06109CC4"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Conflicts with Aldi's weekly shopping model</w:t>
            </w:r>
          </w:p>
        </w:tc>
      </w:tr>
      <w:tr w:rsidR="00D14221" w:rsidRPr="00F641BF" w14:paraId="33A359A5" w14:textId="77777777" w:rsidTr="00352DEE">
        <w:trPr>
          <w:tblCellSpacing w:w="15" w:type="dxa"/>
        </w:trPr>
        <w:tc>
          <w:tcPr>
            <w:tcW w:w="0" w:type="auto"/>
            <w:vAlign w:val="center"/>
            <w:hideMark/>
          </w:tcPr>
          <w:p w14:paraId="21B0F221"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Private-label scepticism</w:t>
            </w:r>
          </w:p>
        </w:tc>
        <w:tc>
          <w:tcPr>
            <w:tcW w:w="0" w:type="auto"/>
            <w:vAlign w:val="center"/>
            <w:hideMark/>
          </w:tcPr>
          <w:p w14:paraId="1C458F9E"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Slows customer adoption</w:t>
            </w:r>
          </w:p>
        </w:tc>
      </w:tr>
      <w:tr w:rsidR="00D14221" w:rsidRPr="00F641BF" w14:paraId="1178FE97" w14:textId="77777777" w:rsidTr="00352DEE">
        <w:trPr>
          <w:tblCellSpacing w:w="15" w:type="dxa"/>
        </w:trPr>
        <w:tc>
          <w:tcPr>
            <w:tcW w:w="0" w:type="auto"/>
            <w:vAlign w:val="center"/>
            <w:hideMark/>
          </w:tcPr>
          <w:p w14:paraId="1CB2E017"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Regional diversity</w:t>
            </w:r>
          </w:p>
        </w:tc>
        <w:tc>
          <w:tcPr>
            <w:tcW w:w="0" w:type="auto"/>
            <w:vAlign w:val="center"/>
            <w:hideMark/>
          </w:tcPr>
          <w:p w14:paraId="154BA155" w14:textId="77777777" w:rsidR="00D14221" w:rsidRPr="00F641BF" w:rsidRDefault="00D14221"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Requires adaptation of product range</w:t>
            </w:r>
          </w:p>
        </w:tc>
      </w:tr>
    </w:tbl>
    <w:p w14:paraId="7CBEB2C8" w14:textId="4BA2444E"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Regional diversity across India's 28 states creates extraordinary cultural heterogeneity. Language variation (22 officially recognised languages plus hundreds of dialects), cuisine differences, festival calendars, and social practices differ dramatically between regions, effectively creating multiple sub-markets</w:t>
      </w:r>
      <w:r w:rsidR="000116E0" w:rsidRPr="00F641BF">
        <w:rPr>
          <w:rFonts w:ascii="Arial" w:eastAsia="Times New Roman" w:hAnsi="Arial" w:cs="Arial"/>
          <w:kern w:val="36"/>
          <w:lang w:eastAsia="en-GB"/>
          <w14:ligatures w14:val="none"/>
        </w:rPr>
        <w:t xml:space="preserve">. </w:t>
      </w:r>
      <w:r w:rsidRPr="00F641BF">
        <w:rPr>
          <w:rFonts w:ascii="Arial" w:eastAsia="Times New Roman" w:hAnsi="Arial" w:cs="Arial"/>
          <w:kern w:val="36"/>
          <w:lang w:eastAsia="en-GB"/>
          <w14:ligatures w14:val="none"/>
        </w:rPr>
        <w:t>Standardised national retail offers face relevance challenges across this diversity. Successful domestic retailers including Reliance Retail and D-Mart employ substantial regional customisation—approaches directly contradicting Aldi's global model (Singh and Kumar, 2023).</w:t>
      </w:r>
    </w:p>
    <w:p w14:paraId="28489B8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Table 2: Political-Economic-Legal-Cultural Risk Assessment Matrix</w:t>
      </w: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7"/>
        <w:gridCol w:w="1787"/>
        <w:gridCol w:w="2113"/>
        <w:gridCol w:w="964"/>
        <w:gridCol w:w="2839"/>
      </w:tblGrid>
      <w:tr w:rsidR="007F591F" w:rsidRPr="00F641BF" w14:paraId="3F36B7F6" w14:textId="77777777" w:rsidTr="00352DEE">
        <w:trPr>
          <w:tblHeader/>
        </w:trPr>
        <w:tc>
          <w:tcPr>
            <w:tcW w:w="0" w:type="auto"/>
            <w:noWrap/>
            <w:vAlign w:val="bottom"/>
            <w:hideMark/>
          </w:tcPr>
          <w:p w14:paraId="0482ED93"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Factor</w:t>
            </w:r>
          </w:p>
        </w:tc>
        <w:tc>
          <w:tcPr>
            <w:tcW w:w="0" w:type="auto"/>
            <w:noWrap/>
            <w:vAlign w:val="bottom"/>
            <w:hideMark/>
          </w:tcPr>
          <w:p w14:paraId="2DE0D2FB"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Specific Risk</w:t>
            </w:r>
          </w:p>
        </w:tc>
        <w:tc>
          <w:tcPr>
            <w:tcW w:w="0" w:type="auto"/>
            <w:noWrap/>
            <w:vAlign w:val="bottom"/>
            <w:hideMark/>
          </w:tcPr>
          <w:p w14:paraId="250AB1F7"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Impact on Aldi</w:t>
            </w:r>
          </w:p>
        </w:tc>
        <w:tc>
          <w:tcPr>
            <w:tcW w:w="0" w:type="auto"/>
            <w:noWrap/>
            <w:vAlign w:val="bottom"/>
            <w:hideMark/>
          </w:tcPr>
          <w:p w14:paraId="265A0ED9"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Severity</w:t>
            </w:r>
          </w:p>
        </w:tc>
        <w:tc>
          <w:tcPr>
            <w:tcW w:w="0" w:type="auto"/>
            <w:noWrap/>
            <w:vAlign w:val="bottom"/>
            <w:hideMark/>
          </w:tcPr>
          <w:p w14:paraId="67F8648F"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Mitigation Possibility</w:t>
            </w:r>
          </w:p>
        </w:tc>
      </w:tr>
      <w:tr w:rsidR="007F591F" w:rsidRPr="00F641BF" w14:paraId="652B78EB" w14:textId="77777777" w:rsidTr="00352DEE">
        <w:tc>
          <w:tcPr>
            <w:tcW w:w="0" w:type="auto"/>
            <w:vAlign w:val="bottom"/>
            <w:hideMark/>
          </w:tcPr>
          <w:p w14:paraId="313C356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Political</w:t>
            </w:r>
          </w:p>
        </w:tc>
        <w:tc>
          <w:tcPr>
            <w:tcW w:w="0" w:type="auto"/>
            <w:vAlign w:val="bottom"/>
            <w:hideMark/>
          </w:tcPr>
          <w:p w14:paraId="6DDA875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MBRT FDI restrictions</w:t>
            </w:r>
          </w:p>
        </w:tc>
        <w:tc>
          <w:tcPr>
            <w:tcW w:w="0" w:type="auto"/>
            <w:vAlign w:val="bottom"/>
            <w:hideMark/>
          </w:tcPr>
          <w:p w14:paraId="7387E2C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Prevents wholly-owned operations</w:t>
            </w:r>
          </w:p>
        </w:tc>
        <w:tc>
          <w:tcPr>
            <w:tcW w:w="0" w:type="auto"/>
            <w:vAlign w:val="bottom"/>
            <w:hideMark/>
          </w:tcPr>
          <w:p w14:paraId="3F14175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00D0CBE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Low—regulatory advocacy long-term only</w:t>
            </w:r>
          </w:p>
        </w:tc>
      </w:tr>
      <w:tr w:rsidR="007F591F" w:rsidRPr="00F641BF" w14:paraId="33068109" w14:textId="77777777" w:rsidTr="00352DEE">
        <w:tc>
          <w:tcPr>
            <w:tcW w:w="0" w:type="auto"/>
            <w:vAlign w:val="bottom"/>
            <w:hideMark/>
          </w:tcPr>
          <w:p w14:paraId="4FCAAFF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2DCD0E1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Policy volatility</w:t>
            </w:r>
          </w:p>
        </w:tc>
        <w:tc>
          <w:tcPr>
            <w:tcW w:w="0" w:type="auto"/>
            <w:vAlign w:val="bottom"/>
            <w:hideMark/>
          </w:tcPr>
          <w:p w14:paraId="2EA34CA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Planning uncertainty</w:t>
            </w:r>
          </w:p>
        </w:tc>
        <w:tc>
          <w:tcPr>
            <w:tcW w:w="0" w:type="auto"/>
            <w:vAlign w:val="bottom"/>
            <w:hideMark/>
          </w:tcPr>
          <w:p w14:paraId="49C0352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c>
          <w:tcPr>
            <w:tcW w:w="0" w:type="auto"/>
            <w:vAlign w:val="bottom"/>
            <w:hideMark/>
          </w:tcPr>
          <w:p w14:paraId="6DC4D40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Moderate—scenario planning</w:t>
            </w:r>
          </w:p>
        </w:tc>
      </w:tr>
      <w:tr w:rsidR="007F591F" w:rsidRPr="00F641BF" w14:paraId="6F48758E" w14:textId="77777777" w:rsidTr="00352DEE">
        <w:tc>
          <w:tcPr>
            <w:tcW w:w="0" w:type="auto"/>
            <w:vAlign w:val="bottom"/>
            <w:hideMark/>
          </w:tcPr>
          <w:p w14:paraId="1B90F92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Economic</w:t>
            </w:r>
          </w:p>
        </w:tc>
        <w:tc>
          <w:tcPr>
            <w:tcW w:w="0" w:type="auto"/>
            <w:vAlign w:val="bottom"/>
            <w:hideMark/>
          </w:tcPr>
          <w:p w14:paraId="23B43B6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Extreme price sensitivity</w:t>
            </w:r>
          </w:p>
        </w:tc>
        <w:tc>
          <w:tcPr>
            <w:tcW w:w="0" w:type="auto"/>
            <w:vAlign w:val="bottom"/>
            <w:hideMark/>
          </w:tcPr>
          <w:p w14:paraId="54584C5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Challenges quality-price positioning</w:t>
            </w:r>
          </w:p>
        </w:tc>
        <w:tc>
          <w:tcPr>
            <w:tcW w:w="0" w:type="auto"/>
            <w:vAlign w:val="bottom"/>
            <w:hideMark/>
          </w:tcPr>
          <w:p w14:paraId="5A748E1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447C4AA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Low—core model threatened</w:t>
            </w:r>
          </w:p>
        </w:tc>
      </w:tr>
      <w:tr w:rsidR="007F591F" w:rsidRPr="00F641BF" w14:paraId="0FE39FB0" w14:textId="77777777" w:rsidTr="00352DEE">
        <w:tc>
          <w:tcPr>
            <w:tcW w:w="0" w:type="auto"/>
            <w:vAlign w:val="bottom"/>
            <w:hideMark/>
          </w:tcPr>
          <w:p w14:paraId="49D2ABB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3212714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Fragmented supply chain</w:t>
            </w:r>
          </w:p>
        </w:tc>
        <w:tc>
          <w:tcPr>
            <w:tcW w:w="0" w:type="auto"/>
            <w:vAlign w:val="bottom"/>
            <w:hideMark/>
          </w:tcPr>
          <w:p w14:paraId="0891B7C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Cost increases, efficiency loss</w:t>
            </w:r>
          </w:p>
        </w:tc>
        <w:tc>
          <w:tcPr>
            <w:tcW w:w="0" w:type="auto"/>
            <w:vAlign w:val="bottom"/>
            <w:hideMark/>
          </w:tcPr>
          <w:p w14:paraId="5943D2C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19F966A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Moderate—infrastructure investment</w:t>
            </w:r>
          </w:p>
        </w:tc>
      </w:tr>
      <w:tr w:rsidR="007F591F" w:rsidRPr="00F641BF" w14:paraId="23235074" w14:textId="77777777" w:rsidTr="00352DEE">
        <w:tc>
          <w:tcPr>
            <w:tcW w:w="0" w:type="auto"/>
            <w:vAlign w:val="bottom"/>
            <w:hideMark/>
          </w:tcPr>
          <w:p w14:paraId="2A71CAF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6A83A5F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Currency volatility</w:t>
            </w:r>
          </w:p>
        </w:tc>
        <w:tc>
          <w:tcPr>
            <w:tcW w:w="0" w:type="auto"/>
            <w:vAlign w:val="bottom"/>
            <w:hideMark/>
          </w:tcPr>
          <w:p w14:paraId="5782DED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Import cost fluctuation</w:t>
            </w:r>
          </w:p>
        </w:tc>
        <w:tc>
          <w:tcPr>
            <w:tcW w:w="0" w:type="auto"/>
            <w:vAlign w:val="bottom"/>
            <w:hideMark/>
          </w:tcPr>
          <w:p w14:paraId="52AB4CA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c>
          <w:tcPr>
            <w:tcW w:w="0" w:type="auto"/>
            <w:vAlign w:val="bottom"/>
            <w:hideMark/>
          </w:tcPr>
          <w:p w14:paraId="10A849C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Moderate—local sourcing development</w:t>
            </w:r>
          </w:p>
        </w:tc>
      </w:tr>
      <w:tr w:rsidR="007F591F" w:rsidRPr="00F641BF" w14:paraId="48BD1500" w14:textId="77777777" w:rsidTr="00352DEE">
        <w:tc>
          <w:tcPr>
            <w:tcW w:w="0" w:type="auto"/>
            <w:vAlign w:val="bottom"/>
            <w:hideMark/>
          </w:tcPr>
          <w:p w14:paraId="1CD240F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Legal</w:t>
            </w:r>
          </w:p>
        </w:tc>
        <w:tc>
          <w:tcPr>
            <w:tcW w:w="0" w:type="auto"/>
            <w:vAlign w:val="bottom"/>
            <w:hideMark/>
          </w:tcPr>
          <w:p w14:paraId="491320D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Complex GST compliance</w:t>
            </w:r>
          </w:p>
        </w:tc>
        <w:tc>
          <w:tcPr>
            <w:tcW w:w="0" w:type="auto"/>
            <w:vAlign w:val="bottom"/>
            <w:hideMark/>
          </w:tcPr>
          <w:p w14:paraId="7DE0B60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Administrative burden</w:t>
            </w:r>
          </w:p>
        </w:tc>
        <w:tc>
          <w:tcPr>
            <w:tcW w:w="0" w:type="auto"/>
            <w:vAlign w:val="bottom"/>
            <w:hideMark/>
          </w:tcPr>
          <w:p w14:paraId="30B3C1B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c>
          <w:tcPr>
            <w:tcW w:w="0" w:type="auto"/>
            <w:vAlign w:val="bottom"/>
            <w:hideMark/>
          </w:tcPr>
          <w:p w14:paraId="7B1AA87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High—technical compliance achievable</w:t>
            </w:r>
          </w:p>
        </w:tc>
      </w:tr>
      <w:tr w:rsidR="007F591F" w:rsidRPr="00F641BF" w14:paraId="6F1EFAFC" w14:textId="77777777" w:rsidTr="00352DEE">
        <w:tc>
          <w:tcPr>
            <w:tcW w:w="0" w:type="auto"/>
            <w:vAlign w:val="bottom"/>
            <w:hideMark/>
          </w:tcPr>
          <w:p w14:paraId="18DB76F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366EE28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Employment constraints</w:t>
            </w:r>
          </w:p>
        </w:tc>
        <w:tc>
          <w:tcPr>
            <w:tcW w:w="0" w:type="auto"/>
            <w:vAlign w:val="bottom"/>
            <w:hideMark/>
          </w:tcPr>
          <w:p w14:paraId="56F4385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Operational flexibility loss</w:t>
            </w:r>
          </w:p>
        </w:tc>
        <w:tc>
          <w:tcPr>
            <w:tcW w:w="0" w:type="auto"/>
            <w:vAlign w:val="bottom"/>
            <w:hideMark/>
          </w:tcPr>
          <w:p w14:paraId="72234F4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c>
          <w:tcPr>
            <w:tcW w:w="0" w:type="auto"/>
            <w:vAlign w:val="bottom"/>
            <w:hideMark/>
          </w:tcPr>
          <w:p w14:paraId="4FA45A0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Low—compliance necessary</w:t>
            </w:r>
          </w:p>
        </w:tc>
      </w:tr>
      <w:tr w:rsidR="007F591F" w:rsidRPr="00F641BF" w14:paraId="5B355514" w14:textId="77777777" w:rsidTr="00352DEE">
        <w:tc>
          <w:tcPr>
            <w:tcW w:w="0" w:type="auto"/>
            <w:vAlign w:val="bottom"/>
            <w:hideMark/>
          </w:tcPr>
          <w:p w14:paraId="128F8F1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Cultural</w:t>
            </w:r>
          </w:p>
        </w:tc>
        <w:tc>
          <w:tcPr>
            <w:tcW w:w="0" w:type="auto"/>
            <w:vAlign w:val="bottom"/>
            <w:hideMark/>
          </w:tcPr>
          <w:p w14:paraId="2870E3E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Daily fresh shopping</w:t>
            </w:r>
          </w:p>
        </w:tc>
        <w:tc>
          <w:tcPr>
            <w:tcW w:w="0" w:type="auto"/>
            <w:vAlign w:val="bottom"/>
            <w:hideMark/>
          </w:tcPr>
          <w:p w14:paraId="0DE5105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Contradicts weekly bulk model</w:t>
            </w:r>
          </w:p>
        </w:tc>
        <w:tc>
          <w:tcPr>
            <w:tcW w:w="0" w:type="auto"/>
            <w:vAlign w:val="bottom"/>
            <w:hideMark/>
          </w:tcPr>
          <w:p w14:paraId="27B1464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56E2F09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Low—fundamental behaviour</w:t>
            </w:r>
          </w:p>
        </w:tc>
      </w:tr>
      <w:tr w:rsidR="007F591F" w:rsidRPr="00F641BF" w14:paraId="337532DD" w14:textId="77777777" w:rsidTr="00352DEE">
        <w:tc>
          <w:tcPr>
            <w:tcW w:w="0" w:type="auto"/>
            <w:vAlign w:val="bottom"/>
            <w:hideMark/>
          </w:tcPr>
          <w:p w14:paraId="280DDA4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367A980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Private label scepticism</w:t>
            </w:r>
          </w:p>
        </w:tc>
        <w:tc>
          <w:tcPr>
            <w:tcW w:w="0" w:type="auto"/>
            <w:vAlign w:val="bottom"/>
            <w:hideMark/>
          </w:tcPr>
          <w:p w14:paraId="18260E2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Undermines assortment strategy</w:t>
            </w:r>
          </w:p>
        </w:tc>
        <w:tc>
          <w:tcPr>
            <w:tcW w:w="0" w:type="auto"/>
            <w:vAlign w:val="bottom"/>
            <w:hideMark/>
          </w:tcPr>
          <w:p w14:paraId="06FA5D1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4DD3050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Moderate—long-term trust building</w:t>
            </w:r>
          </w:p>
        </w:tc>
      </w:tr>
      <w:tr w:rsidR="007F591F" w:rsidRPr="00F641BF" w14:paraId="3ABA6F3C" w14:textId="77777777" w:rsidTr="00352DEE">
        <w:tc>
          <w:tcPr>
            <w:tcW w:w="0" w:type="auto"/>
            <w:vAlign w:val="bottom"/>
            <w:hideMark/>
          </w:tcPr>
          <w:p w14:paraId="322D272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09438EA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Regional diversity</w:t>
            </w:r>
          </w:p>
        </w:tc>
        <w:tc>
          <w:tcPr>
            <w:tcW w:w="0" w:type="auto"/>
            <w:vAlign w:val="bottom"/>
            <w:hideMark/>
          </w:tcPr>
          <w:p w14:paraId="7FC3AEA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Prevents standardisation</w:t>
            </w:r>
          </w:p>
        </w:tc>
        <w:tc>
          <w:tcPr>
            <w:tcW w:w="0" w:type="auto"/>
            <w:vAlign w:val="bottom"/>
            <w:hideMark/>
          </w:tcPr>
          <w:p w14:paraId="1110E3D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5000689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Low—requires adaptation</w:t>
            </w:r>
          </w:p>
        </w:tc>
      </w:tr>
    </w:tbl>
    <w:p w14:paraId="3D926C15" w14:textId="3B4B1FD4"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i/>
          <w:iCs/>
          <w:kern w:val="36"/>
          <w:lang w:eastAsia="en-GB"/>
          <w14:ligatures w14:val="none"/>
        </w:rPr>
        <w:t>Source: Author analysis</w:t>
      </w:r>
    </w:p>
    <w:p w14:paraId="35493660"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4. DUNNING OLI FRAMEWORK ANALYSIS</w:t>
      </w:r>
    </w:p>
    <w:p w14:paraId="54B7C50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Dunning's (1988) eclectic paradigm provides theoretical structure for evaluating whether firms possess ownership advantages justifying international expansion, whether target markets present location advantages, and whether internalisation advantages favour FDI over alternative market-serving modes.</w:t>
      </w:r>
    </w:p>
    <w:p w14:paraId="290FB587"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Ownership Advantages</w:t>
      </w:r>
    </w:p>
    <w:p w14:paraId="5AB3D72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Ownership advantages represent firm-specific assets providing competitive advantage over domestic rivals. Aldi's primary ownership advantages derive from operational capabilities refined over seven decades.</w:t>
      </w:r>
    </w:p>
    <w:p w14:paraId="4051EE9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Operational efficiency constitutes Aldi's core advantage. The company achieves operating cost ratios of 12-14% of sales compared to conventional supermarket competitors at 18-22% through systematised processes, limited SKU complexity, and productivity-maximising store design (Ellickson, 2016). This efficiency translates directly into pricing capability or superior margins—potentially decisive in price-sensitive markets.</w:t>
      </w:r>
    </w:p>
    <w:p w14:paraId="775160A3"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Location Advantages</w:t>
      </w:r>
    </w:p>
    <w:p w14:paraId="07F54DF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Location advantages assess whether target markets present characteristics favouring foreign investment over alternative market-serving modes.</w:t>
      </w:r>
    </w:p>
    <w:p w14:paraId="68BBF2A3" w14:textId="737D4A9B"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 xml:space="preserve">India offers clear location advantages. Market size and growth create opportunity unavailable in mature developed markets facing saturation (World Bank, 2024). Expanding middle class represents consumers with growing purchasing power seeking value—theoretically aligned with Aldi's proposition. Underdeveloped modern retail (12% market share) suggests substantial growth potential as organised retail adoption progresses (Deloitte, 2024). </w:t>
      </w:r>
    </w:p>
    <w:p w14:paraId="2A6DC9C9" w14:textId="77777777" w:rsidR="00352DEE" w:rsidRPr="00F641BF" w:rsidRDefault="00352DEE"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However, infrastructure limitations, supplier immaturity and regulatory restrictions remain major barriers.</w:t>
      </w:r>
    </w:p>
    <w:p w14:paraId="0CBA881D" w14:textId="0F9D8E6E"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Regulatory constraints represent significant location disadvantages. FDI restrictions, complex taxation, and operational regulations increase costs and limit strategic flexibility (DPIIT, 2024). Real estate costs in attractive metropolitan markets rival developed market levels, eliminating expected location cost advantages (PwC India, 2024).</w:t>
      </w:r>
    </w:p>
    <w:p w14:paraId="6B0473A2"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Internalisation Advantages</w:t>
      </w:r>
    </w:p>
    <w:p w14:paraId="24D5096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Internalisation advantages explain why firms choose FDI and wholly-owned operations over market-based alternatives such as licensing or franchising. Transaction cost economics (Williamson, 1975) provides grounding: firms internalise when market transaction costs exceed internal coordination costs.</w:t>
      </w:r>
    </w:p>
    <w:p w14:paraId="1BD6C8D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Aldi faces strong internalisation pressures favouring wholly-owned operations. Competitive advantage derives from integrated operational systems, proprietary processes, and organisational culture difficult to transfer through market contracts (Brandes, 2014). Quality control requirements, particularly for private label products bearing Aldi brands, necessitate tight oversight incompatible with arm's-length relationships. Franchising would introduce principal-agent problems and risk brand damage through inconsistent execution (Colla, 2023).</w:t>
      </w:r>
    </w:p>
    <w:p w14:paraId="60A66F3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 xml:space="preserve">However, India's regulatory architecture creates contradictions. FDI restrictions effectively prohibit wholly-owned MBRT operations, forcing partnership models </w:t>
      </w:r>
      <w:r w:rsidRPr="00F641BF">
        <w:rPr>
          <w:rFonts w:ascii="Arial" w:eastAsia="Times New Roman" w:hAnsi="Arial" w:cs="Arial"/>
          <w:kern w:val="36"/>
          <w:lang w:eastAsia="en-GB"/>
          <w14:ligatures w14:val="none"/>
        </w:rPr>
        <w:lastRenderedPageBreak/>
        <w:t>inconsistent with internalisation logic. Joint ventures introduce shared control, profit dilution, and partner opportunism risks that transaction cost theory identifies as costly (Williamson, 1975).</w:t>
      </w:r>
    </w:p>
    <w:p w14:paraId="6C049173" w14:textId="1E18A363"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Furthermore, Aldi's limited India-specific knowledge suggests potential partnering advantages despite general internalisation preferences. Local partners could provide regulatory navigation, supplier relationships, real estate access, and cultural insight that Aldi lacks</w:t>
      </w:r>
      <w:r w:rsidR="000116E0" w:rsidRPr="00F641BF">
        <w:rPr>
          <w:rFonts w:ascii="Arial" w:eastAsia="Times New Roman" w:hAnsi="Arial" w:cs="Arial"/>
          <w:kern w:val="36"/>
          <w:lang w:eastAsia="en-GB"/>
          <w14:ligatures w14:val="none"/>
        </w:rPr>
        <w:t>.</w:t>
      </w:r>
    </w:p>
    <w:p w14:paraId="064CE324"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Critical Evaluation of OLI</w:t>
      </w:r>
    </w:p>
    <w:p w14:paraId="4EB2810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Dunning's framework provides useful structure but demonstrates limitations. The static nature inadequately captures dynamic capability development processes—Aldi's German advantages may not transfer automatically, requiring India-specific capability building through experimentation and learning (Teece, 2014). OLI provides limited guidance on this development process.</w:t>
      </w:r>
    </w:p>
    <w:p w14:paraId="310C655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The framework assumes ownership, location, and internalisation advantages align consistently. India demonstrates contradictions: ownership advantages exist whilst location disadvantages dominate; internalisation logic favours wholly-owned operations whilst regulation prohibits them. OLI offers limited guidance for resolving such trade-offs (Hennart, 2012).</w:t>
      </w:r>
    </w:p>
    <w:p w14:paraId="4398DA9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Recent scholarship emphasises institutional voids, cultural distance, and liability of foreignness as critical determinants in emerging markets (Eden and Miller, 2024)—dimensions OLI underemphasises. India's institutional complexity and cultural distance from Aldi's experience may prove more decisive than traditional OLI dimensions suggest.</w:t>
      </w:r>
    </w:p>
    <w:p w14:paraId="5A06320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Nevertheless, OLI analysis illuminates challenges. Aldi possesses genuine ownership advantages yet confronts location disadvantages and internalisation constraints that question entry attractiveness without substantial model adaptation.</w:t>
      </w:r>
    </w:p>
    <w:p w14:paraId="3ABA6E0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Table 3: OLI Framework Analysis Summary</w:t>
      </w: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24"/>
        <w:gridCol w:w="2323"/>
        <w:gridCol w:w="1098"/>
        <w:gridCol w:w="1017"/>
        <w:gridCol w:w="1684"/>
        <w:gridCol w:w="1894"/>
      </w:tblGrid>
      <w:tr w:rsidR="007F591F" w:rsidRPr="00F641BF" w14:paraId="7BCC1D52" w14:textId="77777777" w:rsidTr="00637FB4">
        <w:trPr>
          <w:tblHeader/>
        </w:trPr>
        <w:tc>
          <w:tcPr>
            <w:tcW w:w="0" w:type="auto"/>
            <w:noWrap/>
            <w:vAlign w:val="bottom"/>
            <w:hideMark/>
          </w:tcPr>
          <w:p w14:paraId="1D1C6F9E"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lastRenderedPageBreak/>
              <w:t>OLI Dimension</w:t>
            </w:r>
          </w:p>
        </w:tc>
        <w:tc>
          <w:tcPr>
            <w:tcW w:w="0" w:type="auto"/>
            <w:noWrap/>
            <w:vAlign w:val="bottom"/>
            <w:hideMark/>
          </w:tcPr>
          <w:p w14:paraId="66F2CF25"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Specific Factor</w:t>
            </w:r>
          </w:p>
        </w:tc>
        <w:tc>
          <w:tcPr>
            <w:tcW w:w="0" w:type="auto"/>
            <w:noWrap/>
            <w:vAlign w:val="bottom"/>
            <w:hideMark/>
          </w:tcPr>
          <w:p w14:paraId="0C01BAFA"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Presence</w:t>
            </w:r>
          </w:p>
        </w:tc>
        <w:tc>
          <w:tcPr>
            <w:tcW w:w="0" w:type="auto"/>
            <w:noWrap/>
            <w:vAlign w:val="bottom"/>
            <w:hideMark/>
          </w:tcPr>
          <w:p w14:paraId="396EB7F3"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Strength</w:t>
            </w:r>
          </w:p>
        </w:tc>
        <w:tc>
          <w:tcPr>
            <w:tcW w:w="0" w:type="auto"/>
            <w:noWrap/>
            <w:vAlign w:val="bottom"/>
            <w:hideMark/>
          </w:tcPr>
          <w:p w14:paraId="6793C8C8"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Transferability</w:t>
            </w:r>
          </w:p>
        </w:tc>
        <w:tc>
          <w:tcPr>
            <w:tcW w:w="0" w:type="auto"/>
            <w:noWrap/>
            <w:vAlign w:val="bottom"/>
            <w:hideMark/>
          </w:tcPr>
          <w:p w14:paraId="2B8A82E4"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Assessment</w:t>
            </w:r>
          </w:p>
        </w:tc>
      </w:tr>
      <w:tr w:rsidR="007F591F" w:rsidRPr="00F641BF" w14:paraId="0FAEC290" w14:textId="77777777" w:rsidTr="00637FB4">
        <w:tc>
          <w:tcPr>
            <w:tcW w:w="0" w:type="auto"/>
            <w:vAlign w:val="bottom"/>
            <w:hideMark/>
          </w:tcPr>
          <w:p w14:paraId="608DD15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Ownership</w:t>
            </w:r>
          </w:p>
        </w:tc>
        <w:tc>
          <w:tcPr>
            <w:tcW w:w="0" w:type="auto"/>
            <w:vAlign w:val="bottom"/>
            <w:hideMark/>
          </w:tcPr>
          <w:p w14:paraId="3BA4EED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Operational efficiency</w:t>
            </w:r>
          </w:p>
        </w:tc>
        <w:tc>
          <w:tcPr>
            <w:tcW w:w="0" w:type="auto"/>
            <w:vAlign w:val="bottom"/>
            <w:hideMark/>
          </w:tcPr>
          <w:p w14:paraId="416C829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Yes</w:t>
            </w:r>
          </w:p>
        </w:tc>
        <w:tc>
          <w:tcPr>
            <w:tcW w:w="0" w:type="auto"/>
            <w:vAlign w:val="bottom"/>
            <w:hideMark/>
          </w:tcPr>
          <w:p w14:paraId="7ADA4FF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243B902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c>
          <w:tcPr>
            <w:tcW w:w="0" w:type="auto"/>
            <w:vAlign w:val="bottom"/>
            <w:hideMark/>
          </w:tcPr>
          <w:p w14:paraId="1C15E99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Infrastructure gaps limit realisation</w:t>
            </w:r>
          </w:p>
        </w:tc>
      </w:tr>
      <w:tr w:rsidR="007F591F" w:rsidRPr="00F641BF" w14:paraId="13F91598" w14:textId="77777777" w:rsidTr="00637FB4">
        <w:tc>
          <w:tcPr>
            <w:tcW w:w="0" w:type="auto"/>
            <w:vAlign w:val="bottom"/>
            <w:hideMark/>
          </w:tcPr>
          <w:p w14:paraId="3E6AC21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20A4B38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Private label expertise</w:t>
            </w:r>
          </w:p>
        </w:tc>
        <w:tc>
          <w:tcPr>
            <w:tcW w:w="0" w:type="auto"/>
            <w:vAlign w:val="bottom"/>
            <w:hideMark/>
          </w:tcPr>
          <w:p w14:paraId="69887E0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Yes</w:t>
            </w:r>
          </w:p>
        </w:tc>
        <w:tc>
          <w:tcPr>
            <w:tcW w:w="0" w:type="auto"/>
            <w:vAlign w:val="bottom"/>
            <w:hideMark/>
          </w:tcPr>
          <w:p w14:paraId="3458155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3238281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c>
          <w:tcPr>
            <w:tcW w:w="0" w:type="auto"/>
            <w:vAlign w:val="bottom"/>
            <w:hideMark/>
          </w:tcPr>
          <w:p w14:paraId="2F66C0A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Supplier ecosystem underdeveloped</w:t>
            </w:r>
          </w:p>
        </w:tc>
      </w:tr>
      <w:tr w:rsidR="007F591F" w:rsidRPr="00F641BF" w14:paraId="7D6C1EB5" w14:textId="77777777" w:rsidTr="00637FB4">
        <w:tc>
          <w:tcPr>
            <w:tcW w:w="0" w:type="auto"/>
            <w:vAlign w:val="bottom"/>
            <w:hideMark/>
          </w:tcPr>
          <w:p w14:paraId="55BE1CA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795EABA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Procurement scale</w:t>
            </w:r>
          </w:p>
        </w:tc>
        <w:tc>
          <w:tcPr>
            <w:tcW w:w="0" w:type="auto"/>
            <w:vAlign w:val="bottom"/>
            <w:hideMark/>
          </w:tcPr>
          <w:p w14:paraId="3FEC163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Yes</w:t>
            </w:r>
          </w:p>
        </w:tc>
        <w:tc>
          <w:tcPr>
            <w:tcW w:w="0" w:type="auto"/>
            <w:vAlign w:val="bottom"/>
            <w:hideMark/>
          </w:tcPr>
          <w:p w14:paraId="5F1CE8B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731878D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Low-Medium</w:t>
            </w:r>
          </w:p>
        </w:tc>
        <w:tc>
          <w:tcPr>
            <w:tcW w:w="0" w:type="auto"/>
            <w:vAlign w:val="bottom"/>
            <w:hideMark/>
          </w:tcPr>
          <w:p w14:paraId="0CDFB69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Import dependence reduces advantage</w:t>
            </w:r>
          </w:p>
        </w:tc>
      </w:tr>
      <w:tr w:rsidR="007F591F" w:rsidRPr="00F641BF" w14:paraId="2A47F332" w14:textId="77777777" w:rsidTr="00637FB4">
        <w:tc>
          <w:tcPr>
            <w:tcW w:w="0" w:type="auto"/>
            <w:vAlign w:val="bottom"/>
            <w:hideMark/>
          </w:tcPr>
          <w:p w14:paraId="37E308E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1BD874A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Brand reputation</w:t>
            </w:r>
          </w:p>
        </w:tc>
        <w:tc>
          <w:tcPr>
            <w:tcW w:w="0" w:type="auto"/>
            <w:vAlign w:val="bottom"/>
            <w:hideMark/>
          </w:tcPr>
          <w:p w14:paraId="59FF3CF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Yes</w:t>
            </w:r>
          </w:p>
        </w:tc>
        <w:tc>
          <w:tcPr>
            <w:tcW w:w="0" w:type="auto"/>
            <w:vAlign w:val="bottom"/>
            <w:hideMark/>
          </w:tcPr>
          <w:p w14:paraId="2FD2F94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c>
          <w:tcPr>
            <w:tcW w:w="0" w:type="auto"/>
            <w:vAlign w:val="bottom"/>
            <w:hideMark/>
          </w:tcPr>
          <w:p w14:paraId="4BB28E1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Low</w:t>
            </w:r>
          </w:p>
        </w:tc>
        <w:tc>
          <w:tcPr>
            <w:tcW w:w="0" w:type="auto"/>
            <w:vAlign w:val="bottom"/>
            <w:hideMark/>
          </w:tcPr>
          <w:p w14:paraId="1C02962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Aldi unknown in India</w:t>
            </w:r>
          </w:p>
        </w:tc>
      </w:tr>
      <w:tr w:rsidR="007F591F" w:rsidRPr="00F641BF" w14:paraId="6D3F638D" w14:textId="77777777" w:rsidTr="00637FB4">
        <w:tc>
          <w:tcPr>
            <w:tcW w:w="0" w:type="auto"/>
            <w:vAlign w:val="bottom"/>
            <w:hideMark/>
          </w:tcPr>
          <w:p w14:paraId="25499D8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Location</w:t>
            </w:r>
          </w:p>
        </w:tc>
        <w:tc>
          <w:tcPr>
            <w:tcW w:w="0" w:type="auto"/>
            <w:vAlign w:val="bottom"/>
            <w:hideMark/>
          </w:tcPr>
          <w:p w14:paraId="142C3DA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Market size/growth</w:t>
            </w:r>
          </w:p>
        </w:tc>
        <w:tc>
          <w:tcPr>
            <w:tcW w:w="0" w:type="auto"/>
            <w:vAlign w:val="bottom"/>
            <w:hideMark/>
          </w:tcPr>
          <w:p w14:paraId="0044DBD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Yes</w:t>
            </w:r>
          </w:p>
        </w:tc>
        <w:tc>
          <w:tcPr>
            <w:tcW w:w="0" w:type="auto"/>
            <w:vAlign w:val="bottom"/>
            <w:hideMark/>
          </w:tcPr>
          <w:p w14:paraId="6CB2DA9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2477B22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1EF9B91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Primary attraction</w:t>
            </w:r>
          </w:p>
        </w:tc>
      </w:tr>
      <w:tr w:rsidR="007F591F" w:rsidRPr="00F641BF" w14:paraId="4551181C" w14:textId="77777777" w:rsidTr="00637FB4">
        <w:tc>
          <w:tcPr>
            <w:tcW w:w="0" w:type="auto"/>
            <w:vAlign w:val="bottom"/>
            <w:hideMark/>
          </w:tcPr>
          <w:p w14:paraId="33DB062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74877EE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Competition intensity</w:t>
            </w:r>
          </w:p>
        </w:tc>
        <w:tc>
          <w:tcPr>
            <w:tcW w:w="0" w:type="auto"/>
            <w:vAlign w:val="bottom"/>
            <w:hideMark/>
          </w:tcPr>
          <w:p w14:paraId="0D1C260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Yes</w:t>
            </w:r>
          </w:p>
        </w:tc>
        <w:tc>
          <w:tcPr>
            <w:tcW w:w="0" w:type="auto"/>
            <w:vAlign w:val="bottom"/>
            <w:hideMark/>
          </w:tcPr>
          <w:p w14:paraId="0BEAD62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c>
          <w:tcPr>
            <w:tcW w:w="0" w:type="auto"/>
            <w:vAlign w:val="bottom"/>
            <w:hideMark/>
          </w:tcPr>
          <w:p w14:paraId="4B2624D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1160B01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Modern retail underdeveloped</w:t>
            </w:r>
          </w:p>
        </w:tc>
      </w:tr>
      <w:tr w:rsidR="007F591F" w:rsidRPr="00F641BF" w14:paraId="77D014D0" w14:textId="77777777" w:rsidTr="00637FB4">
        <w:tc>
          <w:tcPr>
            <w:tcW w:w="0" w:type="auto"/>
            <w:vAlign w:val="bottom"/>
            <w:hideMark/>
          </w:tcPr>
          <w:p w14:paraId="5316C04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2ADABF3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Labour costs</w:t>
            </w:r>
          </w:p>
        </w:tc>
        <w:tc>
          <w:tcPr>
            <w:tcW w:w="0" w:type="auto"/>
            <w:vAlign w:val="bottom"/>
            <w:hideMark/>
          </w:tcPr>
          <w:p w14:paraId="24E6FBB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Yes</w:t>
            </w:r>
          </w:p>
        </w:tc>
        <w:tc>
          <w:tcPr>
            <w:tcW w:w="0" w:type="auto"/>
            <w:vAlign w:val="bottom"/>
            <w:hideMark/>
          </w:tcPr>
          <w:p w14:paraId="4C52BD8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Medium</w:t>
            </w:r>
          </w:p>
        </w:tc>
        <w:tc>
          <w:tcPr>
            <w:tcW w:w="0" w:type="auto"/>
            <w:vAlign w:val="bottom"/>
            <w:hideMark/>
          </w:tcPr>
          <w:p w14:paraId="1D3D79B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5A728E7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Offset by productivity challenges</w:t>
            </w:r>
          </w:p>
        </w:tc>
      </w:tr>
      <w:tr w:rsidR="007F591F" w:rsidRPr="00F641BF" w14:paraId="0AE76368" w14:textId="77777777" w:rsidTr="00637FB4">
        <w:tc>
          <w:tcPr>
            <w:tcW w:w="0" w:type="auto"/>
            <w:vAlign w:val="bottom"/>
            <w:hideMark/>
          </w:tcPr>
          <w:p w14:paraId="04BB688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24A4B06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Supply infrastructure</w:t>
            </w:r>
          </w:p>
        </w:tc>
        <w:tc>
          <w:tcPr>
            <w:tcW w:w="0" w:type="auto"/>
            <w:vAlign w:val="bottom"/>
            <w:hideMark/>
          </w:tcPr>
          <w:p w14:paraId="5D10E25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No</w:t>
            </w:r>
          </w:p>
        </w:tc>
        <w:tc>
          <w:tcPr>
            <w:tcW w:w="0" w:type="auto"/>
            <w:vAlign w:val="bottom"/>
            <w:hideMark/>
          </w:tcPr>
          <w:p w14:paraId="6BC926C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1EE0CEE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316F038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Major disadvantage</w:t>
            </w:r>
          </w:p>
        </w:tc>
      </w:tr>
      <w:tr w:rsidR="007F591F" w:rsidRPr="00F641BF" w14:paraId="7CD10CF6" w14:textId="77777777" w:rsidTr="00637FB4">
        <w:tc>
          <w:tcPr>
            <w:tcW w:w="0" w:type="auto"/>
            <w:vAlign w:val="bottom"/>
            <w:hideMark/>
          </w:tcPr>
          <w:p w14:paraId="69DD4EF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6A2A5C4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Regulatory environment</w:t>
            </w:r>
          </w:p>
        </w:tc>
        <w:tc>
          <w:tcPr>
            <w:tcW w:w="0" w:type="auto"/>
            <w:vAlign w:val="bottom"/>
            <w:hideMark/>
          </w:tcPr>
          <w:p w14:paraId="7623CD4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No</w:t>
            </w:r>
          </w:p>
        </w:tc>
        <w:tc>
          <w:tcPr>
            <w:tcW w:w="0" w:type="auto"/>
            <w:vAlign w:val="bottom"/>
            <w:hideMark/>
          </w:tcPr>
          <w:p w14:paraId="568674A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7F3536E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378823C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Significant disadvantage</w:t>
            </w:r>
          </w:p>
        </w:tc>
      </w:tr>
      <w:tr w:rsidR="007F591F" w:rsidRPr="00F641BF" w14:paraId="0DEAD700" w14:textId="77777777" w:rsidTr="00637FB4">
        <w:tc>
          <w:tcPr>
            <w:tcW w:w="0" w:type="auto"/>
            <w:vAlign w:val="bottom"/>
            <w:hideMark/>
          </w:tcPr>
          <w:p w14:paraId="7AEB35B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Internalisation</w:t>
            </w:r>
          </w:p>
        </w:tc>
        <w:tc>
          <w:tcPr>
            <w:tcW w:w="0" w:type="auto"/>
            <w:vAlign w:val="bottom"/>
            <w:hideMark/>
          </w:tcPr>
          <w:p w14:paraId="2C79CE4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Knowledge protection</w:t>
            </w:r>
          </w:p>
        </w:tc>
        <w:tc>
          <w:tcPr>
            <w:tcW w:w="0" w:type="auto"/>
            <w:vAlign w:val="bottom"/>
            <w:hideMark/>
          </w:tcPr>
          <w:p w14:paraId="57EC722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Yes</w:t>
            </w:r>
          </w:p>
        </w:tc>
        <w:tc>
          <w:tcPr>
            <w:tcW w:w="0" w:type="auto"/>
            <w:vAlign w:val="bottom"/>
            <w:hideMark/>
          </w:tcPr>
          <w:p w14:paraId="24E450F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66038EF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3190752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Favours integration</w:t>
            </w:r>
          </w:p>
        </w:tc>
      </w:tr>
      <w:tr w:rsidR="007F591F" w:rsidRPr="00F641BF" w14:paraId="56C77CFF" w14:textId="77777777" w:rsidTr="00637FB4">
        <w:tc>
          <w:tcPr>
            <w:tcW w:w="0" w:type="auto"/>
            <w:vAlign w:val="bottom"/>
            <w:hideMark/>
          </w:tcPr>
          <w:p w14:paraId="0546C43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06E221B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Quality control needs</w:t>
            </w:r>
          </w:p>
        </w:tc>
        <w:tc>
          <w:tcPr>
            <w:tcW w:w="0" w:type="auto"/>
            <w:vAlign w:val="bottom"/>
            <w:hideMark/>
          </w:tcPr>
          <w:p w14:paraId="2C3411A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Yes</w:t>
            </w:r>
          </w:p>
        </w:tc>
        <w:tc>
          <w:tcPr>
            <w:tcW w:w="0" w:type="auto"/>
            <w:vAlign w:val="bottom"/>
            <w:hideMark/>
          </w:tcPr>
          <w:p w14:paraId="6495A83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High</w:t>
            </w:r>
          </w:p>
        </w:tc>
        <w:tc>
          <w:tcPr>
            <w:tcW w:w="0" w:type="auto"/>
            <w:vAlign w:val="bottom"/>
            <w:hideMark/>
          </w:tcPr>
          <w:p w14:paraId="5C62B4B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51BCE5C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Favours integration</w:t>
            </w:r>
          </w:p>
        </w:tc>
      </w:tr>
      <w:tr w:rsidR="007F591F" w:rsidRPr="00F641BF" w14:paraId="2F44A591" w14:textId="77777777" w:rsidTr="00637FB4">
        <w:tc>
          <w:tcPr>
            <w:tcW w:w="0" w:type="auto"/>
            <w:vAlign w:val="bottom"/>
            <w:hideMark/>
          </w:tcPr>
          <w:p w14:paraId="3E1338F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027C94D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Regulatory constraints</w:t>
            </w:r>
          </w:p>
        </w:tc>
        <w:tc>
          <w:tcPr>
            <w:tcW w:w="0" w:type="auto"/>
            <w:vAlign w:val="bottom"/>
            <w:hideMark/>
          </w:tcPr>
          <w:p w14:paraId="0067291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No</w:t>
            </w:r>
          </w:p>
        </w:tc>
        <w:tc>
          <w:tcPr>
            <w:tcW w:w="0" w:type="auto"/>
            <w:vAlign w:val="bottom"/>
            <w:hideMark/>
          </w:tcPr>
          <w:p w14:paraId="10A1270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11636B8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w:t>
            </w:r>
          </w:p>
        </w:tc>
        <w:tc>
          <w:tcPr>
            <w:tcW w:w="0" w:type="auto"/>
            <w:vAlign w:val="bottom"/>
            <w:hideMark/>
          </w:tcPr>
          <w:p w14:paraId="2E207C1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Forces partnering</w:t>
            </w:r>
          </w:p>
        </w:tc>
      </w:tr>
      <w:tr w:rsidR="007F591F" w:rsidRPr="00F641BF" w14:paraId="43CAA667" w14:textId="77777777" w:rsidTr="00637FB4">
        <w:tc>
          <w:tcPr>
            <w:tcW w:w="0" w:type="auto"/>
            <w:vAlign w:val="bottom"/>
            <w:hideMark/>
          </w:tcPr>
          <w:p w14:paraId="77907C2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lastRenderedPageBreak/>
              <w:t>Overall</w:t>
            </w:r>
          </w:p>
        </w:tc>
        <w:tc>
          <w:tcPr>
            <w:tcW w:w="0" w:type="auto"/>
            <w:vAlign w:val="bottom"/>
            <w:hideMark/>
          </w:tcPr>
          <w:p w14:paraId="7CF79AC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Mixed: strong ownership advantages face significant location disadvantages and internalisation contradictions</w:t>
            </w:r>
          </w:p>
        </w:tc>
        <w:tc>
          <w:tcPr>
            <w:tcW w:w="0" w:type="auto"/>
            <w:vAlign w:val="bottom"/>
            <w:hideMark/>
          </w:tcPr>
          <w:p w14:paraId="41FA214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33DAADC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67498C1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tc>
        <w:tc>
          <w:tcPr>
            <w:tcW w:w="0" w:type="auto"/>
            <w:vAlign w:val="bottom"/>
            <w:hideMark/>
          </w:tcPr>
          <w:p w14:paraId="0B908F0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Entry requires substantial adaptation</w:t>
            </w:r>
          </w:p>
        </w:tc>
      </w:tr>
    </w:tbl>
    <w:p w14:paraId="505E881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i/>
          <w:iCs/>
          <w:kern w:val="36"/>
          <w:lang w:eastAsia="en-GB"/>
          <w14:ligatures w14:val="none"/>
        </w:rPr>
        <w:t>Source: Author analysis based on Dunning (1988)</w:t>
      </w:r>
    </w:p>
    <w:p w14:paraId="5598EAC5" w14:textId="0CA42E22"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66737BC7"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5. ENTRY MODE STRATEGY AND STRATEGIC SYNTHESIS</w:t>
      </w:r>
    </w:p>
    <w:p w14:paraId="776076ED"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Historical Entry Pattern Analysis</w:t>
      </w:r>
    </w:p>
    <w:p w14:paraId="4ABF690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Analysing Aldi's previous international expansion provides empirical grounding for entry mode evaluation. The company has demonstrated consistent preferences with instructive exceptions.</w:t>
      </w:r>
    </w:p>
    <w:p w14:paraId="2C2DAA1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Aldi's historical preference has been wholly-owned subsidiary establishment through organic greenfield development. This pattern characterises entries into the United States (1976), United Kingdom (1990), Ireland (1999), and Australia (2001) (Brandes, 2014). The company typically begins with small distribution infrastructure and limited initial stores, expanding gradually through internally-generated cash flow. This approach enables complete control, protects proprietary systems, and avoids partner conflicts.</w:t>
      </w:r>
    </w:p>
    <w:p w14:paraId="0947EB3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China represents Aldi's most instructive recent experience. Aldi Süd entered through two Shanghai pilot stores in 2017 pursuing wholly-owned operations alongside Tmall platform partnership (Reinartz and Wiegand, 2022). The entry struggled significantly—physical stores failed to achieve projected performance whilst e-commerce faced intense competition from established platforms. By 2020, Aldi closed physical Shanghai stores, maintaining only limited Tmall presence—a de facto partial exit representing significant international failure (Liu and Zhang, 2023).</w:t>
      </w:r>
    </w:p>
    <w:p w14:paraId="2718920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China's experience illuminates lessons relevant to India. Aldi's standardised model faced consumer rejection in markets with different shopping patterns and private label scepticism. Late entry into rapidly-evolving markets created disadvantage versus established players. Limited e-commerce capabilities proved inadequate in digitally-advanced environments. Wholly-owned operations in culturally distant complex markets present substantially higher risk than European expansion (Reinartz and Wiegand, 2022).</w:t>
      </w:r>
    </w:p>
    <w:p w14:paraId="74A7BF1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Aldi has never pursued acquisition-led international entry, franchising, or joint ventures at scale, reflecting institutional preferences for organic development and complete control (Brandes, 2014).</w:t>
      </w:r>
    </w:p>
    <w:p w14:paraId="625B6C7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Table 4: Historical Entry Mode Comparison</w:t>
      </w: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0"/>
        <w:gridCol w:w="831"/>
        <w:gridCol w:w="1669"/>
        <w:gridCol w:w="1911"/>
        <w:gridCol w:w="3479"/>
      </w:tblGrid>
      <w:tr w:rsidR="007F591F" w:rsidRPr="00F641BF" w14:paraId="11270D33" w14:textId="77777777" w:rsidTr="00637FB4">
        <w:trPr>
          <w:tblHeader/>
        </w:trPr>
        <w:tc>
          <w:tcPr>
            <w:tcW w:w="990" w:type="dxa"/>
            <w:noWrap/>
            <w:vAlign w:val="bottom"/>
            <w:hideMark/>
          </w:tcPr>
          <w:p w14:paraId="685CDC3B"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Market</w:t>
            </w:r>
          </w:p>
        </w:tc>
        <w:tc>
          <w:tcPr>
            <w:tcW w:w="831" w:type="dxa"/>
            <w:noWrap/>
            <w:vAlign w:val="bottom"/>
            <w:hideMark/>
          </w:tcPr>
          <w:p w14:paraId="4D79BCD1"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Year</w:t>
            </w:r>
          </w:p>
        </w:tc>
        <w:tc>
          <w:tcPr>
            <w:tcW w:w="0" w:type="auto"/>
            <w:noWrap/>
            <w:vAlign w:val="bottom"/>
            <w:hideMark/>
          </w:tcPr>
          <w:p w14:paraId="524D81A8"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Mode</w:t>
            </w:r>
          </w:p>
        </w:tc>
        <w:tc>
          <w:tcPr>
            <w:tcW w:w="0" w:type="auto"/>
            <w:noWrap/>
            <w:vAlign w:val="bottom"/>
            <w:hideMark/>
          </w:tcPr>
          <w:p w14:paraId="0273DACF"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Performance</w:t>
            </w:r>
          </w:p>
        </w:tc>
        <w:tc>
          <w:tcPr>
            <w:tcW w:w="0" w:type="auto"/>
            <w:noWrap/>
            <w:vAlign w:val="bottom"/>
            <w:hideMark/>
          </w:tcPr>
          <w:p w14:paraId="319DE355"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India Lessons</w:t>
            </w:r>
          </w:p>
        </w:tc>
      </w:tr>
      <w:tr w:rsidR="007F591F" w:rsidRPr="00F641BF" w14:paraId="4971DA69" w14:textId="77777777" w:rsidTr="00637FB4">
        <w:tc>
          <w:tcPr>
            <w:tcW w:w="990" w:type="dxa"/>
            <w:vAlign w:val="bottom"/>
            <w:hideMark/>
          </w:tcPr>
          <w:p w14:paraId="2232156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United States</w:t>
            </w:r>
          </w:p>
        </w:tc>
        <w:tc>
          <w:tcPr>
            <w:tcW w:w="831" w:type="dxa"/>
            <w:vAlign w:val="bottom"/>
            <w:hideMark/>
          </w:tcPr>
          <w:p w14:paraId="766CBD6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1976</w:t>
            </w:r>
          </w:p>
        </w:tc>
        <w:tc>
          <w:tcPr>
            <w:tcW w:w="0" w:type="auto"/>
            <w:vAlign w:val="bottom"/>
            <w:hideMark/>
          </w:tcPr>
          <w:p w14:paraId="44AB0B3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Wholly-owned greenfield</w:t>
            </w:r>
          </w:p>
        </w:tc>
        <w:tc>
          <w:tcPr>
            <w:tcW w:w="0" w:type="auto"/>
            <w:vAlign w:val="bottom"/>
            <w:hideMark/>
          </w:tcPr>
          <w:p w14:paraId="70D9D49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Success (2,300+ stores)</w:t>
            </w:r>
          </w:p>
        </w:tc>
        <w:tc>
          <w:tcPr>
            <w:tcW w:w="0" w:type="auto"/>
            <w:vAlign w:val="bottom"/>
            <w:hideMark/>
          </w:tcPr>
          <w:p w14:paraId="6FBD3A4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Gradual expansion viable; long-term commitment required</w:t>
            </w:r>
          </w:p>
        </w:tc>
      </w:tr>
      <w:tr w:rsidR="007F591F" w:rsidRPr="00F641BF" w14:paraId="6F130C1E" w14:textId="77777777" w:rsidTr="00637FB4">
        <w:tc>
          <w:tcPr>
            <w:tcW w:w="990" w:type="dxa"/>
            <w:vAlign w:val="bottom"/>
            <w:hideMark/>
          </w:tcPr>
          <w:p w14:paraId="2FD4CA8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United Kingdom</w:t>
            </w:r>
          </w:p>
        </w:tc>
        <w:tc>
          <w:tcPr>
            <w:tcW w:w="831" w:type="dxa"/>
            <w:vAlign w:val="bottom"/>
            <w:hideMark/>
          </w:tcPr>
          <w:p w14:paraId="116A9BD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1990</w:t>
            </w:r>
          </w:p>
        </w:tc>
        <w:tc>
          <w:tcPr>
            <w:tcW w:w="0" w:type="auto"/>
            <w:vAlign w:val="bottom"/>
            <w:hideMark/>
          </w:tcPr>
          <w:p w14:paraId="41E8AE0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Wholly-owned greenfield</w:t>
            </w:r>
          </w:p>
        </w:tc>
        <w:tc>
          <w:tcPr>
            <w:tcW w:w="0" w:type="auto"/>
            <w:vAlign w:val="bottom"/>
            <w:hideMark/>
          </w:tcPr>
          <w:p w14:paraId="1668AA6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Success (1,000+ stores)</w:t>
            </w:r>
          </w:p>
        </w:tc>
        <w:tc>
          <w:tcPr>
            <w:tcW w:w="0" w:type="auto"/>
            <w:vAlign w:val="bottom"/>
            <w:hideMark/>
          </w:tcPr>
          <w:p w14:paraId="485E91F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Cultural proximity enables transfer</w:t>
            </w:r>
          </w:p>
        </w:tc>
      </w:tr>
      <w:tr w:rsidR="007F591F" w:rsidRPr="00F641BF" w14:paraId="38D9D2EE" w14:textId="77777777" w:rsidTr="00637FB4">
        <w:tc>
          <w:tcPr>
            <w:tcW w:w="990" w:type="dxa"/>
            <w:vAlign w:val="bottom"/>
            <w:hideMark/>
          </w:tcPr>
          <w:p w14:paraId="48C4D51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Australia</w:t>
            </w:r>
          </w:p>
        </w:tc>
        <w:tc>
          <w:tcPr>
            <w:tcW w:w="831" w:type="dxa"/>
            <w:vAlign w:val="bottom"/>
            <w:hideMark/>
          </w:tcPr>
          <w:p w14:paraId="4230508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2001</w:t>
            </w:r>
          </w:p>
        </w:tc>
        <w:tc>
          <w:tcPr>
            <w:tcW w:w="0" w:type="auto"/>
            <w:vAlign w:val="bottom"/>
            <w:hideMark/>
          </w:tcPr>
          <w:p w14:paraId="528E8EE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Wholly-owned greenfield</w:t>
            </w:r>
          </w:p>
        </w:tc>
        <w:tc>
          <w:tcPr>
            <w:tcW w:w="0" w:type="auto"/>
            <w:vAlign w:val="bottom"/>
            <w:hideMark/>
          </w:tcPr>
          <w:p w14:paraId="420D2CC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Success after slow start</w:t>
            </w:r>
          </w:p>
        </w:tc>
        <w:tc>
          <w:tcPr>
            <w:tcW w:w="0" w:type="auto"/>
            <w:vAlign w:val="bottom"/>
            <w:hideMark/>
          </w:tcPr>
          <w:p w14:paraId="0E7BA79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Supply chain development time-intensive</w:t>
            </w:r>
          </w:p>
        </w:tc>
      </w:tr>
      <w:tr w:rsidR="007F591F" w:rsidRPr="00F641BF" w14:paraId="2889BBBC" w14:textId="77777777" w:rsidTr="00637FB4">
        <w:tc>
          <w:tcPr>
            <w:tcW w:w="990" w:type="dxa"/>
            <w:vAlign w:val="bottom"/>
            <w:hideMark/>
          </w:tcPr>
          <w:p w14:paraId="177DC45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China</w:t>
            </w:r>
          </w:p>
        </w:tc>
        <w:tc>
          <w:tcPr>
            <w:tcW w:w="831" w:type="dxa"/>
            <w:vAlign w:val="bottom"/>
            <w:hideMark/>
          </w:tcPr>
          <w:p w14:paraId="4EE1E2D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2017</w:t>
            </w:r>
          </w:p>
        </w:tc>
        <w:tc>
          <w:tcPr>
            <w:tcW w:w="0" w:type="auto"/>
            <w:vAlign w:val="bottom"/>
            <w:hideMark/>
          </w:tcPr>
          <w:p w14:paraId="4AC85CD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Wholly-owned + platform</w:t>
            </w:r>
          </w:p>
        </w:tc>
        <w:tc>
          <w:tcPr>
            <w:tcW w:w="0" w:type="auto"/>
            <w:vAlign w:val="bottom"/>
            <w:hideMark/>
          </w:tcPr>
          <w:p w14:paraId="039FC02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Failure (exit 2020)</w:t>
            </w:r>
          </w:p>
        </w:tc>
        <w:tc>
          <w:tcPr>
            <w:tcW w:w="0" w:type="auto"/>
            <w:vAlign w:val="bottom"/>
            <w:hideMark/>
          </w:tcPr>
          <w:p w14:paraId="229AD27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Cultural distance creates incompatibility; late entry problematic</w:t>
            </w:r>
          </w:p>
        </w:tc>
      </w:tr>
    </w:tbl>
    <w:p w14:paraId="46F3E93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i/>
          <w:iCs/>
          <w:kern w:val="36"/>
          <w:lang w:eastAsia="en-GB"/>
          <w14:ligatures w14:val="none"/>
        </w:rPr>
        <w:t>Source: Author analysis from company data</w:t>
      </w:r>
    </w:p>
    <w:p w14:paraId="164705F4"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Entry Mode Evaluation and Recommendation</w:t>
      </w:r>
    </w:p>
    <w:p w14:paraId="3DBC17B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Evaluating alternatives requires assessing regulatory compliance, risk exposure, resource requirements, control preservation, and strategic flexibility.</w:t>
      </w:r>
    </w:p>
    <w:p w14:paraId="73E78D0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Wholly-Owned Subsidiary</w:t>
      </w:r>
      <w:r w:rsidRPr="00F641BF">
        <w:rPr>
          <w:rFonts w:ascii="Arial" w:eastAsia="Times New Roman" w:hAnsi="Arial" w:cs="Arial"/>
          <w:kern w:val="36"/>
          <w:lang w:eastAsia="en-GB"/>
          <w14:ligatures w14:val="none"/>
        </w:rPr>
        <w:t>: Represents Aldi's preference but faces regulatory prohibition under MBRT restrictions. SBRT classification for private labels creates impractical complexity requiring individual brand approvals. Furthermore, wholly-</w:t>
      </w:r>
      <w:r w:rsidRPr="00F641BF">
        <w:rPr>
          <w:rFonts w:ascii="Arial" w:eastAsia="Times New Roman" w:hAnsi="Arial" w:cs="Arial"/>
          <w:kern w:val="36"/>
          <w:lang w:eastAsia="en-GB"/>
          <w14:ligatures w14:val="none"/>
        </w:rPr>
        <w:lastRenderedPageBreak/>
        <w:t>owned investment concentrates risk, as China experience demonstrated (Liu and Zhang, 2023).</w:t>
      </w:r>
    </w:p>
    <w:p w14:paraId="151AC19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Acquisition</w:t>
      </w:r>
      <w:r w:rsidRPr="00F641BF">
        <w:rPr>
          <w:rFonts w:ascii="Arial" w:eastAsia="Times New Roman" w:hAnsi="Arial" w:cs="Arial"/>
          <w:kern w:val="36"/>
          <w:lang w:eastAsia="en-GB"/>
          <w14:ligatures w14:val="none"/>
        </w:rPr>
        <w:t>: Would provide immediate presence, infrastructure, and compliance mechanisms. However, this contradicts Aldi's institutional preferences and operational requirements. Available targets operate conventional models incompatible with discount format, requiring extensive transformation—capabilities Aldi has never demonstrated (Colla, 2023). Valuation premiums challenge financial discipline (PwC India, 2024).</w:t>
      </w:r>
    </w:p>
    <w:p w14:paraId="3E820C4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Franchising</w:t>
      </w:r>
      <w:r w:rsidRPr="00F641BF">
        <w:rPr>
          <w:rFonts w:ascii="Arial" w:eastAsia="Times New Roman" w:hAnsi="Arial" w:cs="Arial"/>
          <w:kern w:val="36"/>
          <w:lang w:eastAsia="en-GB"/>
          <w14:ligatures w14:val="none"/>
        </w:rPr>
        <w:t>: Enables presence with minimal capital but fundamentally contradicts operational requirements. Discount model advantage derives from integrated execution of detailed practices requiring centralised control. Franchisee quality control challenges risk brand damage (Colla, 2023). Aldi lacks franchising capabilities in selection, training, and monitoring (Brandes, 2014).</w:t>
      </w:r>
    </w:p>
    <w:p w14:paraId="1E1E101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Strategic Alliance</w:t>
      </w:r>
      <w:r w:rsidRPr="00F641BF">
        <w:rPr>
          <w:rFonts w:ascii="Arial" w:eastAsia="Times New Roman" w:hAnsi="Arial" w:cs="Arial"/>
          <w:kern w:val="36"/>
          <w:lang w:eastAsia="en-GB"/>
          <w14:ligatures w14:val="none"/>
        </w:rPr>
        <w:t>: Non-equity alliances for specific functions could provide targeted expertise but still confront MBRT barriers. Functional alliances create coordination complexity and potential knowledge spillover to future competitors (Hennart, 2012).</w:t>
      </w:r>
    </w:p>
    <w:p w14:paraId="025CAF8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Joint Venture</w:t>
      </w:r>
      <w:r w:rsidRPr="00F641BF">
        <w:rPr>
          <w:rFonts w:ascii="Arial" w:eastAsia="Times New Roman" w:hAnsi="Arial" w:cs="Arial"/>
          <w:kern w:val="36"/>
          <w:lang w:eastAsia="en-GB"/>
          <w14:ligatures w14:val="none"/>
        </w:rPr>
        <w:t>: Equity joint ventures combine control elements, local knowledge access, regulatory navigation, and risk sharing. Structure could navigate FDI restrictions if designed appropriately, with Indian partners providing market access whilst Aldi contributes expertise and systems (Singh and Kumar, 2023). However, joint ventures introduce partner selection challenges, governance complexity, potential opportunism, and profit dilution (Hennart, 2012).</w:t>
      </w:r>
    </w:p>
    <w:p w14:paraId="152CD1E5" w14:textId="572A82D8" w:rsidR="00404866" w:rsidRPr="00F641BF" w:rsidRDefault="00404866"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noProof/>
          <w:kern w:val="36"/>
          <w:lang w:eastAsia="en-GB"/>
          <w14:ligatures w14:val="none"/>
        </w:rPr>
        <w:lastRenderedPageBreak/>
        <w:drawing>
          <wp:inline distT="0" distB="0" distL="0" distR="0" wp14:anchorId="14EA8A10" wp14:editId="4DACA57C">
            <wp:extent cx="5731510" cy="3248025"/>
            <wp:effectExtent l="0" t="0" r="0" b="3175"/>
            <wp:docPr id="2051240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40499" name=""/>
                    <pic:cNvPicPr/>
                  </pic:nvPicPr>
                  <pic:blipFill>
                    <a:blip r:embed="rId12"/>
                    <a:stretch>
                      <a:fillRect/>
                    </a:stretch>
                  </pic:blipFill>
                  <pic:spPr>
                    <a:xfrm>
                      <a:off x="0" y="0"/>
                      <a:ext cx="5731510" cy="3248025"/>
                    </a:xfrm>
                    <a:prstGeom prst="rect">
                      <a:avLst/>
                    </a:prstGeom>
                  </pic:spPr>
                </pic:pic>
              </a:graphicData>
            </a:graphic>
          </wp:inline>
        </w:drawing>
      </w:r>
    </w:p>
    <w:p w14:paraId="2854E27F" w14:textId="5F6EDE18" w:rsidR="00404866" w:rsidRPr="00F641BF" w:rsidRDefault="00404866"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Figure 4: Joint ventures provide access to local market knowledge while sharing investment risk.</w:t>
      </w:r>
    </w:p>
    <w:p w14:paraId="38C5BD95"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Recommendation: Phased Minority Joint Venture</w:t>
      </w:r>
    </w:p>
    <w:p w14:paraId="1506CF2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The recommended entry mode is </w:t>
      </w:r>
      <w:r w:rsidRPr="00F641BF">
        <w:rPr>
          <w:rFonts w:ascii="Arial" w:eastAsia="Times New Roman" w:hAnsi="Arial" w:cs="Arial"/>
          <w:b/>
          <w:bCs/>
          <w:kern w:val="36"/>
          <w:lang w:eastAsia="en-GB"/>
          <w14:ligatures w14:val="none"/>
        </w:rPr>
        <w:t>phased minority joint venture</w:t>
      </w:r>
      <w:r w:rsidRPr="00F641BF">
        <w:rPr>
          <w:rFonts w:ascii="Arial" w:eastAsia="Times New Roman" w:hAnsi="Arial" w:cs="Arial"/>
          <w:kern w:val="36"/>
          <w:lang w:eastAsia="en-GB"/>
          <w14:ligatures w14:val="none"/>
        </w:rPr>
        <w:t> structured as follows:</w:t>
      </w:r>
    </w:p>
    <w:p w14:paraId="4146DE3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Phase 1 (Years 1-3)</w:t>
      </w:r>
      <w:r w:rsidRPr="00F641BF">
        <w:rPr>
          <w:rFonts w:ascii="Arial" w:eastAsia="Times New Roman" w:hAnsi="Arial" w:cs="Arial"/>
          <w:kern w:val="36"/>
          <w:lang w:eastAsia="en-GB"/>
          <w14:ligatures w14:val="none"/>
        </w:rPr>
        <w:t>: Establish joint venture with established Indian food retailer possessing regulatory compliance, supply chain infrastructure, real estate capabilities, and market credibility. Aldi takes 26-49% equity stake. Focus on 10-15 pilot stores in one metropolitan market (Bangalore or Hyderabad recommended based on regulatory environment and demographics). Minority stake reduces capital commitment whilst enabling operational influence through governance rights.</w:t>
      </w:r>
    </w:p>
    <w:p w14:paraId="56C7E14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Phase 2 (Years 4-7)</w:t>
      </w:r>
      <w:r w:rsidRPr="00F641BF">
        <w:rPr>
          <w:rFonts w:ascii="Arial" w:eastAsia="Times New Roman" w:hAnsi="Arial" w:cs="Arial"/>
          <w:kern w:val="36"/>
          <w:lang w:eastAsia="en-GB"/>
          <w14:ligatures w14:val="none"/>
        </w:rPr>
        <w:t>: Contingent on Phase 1 success metrics (store profitability, consumer acceptance, operational effectiveness), expand to 50-75 stores across 3-4 metropolitan markets whilst potentially increasing stake to 51% if regulatory environment permits and partnership proves functional.</w:t>
      </w:r>
    </w:p>
    <w:p w14:paraId="4D1995C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lastRenderedPageBreak/>
        <w:t>Phase 3 (Years 8+)</w:t>
      </w:r>
      <w:r w:rsidRPr="00F641BF">
        <w:rPr>
          <w:rFonts w:ascii="Arial" w:eastAsia="Times New Roman" w:hAnsi="Arial" w:cs="Arial"/>
          <w:kern w:val="36"/>
          <w:lang w:eastAsia="en-GB"/>
          <w14:ligatures w14:val="none"/>
        </w:rPr>
        <w:t>: Evaluate long-term options including continued partnership expansion, partner buyout if regulations permit, or strategic exit if model proves non-viable.</w:t>
      </w:r>
    </w:p>
    <w:p w14:paraId="6994470A" w14:textId="2A2B049D"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Justification</w:t>
      </w:r>
      <w:r w:rsidRPr="00F641BF">
        <w:rPr>
          <w:rFonts w:ascii="Arial" w:eastAsia="Times New Roman" w:hAnsi="Arial" w:cs="Arial"/>
          <w:kern w:val="36"/>
          <w:lang w:eastAsia="en-GB"/>
          <w14:ligatures w14:val="none"/>
        </w:rPr>
        <w:t xml:space="preserve">: </w:t>
      </w:r>
      <w:r w:rsidR="00025E33" w:rsidRPr="00F641BF">
        <w:rPr>
          <w:rFonts w:ascii="Arial" w:eastAsia="Times New Roman" w:hAnsi="Arial" w:cs="Arial"/>
          <w:kern w:val="36"/>
          <w:lang w:eastAsia="en-GB"/>
          <w14:ligatures w14:val="none"/>
        </w:rPr>
        <w:t>This recommendation attempts to address the main opportunities and risks identified in the analysis</w:t>
      </w:r>
      <w:r w:rsidRPr="00F641BF">
        <w:rPr>
          <w:rFonts w:ascii="Arial" w:eastAsia="Times New Roman" w:hAnsi="Arial" w:cs="Arial"/>
          <w:kern w:val="36"/>
          <w:lang w:eastAsia="en-GB"/>
          <w14:ligatures w14:val="none"/>
        </w:rPr>
        <w:t>. Regulatory compliance is achieved through partnership structure (DPIIT, 2024). Risk mitigation occurs through phased approach with minority initial stake limiting exposure. Exit options after Phase 1 protect against investment loss similar to China (Liu and Zhang, 2023). Local knowledge access addresses location disadvantages identified in OLI analysis—partners provide regulatory navigation, supplier relationships, and cultural insight Aldi lacks (Singh and Kumar, 2023). Operational control through governance arrangements preserves some internalisation advantages despite shared ownership (Hennart, 2012). Strategic flexibility through phased structure with decision gates enables adaptation based on learning.</w:t>
      </w:r>
    </w:p>
    <w:p w14:paraId="7876309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Critical Acknowledgement</w:t>
      </w:r>
      <w:r w:rsidRPr="00F641BF">
        <w:rPr>
          <w:rFonts w:ascii="Arial" w:eastAsia="Times New Roman" w:hAnsi="Arial" w:cs="Arial"/>
          <w:kern w:val="36"/>
          <w:lang w:eastAsia="en-GB"/>
          <w14:ligatures w14:val="none"/>
        </w:rPr>
        <w:t>: This represents pragmatic compromise rather than optimal solution. Joint venture contradicts Aldi's historical preferences and introduces partnership complexities. Minority stake constrains operational control necessary for authentic model implementation. Required adaptations may dilute efficiency advantages constituting competitive advantage (Colla, 2023). Market entry success remains uncertain despite optimal execution, given cultural distance, infrastructure challenges, and competitive intensity.</w:t>
      </w:r>
    </w:p>
    <w:p w14:paraId="6933B2A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Table 5: Entry Mode Evaluation Matrix</w:t>
      </w:r>
    </w:p>
    <w:tbl>
      <w:tblPr>
        <w:tblW w:w="9924" w:type="dxa"/>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35"/>
        <w:gridCol w:w="1515"/>
        <w:gridCol w:w="895"/>
        <w:gridCol w:w="1134"/>
        <w:gridCol w:w="1134"/>
        <w:gridCol w:w="1276"/>
        <w:gridCol w:w="1275"/>
        <w:gridCol w:w="1560"/>
      </w:tblGrid>
      <w:tr w:rsidR="007F591F" w:rsidRPr="00F641BF" w14:paraId="6259BEA9" w14:textId="77777777" w:rsidTr="00637FB4">
        <w:trPr>
          <w:trHeight w:val="659"/>
          <w:tblHeader/>
        </w:trPr>
        <w:tc>
          <w:tcPr>
            <w:tcW w:w="1135" w:type="dxa"/>
            <w:noWrap/>
            <w:vAlign w:val="bottom"/>
            <w:hideMark/>
          </w:tcPr>
          <w:p w14:paraId="7F5A8729" w14:textId="77777777" w:rsidR="007F591F" w:rsidRPr="00F641BF" w:rsidRDefault="007F591F" w:rsidP="00F641BF">
            <w:pPr>
              <w:spacing w:before="100" w:beforeAutospacing="1" w:after="100" w:afterAutospacing="1" w:line="360" w:lineRule="auto"/>
              <w:rPr>
                <w:rFonts w:ascii="Arial" w:eastAsia="Times New Roman" w:hAnsi="Arial" w:cs="Arial"/>
                <w:b/>
                <w:bCs/>
                <w:kern w:val="36"/>
                <w:sz w:val="22"/>
                <w:szCs w:val="22"/>
                <w:lang w:eastAsia="en-GB"/>
                <w14:ligatures w14:val="none"/>
              </w:rPr>
            </w:pPr>
            <w:r w:rsidRPr="00F641BF">
              <w:rPr>
                <w:rFonts w:ascii="Arial" w:eastAsia="Times New Roman" w:hAnsi="Arial" w:cs="Arial"/>
                <w:b/>
                <w:bCs/>
                <w:kern w:val="36"/>
                <w:sz w:val="22"/>
                <w:szCs w:val="22"/>
                <w:lang w:eastAsia="en-GB"/>
                <w14:ligatures w14:val="none"/>
              </w:rPr>
              <w:t>Mode</w:t>
            </w:r>
          </w:p>
        </w:tc>
        <w:tc>
          <w:tcPr>
            <w:tcW w:w="1515" w:type="dxa"/>
            <w:noWrap/>
            <w:vAlign w:val="bottom"/>
            <w:hideMark/>
          </w:tcPr>
          <w:p w14:paraId="4F003AD0" w14:textId="77777777" w:rsidR="007F591F" w:rsidRPr="00F641BF" w:rsidRDefault="007F591F" w:rsidP="00F641BF">
            <w:pPr>
              <w:spacing w:before="100" w:beforeAutospacing="1" w:after="100" w:afterAutospacing="1" w:line="360" w:lineRule="auto"/>
              <w:rPr>
                <w:rFonts w:ascii="Arial" w:eastAsia="Times New Roman" w:hAnsi="Arial" w:cs="Arial"/>
                <w:b/>
                <w:bCs/>
                <w:kern w:val="36"/>
                <w:sz w:val="22"/>
                <w:szCs w:val="22"/>
                <w:lang w:eastAsia="en-GB"/>
                <w14:ligatures w14:val="none"/>
              </w:rPr>
            </w:pPr>
            <w:r w:rsidRPr="00F641BF">
              <w:rPr>
                <w:rFonts w:ascii="Arial" w:eastAsia="Times New Roman" w:hAnsi="Arial" w:cs="Arial"/>
                <w:b/>
                <w:bCs/>
                <w:kern w:val="36"/>
                <w:sz w:val="22"/>
                <w:szCs w:val="22"/>
                <w:lang w:eastAsia="en-GB"/>
                <w14:ligatures w14:val="none"/>
              </w:rPr>
              <w:t>Regulatory Compliance</w:t>
            </w:r>
          </w:p>
        </w:tc>
        <w:tc>
          <w:tcPr>
            <w:tcW w:w="895" w:type="dxa"/>
            <w:noWrap/>
            <w:vAlign w:val="bottom"/>
            <w:hideMark/>
          </w:tcPr>
          <w:p w14:paraId="56DD0E42" w14:textId="77777777" w:rsidR="007F591F" w:rsidRPr="00F641BF" w:rsidRDefault="007F591F" w:rsidP="00F641BF">
            <w:pPr>
              <w:spacing w:before="100" w:beforeAutospacing="1" w:after="100" w:afterAutospacing="1" w:line="360" w:lineRule="auto"/>
              <w:rPr>
                <w:rFonts w:ascii="Arial" w:eastAsia="Times New Roman" w:hAnsi="Arial" w:cs="Arial"/>
                <w:b/>
                <w:bCs/>
                <w:kern w:val="36"/>
                <w:sz w:val="22"/>
                <w:szCs w:val="22"/>
                <w:lang w:eastAsia="en-GB"/>
                <w14:ligatures w14:val="none"/>
              </w:rPr>
            </w:pPr>
            <w:r w:rsidRPr="00F641BF">
              <w:rPr>
                <w:rFonts w:ascii="Arial" w:eastAsia="Times New Roman" w:hAnsi="Arial" w:cs="Arial"/>
                <w:b/>
                <w:bCs/>
                <w:kern w:val="36"/>
                <w:sz w:val="22"/>
                <w:szCs w:val="22"/>
                <w:lang w:eastAsia="en-GB"/>
                <w14:ligatures w14:val="none"/>
              </w:rPr>
              <w:t>Risk</w:t>
            </w:r>
          </w:p>
        </w:tc>
        <w:tc>
          <w:tcPr>
            <w:tcW w:w="1134" w:type="dxa"/>
            <w:noWrap/>
            <w:vAlign w:val="bottom"/>
            <w:hideMark/>
          </w:tcPr>
          <w:p w14:paraId="7978EBDD" w14:textId="77777777" w:rsidR="007F591F" w:rsidRPr="00F641BF" w:rsidRDefault="007F591F" w:rsidP="00F641BF">
            <w:pPr>
              <w:spacing w:before="100" w:beforeAutospacing="1" w:after="100" w:afterAutospacing="1" w:line="360" w:lineRule="auto"/>
              <w:rPr>
                <w:rFonts w:ascii="Arial" w:eastAsia="Times New Roman" w:hAnsi="Arial" w:cs="Arial"/>
                <w:b/>
                <w:bCs/>
                <w:kern w:val="36"/>
                <w:sz w:val="22"/>
                <w:szCs w:val="22"/>
                <w:lang w:eastAsia="en-GB"/>
                <w14:ligatures w14:val="none"/>
              </w:rPr>
            </w:pPr>
            <w:r w:rsidRPr="00F641BF">
              <w:rPr>
                <w:rFonts w:ascii="Arial" w:eastAsia="Times New Roman" w:hAnsi="Arial" w:cs="Arial"/>
                <w:b/>
                <w:bCs/>
                <w:kern w:val="36"/>
                <w:sz w:val="22"/>
                <w:szCs w:val="22"/>
                <w:lang w:eastAsia="en-GB"/>
                <w14:ligatures w14:val="none"/>
              </w:rPr>
              <w:t>Capital</w:t>
            </w:r>
          </w:p>
        </w:tc>
        <w:tc>
          <w:tcPr>
            <w:tcW w:w="1134" w:type="dxa"/>
            <w:noWrap/>
            <w:vAlign w:val="bottom"/>
            <w:hideMark/>
          </w:tcPr>
          <w:p w14:paraId="2EFD8116" w14:textId="77777777" w:rsidR="007F591F" w:rsidRPr="00F641BF" w:rsidRDefault="007F591F" w:rsidP="00F641BF">
            <w:pPr>
              <w:spacing w:before="100" w:beforeAutospacing="1" w:after="100" w:afterAutospacing="1" w:line="360" w:lineRule="auto"/>
              <w:rPr>
                <w:rFonts w:ascii="Arial" w:eastAsia="Times New Roman" w:hAnsi="Arial" w:cs="Arial"/>
                <w:b/>
                <w:bCs/>
                <w:kern w:val="36"/>
                <w:sz w:val="22"/>
                <w:szCs w:val="22"/>
                <w:lang w:eastAsia="en-GB"/>
                <w14:ligatures w14:val="none"/>
              </w:rPr>
            </w:pPr>
            <w:r w:rsidRPr="00F641BF">
              <w:rPr>
                <w:rFonts w:ascii="Arial" w:eastAsia="Times New Roman" w:hAnsi="Arial" w:cs="Arial"/>
                <w:b/>
                <w:bCs/>
                <w:kern w:val="36"/>
                <w:sz w:val="22"/>
                <w:szCs w:val="22"/>
                <w:lang w:eastAsia="en-GB"/>
                <w14:ligatures w14:val="none"/>
              </w:rPr>
              <w:t>Control</w:t>
            </w:r>
          </w:p>
        </w:tc>
        <w:tc>
          <w:tcPr>
            <w:tcW w:w="1276" w:type="dxa"/>
            <w:noWrap/>
            <w:vAlign w:val="bottom"/>
            <w:hideMark/>
          </w:tcPr>
          <w:p w14:paraId="4E4DEFF3" w14:textId="77777777" w:rsidR="007F591F" w:rsidRPr="00F641BF" w:rsidRDefault="007F591F" w:rsidP="00F641BF">
            <w:pPr>
              <w:spacing w:before="100" w:beforeAutospacing="1" w:after="100" w:afterAutospacing="1" w:line="360" w:lineRule="auto"/>
              <w:rPr>
                <w:rFonts w:ascii="Arial" w:eastAsia="Times New Roman" w:hAnsi="Arial" w:cs="Arial"/>
                <w:b/>
                <w:bCs/>
                <w:kern w:val="36"/>
                <w:sz w:val="22"/>
                <w:szCs w:val="22"/>
                <w:lang w:eastAsia="en-GB"/>
                <w14:ligatures w14:val="none"/>
              </w:rPr>
            </w:pPr>
            <w:r w:rsidRPr="00F641BF">
              <w:rPr>
                <w:rFonts w:ascii="Arial" w:eastAsia="Times New Roman" w:hAnsi="Arial" w:cs="Arial"/>
                <w:b/>
                <w:bCs/>
                <w:kern w:val="36"/>
                <w:sz w:val="22"/>
                <w:szCs w:val="22"/>
                <w:lang w:eastAsia="en-GB"/>
                <w14:ligatures w14:val="none"/>
              </w:rPr>
              <w:t>Local Knowledge</w:t>
            </w:r>
          </w:p>
        </w:tc>
        <w:tc>
          <w:tcPr>
            <w:tcW w:w="1275" w:type="dxa"/>
            <w:noWrap/>
            <w:vAlign w:val="bottom"/>
            <w:hideMark/>
          </w:tcPr>
          <w:p w14:paraId="1EFB17A5" w14:textId="77777777" w:rsidR="007F591F" w:rsidRPr="00F641BF" w:rsidRDefault="007F591F" w:rsidP="00F641BF">
            <w:pPr>
              <w:spacing w:before="100" w:beforeAutospacing="1" w:after="100" w:afterAutospacing="1" w:line="360" w:lineRule="auto"/>
              <w:rPr>
                <w:rFonts w:ascii="Arial" w:eastAsia="Times New Roman" w:hAnsi="Arial" w:cs="Arial"/>
                <w:b/>
                <w:bCs/>
                <w:kern w:val="36"/>
                <w:sz w:val="22"/>
                <w:szCs w:val="22"/>
                <w:lang w:eastAsia="en-GB"/>
                <w14:ligatures w14:val="none"/>
              </w:rPr>
            </w:pPr>
            <w:r w:rsidRPr="00F641BF">
              <w:rPr>
                <w:rFonts w:ascii="Arial" w:eastAsia="Times New Roman" w:hAnsi="Arial" w:cs="Arial"/>
                <w:b/>
                <w:bCs/>
                <w:kern w:val="36"/>
                <w:sz w:val="22"/>
                <w:szCs w:val="22"/>
                <w:lang w:eastAsia="en-GB"/>
                <w14:ligatures w14:val="none"/>
              </w:rPr>
              <w:t>Flexibility</w:t>
            </w:r>
          </w:p>
        </w:tc>
        <w:tc>
          <w:tcPr>
            <w:tcW w:w="1560" w:type="dxa"/>
            <w:noWrap/>
            <w:vAlign w:val="bottom"/>
            <w:hideMark/>
          </w:tcPr>
          <w:p w14:paraId="21C6CAAB" w14:textId="77777777" w:rsidR="007F591F" w:rsidRPr="00F641BF" w:rsidRDefault="007F591F" w:rsidP="00F641BF">
            <w:pPr>
              <w:spacing w:before="100" w:beforeAutospacing="1" w:after="100" w:afterAutospacing="1" w:line="360" w:lineRule="auto"/>
              <w:rPr>
                <w:rFonts w:ascii="Arial" w:eastAsia="Times New Roman" w:hAnsi="Arial" w:cs="Arial"/>
                <w:b/>
                <w:bCs/>
                <w:kern w:val="36"/>
                <w:sz w:val="22"/>
                <w:szCs w:val="22"/>
                <w:lang w:eastAsia="en-GB"/>
                <w14:ligatures w14:val="none"/>
              </w:rPr>
            </w:pPr>
            <w:r w:rsidRPr="00F641BF">
              <w:rPr>
                <w:rFonts w:ascii="Arial" w:eastAsia="Times New Roman" w:hAnsi="Arial" w:cs="Arial"/>
                <w:b/>
                <w:bCs/>
                <w:kern w:val="36"/>
                <w:sz w:val="22"/>
                <w:szCs w:val="22"/>
                <w:lang w:eastAsia="en-GB"/>
                <w14:ligatures w14:val="none"/>
              </w:rPr>
              <w:t>Assessment</w:t>
            </w:r>
          </w:p>
        </w:tc>
      </w:tr>
      <w:tr w:rsidR="007F591F" w:rsidRPr="00F641BF" w14:paraId="7F41CE1B" w14:textId="77777777" w:rsidTr="00637FB4">
        <w:trPr>
          <w:trHeight w:val="1357"/>
        </w:trPr>
        <w:tc>
          <w:tcPr>
            <w:tcW w:w="1135" w:type="dxa"/>
            <w:vAlign w:val="bottom"/>
            <w:hideMark/>
          </w:tcPr>
          <w:p w14:paraId="27F4509B"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Wholly-Owned</w:t>
            </w:r>
          </w:p>
        </w:tc>
        <w:tc>
          <w:tcPr>
            <w:tcW w:w="1515" w:type="dxa"/>
            <w:vAlign w:val="bottom"/>
            <w:hideMark/>
          </w:tcPr>
          <w:p w14:paraId="62C523C5"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Non-compliant</w:t>
            </w:r>
          </w:p>
        </w:tc>
        <w:tc>
          <w:tcPr>
            <w:tcW w:w="895" w:type="dxa"/>
            <w:vAlign w:val="bottom"/>
            <w:hideMark/>
          </w:tcPr>
          <w:p w14:paraId="3FFA3820"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Very High</w:t>
            </w:r>
          </w:p>
        </w:tc>
        <w:tc>
          <w:tcPr>
            <w:tcW w:w="1134" w:type="dxa"/>
            <w:vAlign w:val="bottom"/>
            <w:hideMark/>
          </w:tcPr>
          <w:p w14:paraId="7D47EB41"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Very High</w:t>
            </w:r>
          </w:p>
        </w:tc>
        <w:tc>
          <w:tcPr>
            <w:tcW w:w="1134" w:type="dxa"/>
            <w:vAlign w:val="bottom"/>
            <w:hideMark/>
          </w:tcPr>
          <w:p w14:paraId="4B190F54"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Complete</w:t>
            </w:r>
          </w:p>
        </w:tc>
        <w:tc>
          <w:tcPr>
            <w:tcW w:w="1276" w:type="dxa"/>
            <w:vAlign w:val="bottom"/>
            <w:hideMark/>
          </w:tcPr>
          <w:p w14:paraId="1B6DE6F4"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None</w:t>
            </w:r>
          </w:p>
        </w:tc>
        <w:tc>
          <w:tcPr>
            <w:tcW w:w="1275" w:type="dxa"/>
            <w:vAlign w:val="bottom"/>
            <w:hideMark/>
          </w:tcPr>
          <w:p w14:paraId="6241E585"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Low</w:t>
            </w:r>
          </w:p>
        </w:tc>
        <w:tc>
          <w:tcPr>
            <w:tcW w:w="1560" w:type="dxa"/>
            <w:vAlign w:val="bottom"/>
            <w:hideMark/>
          </w:tcPr>
          <w:p w14:paraId="150F1914"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Not viable</w:t>
            </w:r>
          </w:p>
        </w:tc>
      </w:tr>
      <w:tr w:rsidR="007F591F" w:rsidRPr="00F641BF" w14:paraId="448A3DC8" w14:textId="77777777" w:rsidTr="00637FB4">
        <w:trPr>
          <w:trHeight w:val="1051"/>
        </w:trPr>
        <w:tc>
          <w:tcPr>
            <w:tcW w:w="1135" w:type="dxa"/>
            <w:vAlign w:val="bottom"/>
            <w:hideMark/>
          </w:tcPr>
          <w:p w14:paraId="1A8CEAB5"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Acquisition</w:t>
            </w:r>
          </w:p>
        </w:tc>
        <w:tc>
          <w:tcPr>
            <w:tcW w:w="1515" w:type="dxa"/>
            <w:vAlign w:val="bottom"/>
            <w:hideMark/>
          </w:tcPr>
          <w:p w14:paraId="2B14CFD6"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Compliant</w:t>
            </w:r>
          </w:p>
        </w:tc>
        <w:tc>
          <w:tcPr>
            <w:tcW w:w="895" w:type="dxa"/>
            <w:vAlign w:val="bottom"/>
            <w:hideMark/>
          </w:tcPr>
          <w:p w14:paraId="5876136A"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High</w:t>
            </w:r>
          </w:p>
        </w:tc>
        <w:tc>
          <w:tcPr>
            <w:tcW w:w="1134" w:type="dxa"/>
            <w:vAlign w:val="bottom"/>
            <w:hideMark/>
          </w:tcPr>
          <w:p w14:paraId="44D3BF12"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Very High</w:t>
            </w:r>
          </w:p>
        </w:tc>
        <w:tc>
          <w:tcPr>
            <w:tcW w:w="1134" w:type="dxa"/>
            <w:vAlign w:val="bottom"/>
            <w:hideMark/>
          </w:tcPr>
          <w:p w14:paraId="0A55EF28"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Post-integration</w:t>
            </w:r>
          </w:p>
        </w:tc>
        <w:tc>
          <w:tcPr>
            <w:tcW w:w="1276" w:type="dxa"/>
            <w:vAlign w:val="bottom"/>
            <w:hideMark/>
          </w:tcPr>
          <w:p w14:paraId="1DC48E4D"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Inherited</w:t>
            </w:r>
          </w:p>
        </w:tc>
        <w:tc>
          <w:tcPr>
            <w:tcW w:w="1275" w:type="dxa"/>
            <w:vAlign w:val="bottom"/>
            <w:hideMark/>
          </w:tcPr>
          <w:p w14:paraId="1893DF5D"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Low</w:t>
            </w:r>
          </w:p>
        </w:tc>
        <w:tc>
          <w:tcPr>
            <w:tcW w:w="1560" w:type="dxa"/>
            <w:vAlign w:val="bottom"/>
            <w:hideMark/>
          </w:tcPr>
          <w:p w14:paraId="7BECBFE2"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Not recommended</w:t>
            </w:r>
          </w:p>
        </w:tc>
      </w:tr>
      <w:tr w:rsidR="007F591F" w:rsidRPr="00F641BF" w14:paraId="4DE5FD6B" w14:textId="77777777" w:rsidTr="00637FB4">
        <w:trPr>
          <w:trHeight w:val="1095"/>
        </w:trPr>
        <w:tc>
          <w:tcPr>
            <w:tcW w:w="1135" w:type="dxa"/>
            <w:vAlign w:val="bottom"/>
            <w:hideMark/>
          </w:tcPr>
          <w:p w14:paraId="06710517"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lastRenderedPageBreak/>
              <w:t>Franchising</w:t>
            </w:r>
          </w:p>
        </w:tc>
        <w:tc>
          <w:tcPr>
            <w:tcW w:w="1515" w:type="dxa"/>
            <w:vAlign w:val="bottom"/>
            <w:hideMark/>
          </w:tcPr>
          <w:p w14:paraId="38DCF841"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Potential</w:t>
            </w:r>
          </w:p>
        </w:tc>
        <w:tc>
          <w:tcPr>
            <w:tcW w:w="895" w:type="dxa"/>
            <w:vAlign w:val="bottom"/>
            <w:hideMark/>
          </w:tcPr>
          <w:p w14:paraId="102CB899"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Low (to Aldi)</w:t>
            </w:r>
          </w:p>
        </w:tc>
        <w:tc>
          <w:tcPr>
            <w:tcW w:w="1134" w:type="dxa"/>
            <w:vAlign w:val="bottom"/>
            <w:hideMark/>
          </w:tcPr>
          <w:p w14:paraId="1EB27709"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Low</w:t>
            </w:r>
          </w:p>
        </w:tc>
        <w:tc>
          <w:tcPr>
            <w:tcW w:w="1134" w:type="dxa"/>
            <w:vAlign w:val="bottom"/>
            <w:hideMark/>
          </w:tcPr>
          <w:p w14:paraId="3F8D699D"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Minimal</w:t>
            </w:r>
          </w:p>
        </w:tc>
        <w:tc>
          <w:tcPr>
            <w:tcW w:w="1276" w:type="dxa"/>
            <w:vAlign w:val="bottom"/>
            <w:hideMark/>
          </w:tcPr>
          <w:p w14:paraId="2F19819B"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Variable</w:t>
            </w:r>
          </w:p>
        </w:tc>
        <w:tc>
          <w:tcPr>
            <w:tcW w:w="1275" w:type="dxa"/>
            <w:vAlign w:val="bottom"/>
            <w:hideMark/>
          </w:tcPr>
          <w:p w14:paraId="008DDB6C"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Medium</w:t>
            </w:r>
          </w:p>
        </w:tc>
        <w:tc>
          <w:tcPr>
            <w:tcW w:w="1560" w:type="dxa"/>
            <w:vAlign w:val="bottom"/>
            <w:hideMark/>
          </w:tcPr>
          <w:p w14:paraId="5D2775FB"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Not recommended</w:t>
            </w:r>
          </w:p>
        </w:tc>
      </w:tr>
      <w:tr w:rsidR="007F591F" w:rsidRPr="00F641BF" w14:paraId="332B1BCF" w14:textId="77777777" w:rsidTr="00637FB4">
        <w:trPr>
          <w:trHeight w:val="983"/>
        </w:trPr>
        <w:tc>
          <w:tcPr>
            <w:tcW w:w="1135" w:type="dxa"/>
            <w:vAlign w:val="bottom"/>
            <w:hideMark/>
          </w:tcPr>
          <w:p w14:paraId="0B37D202"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Alliance</w:t>
            </w:r>
          </w:p>
        </w:tc>
        <w:tc>
          <w:tcPr>
            <w:tcW w:w="1515" w:type="dxa"/>
            <w:vAlign w:val="bottom"/>
            <w:hideMark/>
          </w:tcPr>
          <w:p w14:paraId="77804BEC"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Questionable</w:t>
            </w:r>
          </w:p>
        </w:tc>
        <w:tc>
          <w:tcPr>
            <w:tcW w:w="895" w:type="dxa"/>
            <w:vAlign w:val="bottom"/>
            <w:hideMark/>
          </w:tcPr>
          <w:p w14:paraId="0FED9B97"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Medium</w:t>
            </w:r>
          </w:p>
        </w:tc>
        <w:tc>
          <w:tcPr>
            <w:tcW w:w="1134" w:type="dxa"/>
            <w:vAlign w:val="bottom"/>
            <w:hideMark/>
          </w:tcPr>
          <w:p w14:paraId="2976B744"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Medium</w:t>
            </w:r>
          </w:p>
        </w:tc>
        <w:tc>
          <w:tcPr>
            <w:tcW w:w="1134" w:type="dxa"/>
            <w:vAlign w:val="bottom"/>
            <w:hideMark/>
          </w:tcPr>
          <w:p w14:paraId="4A616326"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Shared</w:t>
            </w:r>
          </w:p>
        </w:tc>
        <w:tc>
          <w:tcPr>
            <w:tcW w:w="1276" w:type="dxa"/>
            <w:vAlign w:val="bottom"/>
            <w:hideMark/>
          </w:tcPr>
          <w:p w14:paraId="15259288"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Partner-dependent</w:t>
            </w:r>
          </w:p>
        </w:tc>
        <w:tc>
          <w:tcPr>
            <w:tcW w:w="1275" w:type="dxa"/>
            <w:vAlign w:val="bottom"/>
            <w:hideMark/>
          </w:tcPr>
          <w:p w14:paraId="5D732A32"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Medium</w:t>
            </w:r>
          </w:p>
        </w:tc>
        <w:tc>
          <w:tcPr>
            <w:tcW w:w="1560" w:type="dxa"/>
            <w:vAlign w:val="bottom"/>
            <w:hideMark/>
          </w:tcPr>
          <w:p w14:paraId="2626A23F"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kern w:val="36"/>
                <w:sz w:val="22"/>
                <w:szCs w:val="22"/>
                <w:lang w:eastAsia="en-GB"/>
                <w14:ligatures w14:val="none"/>
              </w:rPr>
              <w:t>Not recommended</w:t>
            </w:r>
          </w:p>
        </w:tc>
      </w:tr>
      <w:tr w:rsidR="007F591F" w:rsidRPr="00F641BF" w14:paraId="264FA6ED" w14:textId="77777777" w:rsidTr="00637FB4">
        <w:trPr>
          <w:trHeight w:val="928"/>
        </w:trPr>
        <w:tc>
          <w:tcPr>
            <w:tcW w:w="1135" w:type="dxa"/>
            <w:vAlign w:val="bottom"/>
            <w:hideMark/>
          </w:tcPr>
          <w:p w14:paraId="17D6B4A2"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b/>
                <w:bCs/>
                <w:kern w:val="36"/>
                <w:sz w:val="22"/>
                <w:szCs w:val="22"/>
                <w:lang w:eastAsia="en-GB"/>
                <w14:ligatures w14:val="none"/>
              </w:rPr>
              <w:t>Joint Venture</w:t>
            </w:r>
          </w:p>
        </w:tc>
        <w:tc>
          <w:tcPr>
            <w:tcW w:w="1515" w:type="dxa"/>
            <w:vAlign w:val="bottom"/>
            <w:hideMark/>
          </w:tcPr>
          <w:p w14:paraId="22DC7BED"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b/>
                <w:bCs/>
                <w:kern w:val="36"/>
                <w:sz w:val="22"/>
                <w:szCs w:val="22"/>
                <w:lang w:eastAsia="en-GB"/>
                <w14:ligatures w14:val="none"/>
              </w:rPr>
              <w:t>Compliant</w:t>
            </w:r>
          </w:p>
        </w:tc>
        <w:tc>
          <w:tcPr>
            <w:tcW w:w="895" w:type="dxa"/>
            <w:vAlign w:val="bottom"/>
            <w:hideMark/>
          </w:tcPr>
          <w:p w14:paraId="7F8AFB1A"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b/>
                <w:bCs/>
                <w:kern w:val="36"/>
                <w:sz w:val="22"/>
                <w:szCs w:val="22"/>
                <w:lang w:eastAsia="en-GB"/>
                <w14:ligatures w14:val="none"/>
              </w:rPr>
              <w:t>Medium-High</w:t>
            </w:r>
          </w:p>
        </w:tc>
        <w:tc>
          <w:tcPr>
            <w:tcW w:w="1134" w:type="dxa"/>
            <w:vAlign w:val="bottom"/>
            <w:hideMark/>
          </w:tcPr>
          <w:p w14:paraId="11D003A4"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b/>
                <w:bCs/>
                <w:kern w:val="36"/>
                <w:sz w:val="22"/>
                <w:szCs w:val="22"/>
                <w:lang w:eastAsia="en-GB"/>
                <w14:ligatures w14:val="none"/>
              </w:rPr>
              <w:t>Medium</w:t>
            </w:r>
          </w:p>
        </w:tc>
        <w:tc>
          <w:tcPr>
            <w:tcW w:w="1134" w:type="dxa"/>
            <w:vAlign w:val="bottom"/>
            <w:hideMark/>
          </w:tcPr>
          <w:p w14:paraId="74287355" w14:textId="77777777" w:rsidR="007F591F" w:rsidRPr="00F641BF" w:rsidRDefault="007F591F" w:rsidP="00F641BF">
            <w:pPr>
              <w:spacing w:before="100" w:beforeAutospacing="1" w:after="100" w:afterAutospacing="1" w:line="360" w:lineRule="auto"/>
              <w:rPr>
                <w:rFonts w:ascii="Arial" w:eastAsia="Times New Roman" w:hAnsi="Arial" w:cs="Arial"/>
                <w:kern w:val="36"/>
                <w:sz w:val="21"/>
                <w:szCs w:val="21"/>
                <w:lang w:eastAsia="en-GB"/>
                <w14:ligatures w14:val="none"/>
              </w:rPr>
            </w:pPr>
            <w:r w:rsidRPr="00F641BF">
              <w:rPr>
                <w:rFonts w:ascii="Arial" w:eastAsia="Times New Roman" w:hAnsi="Arial" w:cs="Arial"/>
                <w:b/>
                <w:bCs/>
                <w:kern w:val="36"/>
                <w:sz w:val="21"/>
                <w:szCs w:val="21"/>
                <w:lang w:eastAsia="en-GB"/>
                <w14:ligatures w14:val="none"/>
              </w:rPr>
              <w:t>Negotiable</w:t>
            </w:r>
          </w:p>
        </w:tc>
        <w:tc>
          <w:tcPr>
            <w:tcW w:w="1276" w:type="dxa"/>
            <w:vAlign w:val="bottom"/>
            <w:hideMark/>
          </w:tcPr>
          <w:p w14:paraId="4EDD6C07"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b/>
                <w:bCs/>
                <w:kern w:val="36"/>
                <w:sz w:val="22"/>
                <w:szCs w:val="22"/>
                <w:lang w:eastAsia="en-GB"/>
                <w14:ligatures w14:val="none"/>
              </w:rPr>
              <w:t>Strong</w:t>
            </w:r>
          </w:p>
        </w:tc>
        <w:tc>
          <w:tcPr>
            <w:tcW w:w="1275" w:type="dxa"/>
            <w:vAlign w:val="bottom"/>
            <w:hideMark/>
          </w:tcPr>
          <w:p w14:paraId="1F8634D1" w14:textId="77777777" w:rsidR="007F591F" w:rsidRPr="00F641BF" w:rsidRDefault="007F591F" w:rsidP="00F641BF">
            <w:pPr>
              <w:spacing w:before="100" w:beforeAutospacing="1" w:after="100" w:afterAutospacing="1" w:line="360" w:lineRule="auto"/>
              <w:rPr>
                <w:rFonts w:ascii="Arial" w:eastAsia="Times New Roman" w:hAnsi="Arial" w:cs="Arial"/>
                <w:kern w:val="36"/>
                <w:sz w:val="22"/>
                <w:szCs w:val="22"/>
                <w:lang w:eastAsia="en-GB"/>
                <w14:ligatures w14:val="none"/>
              </w:rPr>
            </w:pPr>
            <w:r w:rsidRPr="00F641BF">
              <w:rPr>
                <w:rFonts w:ascii="Arial" w:eastAsia="Times New Roman" w:hAnsi="Arial" w:cs="Arial"/>
                <w:b/>
                <w:bCs/>
                <w:kern w:val="36"/>
                <w:sz w:val="22"/>
                <w:szCs w:val="22"/>
                <w:lang w:eastAsia="en-GB"/>
                <w14:ligatures w14:val="none"/>
              </w:rPr>
              <w:t>High</w:t>
            </w:r>
          </w:p>
        </w:tc>
        <w:tc>
          <w:tcPr>
            <w:tcW w:w="1560" w:type="dxa"/>
            <w:vAlign w:val="bottom"/>
            <w:hideMark/>
          </w:tcPr>
          <w:p w14:paraId="7AA4FB75" w14:textId="77777777" w:rsidR="007F591F" w:rsidRPr="00F641BF" w:rsidRDefault="007F591F" w:rsidP="00F641BF">
            <w:pPr>
              <w:spacing w:before="100" w:beforeAutospacing="1" w:after="100" w:afterAutospacing="1" w:line="360" w:lineRule="auto"/>
              <w:rPr>
                <w:rFonts w:ascii="Arial" w:eastAsia="Times New Roman" w:hAnsi="Arial" w:cs="Arial"/>
                <w:kern w:val="36"/>
                <w:sz w:val="18"/>
                <w:szCs w:val="18"/>
                <w:lang w:eastAsia="en-GB"/>
                <w14:ligatures w14:val="none"/>
              </w:rPr>
            </w:pPr>
            <w:r w:rsidRPr="00F641BF">
              <w:rPr>
                <w:rFonts w:ascii="Arial" w:eastAsia="Times New Roman" w:hAnsi="Arial" w:cs="Arial"/>
                <w:b/>
                <w:bCs/>
                <w:kern w:val="36"/>
                <w:sz w:val="18"/>
                <w:szCs w:val="18"/>
                <w:lang w:eastAsia="en-GB"/>
                <w14:ligatures w14:val="none"/>
              </w:rPr>
              <w:t>RECOMMENDED</w:t>
            </w:r>
          </w:p>
        </w:tc>
      </w:tr>
    </w:tbl>
    <w:p w14:paraId="58C3897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i/>
          <w:iCs/>
          <w:kern w:val="36"/>
          <w:lang w:eastAsia="en-GB"/>
          <w14:ligatures w14:val="none"/>
        </w:rPr>
        <w:t>Source: Author analysis</w:t>
      </w:r>
    </w:p>
    <w:p w14:paraId="607DA359" w14:textId="46927C5D"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4EF0769B"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6. CONCLUSION AND RECOMMENDATIONS</w:t>
      </w:r>
    </w:p>
    <w:p w14:paraId="7A02FA0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This analysis evaluated Aldi's potential Indian market entry through systematic application of international business frameworks. Findings reveal complex interplay between opportunity and challenge.</w:t>
      </w:r>
    </w:p>
    <w:p w14:paraId="5F3E3FE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India presents compelling macro-level attractions: $850 billion market projected to reach $1.3 trillion by 2028, expanding middle class with growing purchasing power, underdeveloped modern retail offering positioning opportunities, and digitalisation enabling organised retail operations (World Bank, 2024; Deloitte, 2024). These factors justify serious evaluation.</w:t>
      </w:r>
    </w:p>
    <w:p w14:paraId="7226294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However, applying Bartlett and Ghoshal's (1989) framework revealed that Aldi's international strategic orientation—emphasising standardisation, efficiency, and limited adaptation—creates tensions with India's heterogeneous consumer landscape and fragmented infrastructure. Dunning's (1988) OLI analysis identified genuine ownership advantages in operational efficiency and private label expertise, yet location disadvantages in regulatory barriers, infrastructure deficits, and supplier ecosystem immaturity appear formidable. Internalisation logic favouring wholly-owned operations conflicts with regulatory restrictions forcing partnerships.</w:t>
      </w:r>
    </w:p>
    <w:p w14:paraId="3D0B6B8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The macro-environmental analysis identified material barriers across dimensions. MBRT FDI restrictions prohibit preferred wholly-owned structures. Infrastructure fragmentation undermines efficiency advantages. Cultural factors including daily shopping patterns, private label scepticism, and regional diversity challenge core model elements.</w:t>
      </w:r>
    </w:p>
    <w:p w14:paraId="7A28095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The recommended phased minority joint venture balances regulatory compliance, risk mitigation, and local knowledge access whilst preserving operational influence. However, this represents compromise requiring significant model adaptation and partnership acceptance—potentially diluting the standardisation and efficiency defining Aldi's competitive advantage.</w:t>
      </w:r>
    </w:p>
    <w:p w14:paraId="6CFBCB90" w14:textId="2BC31BD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Strategic Recommendation</w:t>
      </w:r>
      <w:r w:rsidRPr="00F641BF">
        <w:rPr>
          <w:rFonts w:ascii="Arial" w:eastAsia="Times New Roman" w:hAnsi="Arial" w:cs="Arial"/>
          <w:kern w:val="36"/>
          <w:lang w:eastAsia="en-GB"/>
          <w14:ligatures w14:val="none"/>
        </w:rPr>
        <w:t>: India presents </w:t>
      </w:r>
      <w:r w:rsidRPr="00F641BF">
        <w:rPr>
          <w:rFonts w:ascii="Arial" w:eastAsia="Times New Roman" w:hAnsi="Arial" w:cs="Arial"/>
          <w:b/>
          <w:bCs/>
          <w:kern w:val="36"/>
          <w:lang w:eastAsia="en-GB"/>
          <w14:ligatures w14:val="none"/>
        </w:rPr>
        <w:t>moderate attractiveness warranting cautious exploration</w:t>
      </w:r>
      <w:r w:rsidRPr="00F641BF">
        <w:rPr>
          <w:rFonts w:ascii="Arial" w:eastAsia="Times New Roman" w:hAnsi="Arial" w:cs="Arial"/>
          <w:kern w:val="36"/>
          <w:lang w:eastAsia="en-GB"/>
          <w14:ligatures w14:val="none"/>
        </w:rPr>
        <w:t xml:space="preserve"> through the recommended phased approach rather than aggressive commitment. The pilot structure enables learning whilst limiting downside exposure, with clear exit options if fundamental incompatibilities emerge. </w:t>
      </w:r>
    </w:p>
    <w:p w14:paraId="3018D81C" w14:textId="14752E1D" w:rsidR="00D14221"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Key Risks</w:t>
      </w:r>
      <w:r w:rsidRPr="00F641BF">
        <w:rPr>
          <w:rFonts w:ascii="Arial" w:eastAsia="Times New Roman" w:hAnsi="Arial" w:cs="Arial"/>
          <w:kern w:val="36"/>
          <w:lang w:eastAsia="en-GB"/>
          <w14:ligatures w14:val="none"/>
        </w:rPr>
        <w:t>: Regulatory volatility could invalidate entry strategy. Partner conflicts could undermine collaboration. Infrastructure deficits may prevent efficiency realisation. Consumer rejection of private labels and limited assortment could cause performance shortfalls. These risks require active mitigation through regulatory monitoring, rigorous partner selection, conservative timelines, and willingness to adapt.</w:t>
      </w:r>
    </w:p>
    <w:p w14:paraId="38D85198"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p>
    <w:p w14:paraId="035200BB"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p>
    <w:p w14:paraId="2B3B31C0"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p>
    <w:p w14:paraId="5718D5D7"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p>
    <w:p w14:paraId="518B14E8"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p>
    <w:p w14:paraId="2FE1ED3E"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p>
    <w:p w14:paraId="41B731F5" w14:textId="77777777" w:rsidR="00D14221" w:rsidRPr="00F641BF" w:rsidRDefault="00D14221" w:rsidP="00F641BF">
      <w:pPr>
        <w:spacing w:before="100" w:beforeAutospacing="1" w:after="100" w:afterAutospacing="1" w:line="360" w:lineRule="auto"/>
        <w:rPr>
          <w:rFonts w:ascii="Arial" w:eastAsia="Times New Roman" w:hAnsi="Arial" w:cs="Arial"/>
          <w:b/>
          <w:bCs/>
          <w:kern w:val="36"/>
          <w:lang w:eastAsia="en-GB"/>
          <w14:ligatures w14:val="none"/>
        </w:rPr>
      </w:pPr>
    </w:p>
    <w:p w14:paraId="53FB6611" w14:textId="766B3252"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lastRenderedPageBreak/>
        <w:t>REFERENCES</w:t>
      </w:r>
    </w:p>
    <w:p w14:paraId="5FB9754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Bartlett, C.A. and Ghoshal, S. (1989) </w:t>
      </w:r>
      <w:r w:rsidRPr="00F641BF">
        <w:rPr>
          <w:rFonts w:ascii="Arial" w:eastAsia="Times New Roman" w:hAnsi="Arial" w:cs="Arial"/>
          <w:i/>
          <w:iCs/>
          <w:kern w:val="36"/>
          <w:lang w:eastAsia="en-GB"/>
          <w14:ligatures w14:val="none"/>
        </w:rPr>
        <w:t>Managing across borders: The transnational solution</w:t>
      </w:r>
      <w:r w:rsidRPr="00F641BF">
        <w:rPr>
          <w:rFonts w:ascii="Arial" w:eastAsia="Times New Roman" w:hAnsi="Arial" w:cs="Arial"/>
          <w:kern w:val="36"/>
          <w:lang w:eastAsia="en-GB"/>
          <w14:ligatures w14:val="none"/>
        </w:rPr>
        <w:t>. Boston: Harvard Business School Press.</w:t>
      </w:r>
    </w:p>
    <w:p w14:paraId="68D45225"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Brandes, D. (2014) </w:t>
      </w:r>
      <w:r w:rsidRPr="00F641BF">
        <w:rPr>
          <w:rFonts w:ascii="Arial" w:eastAsia="Times New Roman" w:hAnsi="Arial" w:cs="Arial"/>
          <w:i/>
          <w:iCs/>
          <w:kern w:val="36"/>
          <w:lang w:eastAsia="en-GB"/>
          <w14:ligatures w14:val="none"/>
        </w:rPr>
        <w:t>Bare essentials: The Aldi success story</w:t>
      </w:r>
      <w:r w:rsidRPr="00F641BF">
        <w:rPr>
          <w:rFonts w:ascii="Arial" w:eastAsia="Times New Roman" w:hAnsi="Arial" w:cs="Arial"/>
          <w:kern w:val="36"/>
          <w:lang w:eastAsia="en-GB"/>
          <w14:ligatures w14:val="none"/>
        </w:rPr>
        <w:t>. London: Kogan Page.</w:t>
      </w:r>
    </w:p>
    <w:p w14:paraId="3460483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Census of India (2023) </w:t>
      </w:r>
      <w:r w:rsidRPr="00F641BF">
        <w:rPr>
          <w:rFonts w:ascii="Arial" w:eastAsia="Times New Roman" w:hAnsi="Arial" w:cs="Arial"/>
          <w:i/>
          <w:iCs/>
          <w:kern w:val="36"/>
          <w:lang w:eastAsia="en-GB"/>
          <w14:ligatures w14:val="none"/>
        </w:rPr>
        <w:t>Religious composition and dietary practices: National survey results</w:t>
      </w:r>
      <w:r w:rsidRPr="00F641BF">
        <w:rPr>
          <w:rFonts w:ascii="Arial" w:eastAsia="Times New Roman" w:hAnsi="Arial" w:cs="Arial"/>
          <w:kern w:val="36"/>
          <w:lang w:eastAsia="en-GB"/>
          <w14:ligatures w14:val="none"/>
        </w:rPr>
        <w:t>. New Delhi: Office of the Registrar General.</w:t>
      </w:r>
    </w:p>
    <w:p w14:paraId="6CBFE3C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Colla, E. (2023) 'Hard discount retail: Evolution and contemporary strategic challenges', </w:t>
      </w:r>
      <w:r w:rsidRPr="00F641BF">
        <w:rPr>
          <w:rFonts w:ascii="Arial" w:eastAsia="Times New Roman" w:hAnsi="Arial" w:cs="Arial"/>
          <w:i/>
          <w:iCs/>
          <w:kern w:val="36"/>
          <w:lang w:eastAsia="en-GB"/>
          <w14:ligatures w14:val="none"/>
        </w:rPr>
        <w:t>International Journal of Retail &amp; Distribution Management</w:t>
      </w:r>
      <w:r w:rsidRPr="00F641BF">
        <w:rPr>
          <w:rFonts w:ascii="Arial" w:eastAsia="Times New Roman" w:hAnsi="Arial" w:cs="Arial"/>
          <w:kern w:val="36"/>
          <w:lang w:eastAsia="en-GB"/>
          <w14:ligatures w14:val="none"/>
        </w:rPr>
        <w:t>, 51(4), pp. 523-547.</w:t>
      </w:r>
    </w:p>
    <w:p w14:paraId="1891920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Competition Commission of India (2023) </w:t>
      </w:r>
      <w:r w:rsidRPr="00F641BF">
        <w:rPr>
          <w:rFonts w:ascii="Arial" w:eastAsia="Times New Roman" w:hAnsi="Arial" w:cs="Arial"/>
          <w:i/>
          <w:iCs/>
          <w:kern w:val="36"/>
          <w:lang w:eastAsia="en-GB"/>
          <w14:ligatures w14:val="none"/>
        </w:rPr>
        <w:t>Annual report 2022-23</w:t>
      </w:r>
      <w:r w:rsidRPr="00F641BF">
        <w:rPr>
          <w:rFonts w:ascii="Arial" w:eastAsia="Times New Roman" w:hAnsi="Arial" w:cs="Arial"/>
          <w:kern w:val="36"/>
          <w:lang w:eastAsia="en-GB"/>
          <w14:ligatures w14:val="none"/>
        </w:rPr>
        <w:t>. New Delhi: Competition Commission of India.</w:t>
      </w:r>
    </w:p>
    <w:p w14:paraId="239ABB8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Deloitte (2024) </w:t>
      </w:r>
      <w:r w:rsidRPr="00F641BF">
        <w:rPr>
          <w:rFonts w:ascii="Arial" w:eastAsia="Times New Roman" w:hAnsi="Arial" w:cs="Arial"/>
          <w:i/>
          <w:iCs/>
          <w:kern w:val="36"/>
          <w:lang w:eastAsia="en-GB"/>
          <w14:ligatures w14:val="none"/>
        </w:rPr>
        <w:t>India retail outlook: Navigating transformation in a digital age</w:t>
      </w:r>
      <w:r w:rsidRPr="00F641BF">
        <w:rPr>
          <w:rFonts w:ascii="Arial" w:eastAsia="Times New Roman" w:hAnsi="Arial" w:cs="Arial"/>
          <w:kern w:val="36"/>
          <w:lang w:eastAsia="en-GB"/>
          <w14:ligatures w14:val="none"/>
        </w:rPr>
        <w:t>. Mumbai: Deloitte Touche Tohmatsu India LLP.</w:t>
      </w:r>
    </w:p>
    <w:p w14:paraId="0219065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Department for Promotion of Industry and Internal Trade (2024) </w:t>
      </w:r>
      <w:r w:rsidRPr="00F641BF">
        <w:rPr>
          <w:rFonts w:ascii="Arial" w:eastAsia="Times New Roman" w:hAnsi="Arial" w:cs="Arial"/>
          <w:i/>
          <w:iCs/>
          <w:kern w:val="36"/>
          <w:lang w:eastAsia="en-GB"/>
          <w14:ligatures w14:val="none"/>
        </w:rPr>
        <w:t>Consolidated FDI policy circular 2023</w:t>
      </w:r>
      <w:r w:rsidRPr="00F641BF">
        <w:rPr>
          <w:rFonts w:ascii="Arial" w:eastAsia="Times New Roman" w:hAnsi="Arial" w:cs="Arial"/>
          <w:kern w:val="36"/>
          <w:lang w:eastAsia="en-GB"/>
          <w14:ligatures w14:val="none"/>
        </w:rPr>
        <w:t>. New Delhi: Ministry of Commerce and Industry, Government of India.</w:t>
      </w:r>
    </w:p>
    <w:p w14:paraId="1515A28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Dunning, J.H. (1988) 'The eclectic paradigm of international production: A restatement and some possible extensions', </w:t>
      </w:r>
      <w:r w:rsidRPr="00F641BF">
        <w:rPr>
          <w:rFonts w:ascii="Arial" w:eastAsia="Times New Roman" w:hAnsi="Arial" w:cs="Arial"/>
          <w:i/>
          <w:iCs/>
          <w:kern w:val="36"/>
          <w:lang w:eastAsia="en-GB"/>
          <w14:ligatures w14:val="none"/>
        </w:rPr>
        <w:t>Journal of International Business Studies</w:t>
      </w:r>
      <w:r w:rsidRPr="00F641BF">
        <w:rPr>
          <w:rFonts w:ascii="Arial" w:eastAsia="Times New Roman" w:hAnsi="Arial" w:cs="Arial"/>
          <w:kern w:val="36"/>
          <w:lang w:eastAsia="en-GB"/>
          <w14:ligatures w14:val="none"/>
        </w:rPr>
        <w:t>, 19(1), pp. 1-31.</w:t>
      </w:r>
    </w:p>
    <w:p w14:paraId="7A0819B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Eden, L. and Miller, S.R. (2024) 'Institutional voids and international business strategy in emerging markets', </w:t>
      </w:r>
      <w:r w:rsidRPr="00F641BF">
        <w:rPr>
          <w:rFonts w:ascii="Arial" w:eastAsia="Times New Roman" w:hAnsi="Arial" w:cs="Arial"/>
          <w:i/>
          <w:iCs/>
          <w:kern w:val="36"/>
          <w:lang w:eastAsia="en-GB"/>
          <w14:ligatures w14:val="none"/>
        </w:rPr>
        <w:t>Global Strategy Journal</w:t>
      </w:r>
      <w:r w:rsidRPr="00F641BF">
        <w:rPr>
          <w:rFonts w:ascii="Arial" w:eastAsia="Times New Roman" w:hAnsi="Arial" w:cs="Arial"/>
          <w:kern w:val="36"/>
          <w:lang w:eastAsia="en-GB"/>
          <w14:ligatures w14:val="none"/>
        </w:rPr>
        <w:t>, 14(1), pp. 112-139.</w:t>
      </w:r>
    </w:p>
    <w:p w14:paraId="23CF4CB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Ellickson, P.B. (2016) 'The evolution of the supermarket industry: From A&amp;P to Walmart', in Basker, E. (ed.) </w:t>
      </w:r>
      <w:r w:rsidRPr="00F641BF">
        <w:rPr>
          <w:rFonts w:ascii="Arial" w:eastAsia="Times New Roman" w:hAnsi="Arial" w:cs="Arial"/>
          <w:i/>
          <w:iCs/>
          <w:kern w:val="36"/>
          <w:lang w:eastAsia="en-GB"/>
          <w14:ligatures w14:val="none"/>
        </w:rPr>
        <w:t>Handbook on the economics of retailing and distribution</w:t>
      </w:r>
      <w:r w:rsidRPr="00F641BF">
        <w:rPr>
          <w:rFonts w:ascii="Arial" w:eastAsia="Times New Roman" w:hAnsi="Arial" w:cs="Arial"/>
          <w:kern w:val="36"/>
          <w:lang w:eastAsia="en-GB"/>
          <w14:ligatures w14:val="none"/>
        </w:rPr>
        <w:t>. Cheltenham: Edward Elgar, pp. 368-391.</w:t>
      </w:r>
    </w:p>
    <w:p w14:paraId="62BEA3A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Food Safety and Standards Authority of India (2024) </w:t>
      </w:r>
      <w:r w:rsidRPr="00F641BF">
        <w:rPr>
          <w:rFonts w:ascii="Arial" w:eastAsia="Times New Roman" w:hAnsi="Arial" w:cs="Arial"/>
          <w:i/>
          <w:iCs/>
          <w:kern w:val="36"/>
          <w:lang w:eastAsia="en-GB"/>
          <w14:ligatures w14:val="none"/>
        </w:rPr>
        <w:t>Food safety compliance framework for retail operations</w:t>
      </w:r>
      <w:r w:rsidRPr="00F641BF">
        <w:rPr>
          <w:rFonts w:ascii="Arial" w:eastAsia="Times New Roman" w:hAnsi="Arial" w:cs="Arial"/>
          <w:kern w:val="36"/>
          <w:lang w:eastAsia="en-GB"/>
          <w14:ligatures w14:val="none"/>
        </w:rPr>
        <w:t>. New Delhi: Ministry of Health and Family Welfare, Government of India.</w:t>
      </w:r>
    </w:p>
    <w:p w14:paraId="469A219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Goods and Services Tax Council (2023) </w:t>
      </w:r>
      <w:r w:rsidRPr="00F641BF">
        <w:rPr>
          <w:rFonts w:ascii="Arial" w:eastAsia="Times New Roman" w:hAnsi="Arial" w:cs="Arial"/>
          <w:i/>
          <w:iCs/>
          <w:kern w:val="36"/>
          <w:lang w:eastAsia="en-GB"/>
          <w14:ligatures w14:val="none"/>
        </w:rPr>
        <w:t>GST rate schedules and compliance guidelines for retail sector</w:t>
      </w:r>
      <w:r w:rsidRPr="00F641BF">
        <w:rPr>
          <w:rFonts w:ascii="Arial" w:eastAsia="Times New Roman" w:hAnsi="Arial" w:cs="Arial"/>
          <w:kern w:val="36"/>
          <w:lang w:eastAsia="en-GB"/>
          <w14:ligatures w14:val="none"/>
        </w:rPr>
        <w:t>. New Delhi: GST Council Secretariat, Government of India.</w:t>
      </w:r>
    </w:p>
    <w:p w14:paraId="2206FCA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Hennart, J.F. (2012) 'Emerging market multinationals and the theory of the multinational enterprise', </w:t>
      </w:r>
      <w:r w:rsidRPr="00F641BF">
        <w:rPr>
          <w:rFonts w:ascii="Arial" w:eastAsia="Times New Roman" w:hAnsi="Arial" w:cs="Arial"/>
          <w:i/>
          <w:iCs/>
          <w:kern w:val="36"/>
          <w:lang w:eastAsia="en-GB"/>
          <w14:ligatures w14:val="none"/>
        </w:rPr>
        <w:t>Global Strategy Journal</w:t>
      </w:r>
      <w:r w:rsidRPr="00F641BF">
        <w:rPr>
          <w:rFonts w:ascii="Arial" w:eastAsia="Times New Roman" w:hAnsi="Arial" w:cs="Arial"/>
          <w:kern w:val="36"/>
          <w:lang w:eastAsia="en-GB"/>
          <w14:ligatures w14:val="none"/>
        </w:rPr>
        <w:t>, 2(3), pp. 168-187.</w:t>
      </w:r>
    </w:p>
    <w:p w14:paraId="0117CDB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International Monetary Fund (2024) </w:t>
      </w:r>
      <w:r w:rsidRPr="00F641BF">
        <w:rPr>
          <w:rFonts w:ascii="Arial" w:eastAsia="Times New Roman" w:hAnsi="Arial" w:cs="Arial"/>
          <w:i/>
          <w:iCs/>
          <w:kern w:val="36"/>
          <w:lang w:eastAsia="en-GB"/>
          <w14:ligatures w14:val="none"/>
        </w:rPr>
        <w:t>World economic outlook: Regional growth projections for South Asia</w:t>
      </w:r>
      <w:r w:rsidRPr="00F641BF">
        <w:rPr>
          <w:rFonts w:ascii="Arial" w:eastAsia="Times New Roman" w:hAnsi="Arial" w:cs="Arial"/>
          <w:kern w:val="36"/>
          <w:lang w:eastAsia="en-GB"/>
          <w14:ligatures w14:val="none"/>
        </w:rPr>
        <w:t>. Washington DC: International Monetary Fund.</w:t>
      </w:r>
    </w:p>
    <w:p w14:paraId="65304CA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Liu, Y. and Zhang, W. (2023) 'Western retailers in China: Entry, adaptation, and exit patterns', </w:t>
      </w:r>
      <w:r w:rsidRPr="00F641BF">
        <w:rPr>
          <w:rFonts w:ascii="Arial" w:eastAsia="Times New Roman" w:hAnsi="Arial" w:cs="Arial"/>
          <w:i/>
          <w:iCs/>
          <w:kern w:val="36"/>
          <w:lang w:eastAsia="en-GB"/>
          <w14:ligatures w14:val="none"/>
        </w:rPr>
        <w:t>International Business Review</w:t>
      </w:r>
      <w:r w:rsidRPr="00F641BF">
        <w:rPr>
          <w:rFonts w:ascii="Arial" w:eastAsia="Times New Roman" w:hAnsi="Arial" w:cs="Arial"/>
          <w:kern w:val="36"/>
          <w:lang w:eastAsia="en-GB"/>
          <w14:ligatures w14:val="none"/>
        </w:rPr>
        <w:t>, 32(4), 102118.</w:t>
      </w:r>
    </w:p>
    <w:p w14:paraId="08F8949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Ministry of Commerce and Industry (2023) </w:t>
      </w:r>
      <w:r w:rsidRPr="00F641BF">
        <w:rPr>
          <w:rFonts w:ascii="Arial" w:eastAsia="Times New Roman" w:hAnsi="Arial" w:cs="Arial"/>
          <w:i/>
          <w:iCs/>
          <w:kern w:val="36"/>
          <w:lang w:eastAsia="en-GB"/>
          <w14:ligatures w14:val="none"/>
        </w:rPr>
        <w:t>Foreign direct investment trends in India 2022-23</w:t>
      </w:r>
      <w:r w:rsidRPr="00F641BF">
        <w:rPr>
          <w:rFonts w:ascii="Arial" w:eastAsia="Times New Roman" w:hAnsi="Arial" w:cs="Arial"/>
          <w:kern w:val="36"/>
          <w:lang w:eastAsia="en-GB"/>
          <w14:ligatures w14:val="none"/>
        </w:rPr>
        <w:t>. New Delhi: Department of Commerce, Government of India.</w:t>
      </w:r>
    </w:p>
    <w:p w14:paraId="4368594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Ministry of Corporate Affairs (2023) </w:t>
      </w:r>
      <w:r w:rsidRPr="00F641BF">
        <w:rPr>
          <w:rFonts w:ascii="Arial" w:eastAsia="Times New Roman" w:hAnsi="Arial" w:cs="Arial"/>
          <w:i/>
          <w:iCs/>
          <w:kern w:val="36"/>
          <w:lang w:eastAsia="en-GB"/>
          <w14:ligatures w14:val="none"/>
        </w:rPr>
        <w:t>Companies Act 2013: Compliance requirements for foreign-owned entities</w:t>
      </w:r>
      <w:r w:rsidRPr="00F641BF">
        <w:rPr>
          <w:rFonts w:ascii="Arial" w:eastAsia="Times New Roman" w:hAnsi="Arial" w:cs="Arial"/>
          <w:kern w:val="36"/>
          <w:lang w:eastAsia="en-GB"/>
          <w14:ligatures w14:val="none"/>
        </w:rPr>
        <w:t>. New Delhi: Government of India.</w:t>
      </w:r>
    </w:p>
    <w:p w14:paraId="1535505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Ministry of Labour and Employment (2023) </w:t>
      </w:r>
      <w:r w:rsidRPr="00F641BF">
        <w:rPr>
          <w:rFonts w:ascii="Arial" w:eastAsia="Times New Roman" w:hAnsi="Arial" w:cs="Arial"/>
          <w:i/>
          <w:iCs/>
          <w:kern w:val="36"/>
          <w:lang w:eastAsia="en-GB"/>
          <w14:ligatures w14:val="none"/>
        </w:rPr>
        <w:t>Labour regulations and compliance framework for retail sector operations</w:t>
      </w:r>
      <w:r w:rsidRPr="00F641BF">
        <w:rPr>
          <w:rFonts w:ascii="Arial" w:eastAsia="Times New Roman" w:hAnsi="Arial" w:cs="Arial"/>
          <w:kern w:val="36"/>
          <w:lang w:eastAsia="en-GB"/>
          <w14:ligatures w14:val="none"/>
        </w:rPr>
        <w:t>. New Delhi: Government of India.</w:t>
      </w:r>
    </w:p>
    <w:p w14:paraId="3957A36C"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Mukherjee, S. and Patel, K. (2022) 'Regulatory complexity and foreign retail investment decisions in India', </w:t>
      </w:r>
      <w:r w:rsidRPr="00F641BF">
        <w:rPr>
          <w:rFonts w:ascii="Arial" w:eastAsia="Times New Roman" w:hAnsi="Arial" w:cs="Arial"/>
          <w:i/>
          <w:iCs/>
          <w:kern w:val="36"/>
          <w:lang w:eastAsia="en-GB"/>
          <w14:ligatures w14:val="none"/>
        </w:rPr>
        <w:t>South Asian Journal of Business Studies</w:t>
      </w:r>
      <w:r w:rsidRPr="00F641BF">
        <w:rPr>
          <w:rFonts w:ascii="Arial" w:eastAsia="Times New Roman" w:hAnsi="Arial" w:cs="Arial"/>
          <w:kern w:val="36"/>
          <w:lang w:eastAsia="en-GB"/>
          <w14:ligatures w14:val="none"/>
        </w:rPr>
        <w:t>, 11(3), pp. 334-356.</w:t>
      </w:r>
    </w:p>
    <w:p w14:paraId="7225383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Nambisan, S., Lyytinen, K., Majchrzak, A. and Song, M. (2019) 'Digital innovation management: Reinventing innovation management research in a digital world', </w:t>
      </w:r>
      <w:r w:rsidRPr="00F641BF">
        <w:rPr>
          <w:rFonts w:ascii="Arial" w:eastAsia="Times New Roman" w:hAnsi="Arial" w:cs="Arial"/>
          <w:i/>
          <w:iCs/>
          <w:kern w:val="36"/>
          <w:lang w:eastAsia="en-GB"/>
          <w14:ligatures w14:val="none"/>
        </w:rPr>
        <w:t>MIS Quarterly</w:t>
      </w:r>
      <w:r w:rsidRPr="00F641BF">
        <w:rPr>
          <w:rFonts w:ascii="Arial" w:eastAsia="Times New Roman" w:hAnsi="Arial" w:cs="Arial"/>
          <w:kern w:val="36"/>
          <w:lang w:eastAsia="en-GB"/>
          <w14:ligatures w14:val="none"/>
        </w:rPr>
        <w:t>, 41(1), pp. 223-238.</w:t>
      </w:r>
    </w:p>
    <w:p w14:paraId="18EA182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National Payments Corporation of India (2023) </w:t>
      </w:r>
      <w:r w:rsidRPr="00F641BF">
        <w:rPr>
          <w:rFonts w:ascii="Arial" w:eastAsia="Times New Roman" w:hAnsi="Arial" w:cs="Arial"/>
          <w:i/>
          <w:iCs/>
          <w:kern w:val="36"/>
          <w:lang w:eastAsia="en-GB"/>
          <w14:ligatures w14:val="none"/>
        </w:rPr>
        <w:t>UPI ecosystem growth and retail sector implications</w:t>
      </w:r>
      <w:r w:rsidRPr="00F641BF">
        <w:rPr>
          <w:rFonts w:ascii="Arial" w:eastAsia="Times New Roman" w:hAnsi="Arial" w:cs="Arial"/>
          <w:kern w:val="36"/>
          <w:lang w:eastAsia="en-GB"/>
          <w14:ligatures w14:val="none"/>
        </w:rPr>
        <w:t>. Mumbai: National Payments Corporation of India.</w:t>
      </w:r>
    </w:p>
    <w:p w14:paraId="67AD745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Nielsen IQ (2023) </w:t>
      </w:r>
      <w:r w:rsidRPr="00F641BF">
        <w:rPr>
          <w:rFonts w:ascii="Arial" w:eastAsia="Times New Roman" w:hAnsi="Arial" w:cs="Arial"/>
          <w:i/>
          <w:iCs/>
          <w:kern w:val="36"/>
          <w:lang w:eastAsia="en-GB"/>
          <w14:ligatures w14:val="none"/>
        </w:rPr>
        <w:t>India consumer insights report: Private label perception and purchasing patterns</w:t>
      </w:r>
      <w:r w:rsidRPr="00F641BF">
        <w:rPr>
          <w:rFonts w:ascii="Arial" w:eastAsia="Times New Roman" w:hAnsi="Arial" w:cs="Arial"/>
          <w:kern w:val="36"/>
          <w:lang w:eastAsia="en-GB"/>
          <w14:ligatures w14:val="none"/>
        </w:rPr>
        <w:t>. Mumbai: Nielsen Company India Private Limited.</w:t>
      </w:r>
    </w:p>
    <w:p w14:paraId="04554E8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PwC India (2024) </w:t>
      </w:r>
      <w:r w:rsidRPr="00F641BF">
        <w:rPr>
          <w:rFonts w:ascii="Arial" w:eastAsia="Times New Roman" w:hAnsi="Arial" w:cs="Arial"/>
          <w:i/>
          <w:iCs/>
          <w:kern w:val="36"/>
          <w:lang w:eastAsia="en-GB"/>
          <w14:ligatures w14:val="none"/>
        </w:rPr>
        <w:t>Retail real estate trends and market entry considerations</w:t>
      </w:r>
      <w:r w:rsidRPr="00F641BF">
        <w:rPr>
          <w:rFonts w:ascii="Arial" w:eastAsia="Times New Roman" w:hAnsi="Arial" w:cs="Arial"/>
          <w:kern w:val="36"/>
          <w:lang w:eastAsia="en-GB"/>
          <w14:ligatures w14:val="none"/>
        </w:rPr>
        <w:t>. Mumbai: PricewaterhouseCoopers Private Limited.</w:t>
      </w:r>
    </w:p>
    <w:p w14:paraId="57B3575B"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Reinartz, W. and Wiegand, N. (2022) 'International discount retailers: Strategic positioning challenges in diverse markets', </w:t>
      </w:r>
      <w:r w:rsidRPr="00F641BF">
        <w:rPr>
          <w:rFonts w:ascii="Arial" w:eastAsia="Times New Roman" w:hAnsi="Arial" w:cs="Arial"/>
          <w:i/>
          <w:iCs/>
          <w:kern w:val="36"/>
          <w:lang w:eastAsia="en-GB"/>
          <w14:ligatures w14:val="none"/>
        </w:rPr>
        <w:t>Journal of International Marketing</w:t>
      </w:r>
      <w:r w:rsidRPr="00F641BF">
        <w:rPr>
          <w:rFonts w:ascii="Arial" w:eastAsia="Times New Roman" w:hAnsi="Arial" w:cs="Arial"/>
          <w:kern w:val="36"/>
          <w:lang w:eastAsia="en-GB"/>
          <w14:ligatures w14:val="none"/>
        </w:rPr>
        <w:t>, 30(1), pp. 67-89.</w:t>
      </w:r>
    </w:p>
    <w:p w14:paraId="162B19A0"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Reserve Bank of India (2023) </w:t>
      </w:r>
      <w:r w:rsidRPr="00F641BF">
        <w:rPr>
          <w:rFonts w:ascii="Arial" w:eastAsia="Times New Roman" w:hAnsi="Arial" w:cs="Arial"/>
          <w:i/>
          <w:iCs/>
          <w:kern w:val="36"/>
          <w:lang w:eastAsia="en-GB"/>
          <w14:ligatures w14:val="none"/>
        </w:rPr>
        <w:t>Foreign Exchange Management Act: Regulations and compliance guidelines</w:t>
      </w:r>
      <w:r w:rsidRPr="00F641BF">
        <w:rPr>
          <w:rFonts w:ascii="Arial" w:eastAsia="Times New Roman" w:hAnsi="Arial" w:cs="Arial"/>
          <w:kern w:val="36"/>
          <w:lang w:eastAsia="en-GB"/>
          <w14:ligatures w14:val="none"/>
        </w:rPr>
        <w:t>. Mumbai: Reserve Bank of India.</w:t>
      </w:r>
    </w:p>
    <w:p w14:paraId="0E82C141"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Reserve Bank of India (2024) </w:t>
      </w:r>
      <w:r w:rsidRPr="00F641BF">
        <w:rPr>
          <w:rFonts w:ascii="Arial" w:eastAsia="Times New Roman" w:hAnsi="Arial" w:cs="Arial"/>
          <w:i/>
          <w:iCs/>
          <w:kern w:val="36"/>
          <w:lang w:eastAsia="en-GB"/>
          <w14:ligatures w14:val="none"/>
        </w:rPr>
        <w:t>Economic outlook and inflation trends: Quarterly monetary policy report</w:t>
      </w:r>
      <w:r w:rsidRPr="00F641BF">
        <w:rPr>
          <w:rFonts w:ascii="Arial" w:eastAsia="Times New Roman" w:hAnsi="Arial" w:cs="Arial"/>
          <w:kern w:val="36"/>
          <w:lang w:eastAsia="en-GB"/>
          <w14:ligatures w14:val="none"/>
        </w:rPr>
        <w:t>. Mumbai: Reserve Bank of India.</w:t>
      </w:r>
    </w:p>
    <w:p w14:paraId="493CA1F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Singh, N. and Kumar, R. (2023) 'Entry modes and performance outcomes of foreign retailers in India', </w:t>
      </w:r>
      <w:r w:rsidRPr="00F641BF">
        <w:rPr>
          <w:rFonts w:ascii="Arial" w:eastAsia="Times New Roman" w:hAnsi="Arial" w:cs="Arial"/>
          <w:i/>
          <w:iCs/>
          <w:kern w:val="36"/>
          <w:lang w:eastAsia="en-GB"/>
          <w14:ligatures w14:val="none"/>
        </w:rPr>
        <w:t>International Business Review</w:t>
      </w:r>
      <w:r w:rsidRPr="00F641BF">
        <w:rPr>
          <w:rFonts w:ascii="Arial" w:eastAsia="Times New Roman" w:hAnsi="Arial" w:cs="Arial"/>
          <w:kern w:val="36"/>
          <w:lang w:eastAsia="en-GB"/>
          <w14:ligatures w14:val="none"/>
        </w:rPr>
        <w:t>, 32(2), 102067.</w:t>
      </w:r>
    </w:p>
    <w:p w14:paraId="361D97C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Teece, D.J. (2014) 'The foundations of enterprise performance: Dynamic and ordinary capabilities in an (economic) theory of firms', </w:t>
      </w:r>
      <w:r w:rsidRPr="00F641BF">
        <w:rPr>
          <w:rFonts w:ascii="Arial" w:eastAsia="Times New Roman" w:hAnsi="Arial" w:cs="Arial"/>
          <w:i/>
          <w:iCs/>
          <w:kern w:val="36"/>
          <w:lang w:eastAsia="en-GB"/>
          <w14:ligatures w14:val="none"/>
        </w:rPr>
        <w:t>Academy of Management Perspectives</w:t>
      </w:r>
      <w:r w:rsidRPr="00F641BF">
        <w:rPr>
          <w:rFonts w:ascii="Arial" w:eastAsia="Times New Roman" w:hAnsi="Arial" w:cs="Arial"/>
          <w:kern w:val="36"/>
          <w:lang w:eastAsia="en-GB"/>
          <w14:ligatures w14:val="none"/>
        </w:rPr>
        <w:t>, 28(4), pp. 328-352.</w:t>
      </w:r>
    </w:p>
    <w:p w14:paraId="2853B4F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Verbeke, A. and Asmussen, C.G. (2016) 'Global, local, or regional? The locus of MNE strategies', </w:t>
      </w:r>
      <w:r w:rsidRPr="00F641BF">
        <w:rPr>
          <w:rFonts w:ascii="Arial" w:eastAsia="Times New Roman" w:hAnsi="Arial" w:cs="Arial"/>
          <w:i/>
          <w:iCs/>
          <w:kern w:val="36"/>
          <w:lang w:eastAsia="en-GB"/>
          <w14:ligatures w14:val="none"/>
        </w:rPr>
        <w:t>Journal of Management Studies</w:t>
      </w:r>
      <w:r w:rsidRPr="00F641BF">
        <w:rPr>
          <w:rFonts w:ascii="Arial" w:eastAsia="Times New Roman" w:hAnsi="Arial" w:cs="Arial"/>
          <w:kern w:val="36"/>
          <w:lang w:eastAsia="en-GB"/>
          <w14:ligatures w14:val="none"/>
        </w:rPr>
        <w:t>, 53(6), pp. 1051-1075.</w:t>
      </w:r>
    </w:p>
    <w:p w14:paraId="2E51FFC9"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Williamson, O.E. (1975) </w:t>
      </w:r>
      <w:r w:rsidRPr="00F641BF">
        <w:rPr>
          <w:rFonts w:ascii="Arial" w:eastAsia="Times New Roman" w:hAnsi="Arial" w:cs="Arial"/>
          <w:i/>
          <w:iCs/>
          <w:kern w:val="36"/>
          <w:lang w:eastAsia="en-GB"/>
          <w14:ligatures w14:val="none"/>
        </w:rPr>
        <w:t>Markets and hierarchies: Analysis and antitrust implications</w:t>
      </w:r>
      <w:r w:rsidRPr="00F641BF">
        <w:rPr>
          <w:rFonts w:ascii="Arial" w:eastAsia="Times New Roman" w:hAnsi="Arial" w:cs="Arial"/>
          <w:kern w:val="36"/>
          <w:lang w:eastAsia="en-GB"/>
          <w14:ligatures w14:val="none"/>
        </w:rPr>
        <w:t>. New York: Free Press.</w:t>
      </w:r>
    </w:p>
    <w:p w14:paraId="1ACE8143"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World Bank (2024) </w:t>
      </w:r>
      <w:r w:rsidRPr="00F641BF">
        <w:rPr>
          <w:rFonts w:ascii="Arial" w:eastAsia="Times New Roman" w:hAnsi="Arial" w:cs="Arial"/>
          <w:i/>
          <w:iCs/>
          <w:kern w:val="36"/>
          <w:lang w:eastAsia="en-GB"/>
          <w14:ligatures w14:val="none"/>
        </w:rPr>
        <w:t>India economic update: Consumption growth and retail sector development</w:t>
      </w:r>
      <w:r w:rsidRPr="00F641BF">
        <w:rPr>
          <w:rFonts w:ascii="Arial" w:eastAsia="Times New Roman" w:hAnsi="Arial" w:cs="Arial"/>
          <w:kern w:val="36"/>
          <w:lang w:eastAsia="en-GB"/>
          <w14:ligatures w14:val="none"/>
        </w:rPr>
        <w:t>. Washington DC: World Bank Group.</w:t>
      </w:r>
    </w:p>
    <w:p w14:paraId="7F41A680" w14:textId="63870F05"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p>
    <w:p w14:paraId="3D2EAE99"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p>
    <w:p w14:paraId="17A93695"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p>
    <w:p w14:paraId="149D816D" w14:textId="03DBEA9E"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lastRenderedPageBreak/>
        <w:t>REFLECTIVE ACCOUNT</w:t>
      </w:r>
    </w:p>
    <w:p w14:paraId="7C2C694F"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Description</w:t>
      </w:r>
    </w:p>
    <w:p w14:paraId="4ED107E4" w14:textId="7C9CB033"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This assignment required comprehensive analysis of Aldi's potential Indian market entry, applying Bartlett and Ghoshal's strategic typology and Dunning's OLI framework whilst evaluating macro-environmental factors and recommending an entry mode. I began by selecting the company-country combination, choosing Aldi-India after considering alternatives including Costco-India and IKEA-Pakistan The work concluded with this reflective account applying Gibbs' Reflective Cycle.</w:t>
      </w:r>
    </w:p>
    <w:p w14:paraId="442889F9"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Feelings</w:t>
      </w:r>
    </w:p>
    <w:p w14:paraId="6241EE9F"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Initially, I felt anxious about the assignment scope and the strict 5,200-word requirement. The challenge of balancing theoretical framework application, empirical evidence integration, and critical analysis within tight word limits created significant pressure. Selecting Aldi-India generated uncertainty—I worried whether this choice provided sufficient differentiation whilst offering adequate recent literature.</w:t>
      </w:r>
    </w:p>
    <w:p w14:paraId="166C2973" w14:textId="56F0DBF0"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During research, I experienced frustration when encountering data gaps. Aldi's private ownership limits public disclosure compared to listed competitors, making specific operational data difficult to obtain. India retail statistics sometimes contradicted across sources, creating uncertainty about which figures to trust.</w:t>
      </w:r>
    </w:p>
    <w:p w14:paraId="4E7ED287"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Writing the OLI section proved particularly challenging. My initial draft was too descriptive, simply explaining the framework rather than critically applying it to Aldi's specific situation. When I recognised this weakness and revised to include framework limitations and recent critiques, I felt the analysis improved, though I remained uncertain whether it achieved the required critical depth.</w:t>
      </w:r>
    </w:p>
    <w:p w14:paraId="725F764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As the deadline approached, I felt pressure managing word count. Several sections initially exceeded targets, requiring difficult decisions about what to delete. The reflective account word limit felt constraining—I have more to reflect upon than space permits.</w:t>
      </w:r>
    </w:p>
    <w:p w14:paraId="5348AD6C"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Evaluation</w:t>
      </w:r>
    </w:p>
    <w:p w14:paraId="2631F435" w14:textId="36D104BD"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Several aspects worked well. Systematic framework application provided clear structure preventing unfocused analysis. Creating tables before drafting text helped synthesise complex information and identify gaps.</w:t>
      </w:r>
    </w:p>
    <w:p w14:paraId="65726546"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Focusing critical evaluation on framework limitations rather than just descriptive application strengthened academic quality. Including recent literature (2022-2026) alongside classic theories demonstrated engagement with contemporary scholarship. The entry mode recommendation, whilst potentially contestable, reflected genuine weighing of alternatives rather than oversimplified prescription.</w:t>
      </w:r>
    </w:p>
    <w:p w14:paraId="70A42E54"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However, significant weaknesses emerged. Critical analysis depth remained inconsistent across sections—stronger in OLI discussion than in Bartlett and Ghoshal classification. I sometimes sacrificed analytical nuance for brevity to meet word limits. The macro-environmental section, despite substantial length, occasionally reads descriptively rather than maintaining consistent critical linkage to Aldi's specific business model.</w:t>
      </w:r>
    </w:p>
    <w:p w14:paraId="38EF1C8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Word count management created unexpected difficulty. My first complete draft exceeded 8,000 words, requiring substantial cutting. This taught me that planning section word budgets before writing would have been more efficient than writing extensively then deleting material.</w:t>
      </w:r>
    </w:p>
    <w:p w14:paraId="482573F4"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Analysis</w:t>
      </w:r>
    </w:p>
    <w:p w14:paraId="5FDE317A" w14:textId="19070620"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 xml:space="preserve">Several factors explain the difficulties encountered. </w:t>
      </w:r>
      <w:r w:rsidR="00025E33" w:rsidRPr="00F641BF">
        <w:rPr>
          <w:rFonts w:ascii="Arial" w:eastAsia="Times New Roman" w:hAnsi="Arial" w:cs="Arial"/>
          <w:kern w:val="36"/>
          <w:lang w:eastAsia="en-GB"/>
          <w14:ligatures w14:val="none"/>
        </w:rPr>
        <w:t>This assignment required me to apply theory, conduct research, think critically and present my findings clearly, which I found challenging</w:t>
      </w:r>
      <w:r w:rsidRPr="00F641BF">
        <w:rPr>
          <w:rFonts w:ascii="Arial" w:eastAsia="Times New Roman" w:hAnsi="Arial" w:cs="Arial"/>
          <w:kern w:val="36"/>
          <w:lang w:eastAsia="en-GB"/>
          <w14:ligatures w14:val="none"/>
        </w:rPr>
        <w:t>—requiring skills integration developed across different modules. My academic background emphasised theoretical application more than critical framework evaluation, creating capability gaps requiring conscious effort.</w:t>
      </w:r>
    </w:p>
    <w:p w14:paraId="6A1D0D5A"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The frameworks themselves presented challenges. Bartlett and Ghoshal's typology, whilst conceptually clear, proved ambiguous when applied to real organisations exhibiting characteristics across multiple categories. This initially paralysed my analysis until I recognised that acknowledging hybrid characteristics demonstrated more sophisticated understanding than forcing crude classification.</w:t>
      </w:r>
    </w:p>
    <w:p w14:paraId="77963572" w14:textId="7386EC02" w:rsidR="007F591F" w:rsidRPr="00F641BF" w:rsidRDefault="00422A12"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Similarly, applying the OLI framework showed that business frameworks do not always reflect the complexity of real business situations</w:t>
      </w:r>
      <w:r w:rsidR="00025E33" w:rsidRPr="00F641BF">
        <w:rPr>
          <w:rFonts w:ascii="Arial" w:eastAsia="Times New Roman" w:hAnsi="Arial" w:cs="Arial"/>
          <w:kern w:val="36"/>
          <w:lang w:eastAsia="en-GB"/>
          <w14:ligatures w14:val="none"/>
        </w:rPr>
        <w:t>.</w:t>
      </w:r>
      <w:r w:rsidR="007F591F" w:rsidRPr="00F641BF">
        <w:rPr>
          <w:rFonts w:ascii="Arial" w:eastAsia="Times New Roman" w:hAnsi="Arial" w:cs="Arial"/>
          <w:kern w:val="36"/>
          <w:lang w:eastAsia="en-GB"/>
          <w14:ligatures w14:val="none"/>
        </w:rPr>
        <w:t xml:space="preserve"> Aldi possesses some ownership advantages but not others; India presents some location advantages alongside significant disadvantages; internalisation logic favours wholly-owned operations yet regulation prohibits them. </w:t>
      </w:r>
      <w:r w:rsidR="00025E33" w:rsidRPr="00F641BF">
        <w:rPr>
          <w:rFonts w:ascii="Arial" w:eastAsia="Times New Roman" w:hAnsi="Arial" w:cs="Arial"/>
          <w:kern w:val="36"/>
          <w:lang w:eastAsia="en-GB"/>
          <w14:ligatures w14:val="none"/>
        </w:rPr>
        <w:t>The framework did not clearly show how to prioritise conflicting factors, which made decision-making difficult</w:t>
      </w:r>
      <w:r w:rsidR="007F591F" w:rsidRPr="00F641BF">
        <w:rPr>
          <w:rFonts w:ascii="Arial" w:eastAsia="Times New Roman" w:hAnsi="Arial" w:cs="Arial"/>
          <w:kern w:val="36"/>
          <w:lang w:eastAsia="en-GB"/>
          <w14:ligatures w14:val="none"/>
        </w:rPr>
        <w:t>. Discovering recent critiques (Hennart, 2012; Verbeke and Asmussen, 2016) validating these challenges was reassuring.</w:t>
      </w:r>
    </w:p>
    <w:p w14:paraId="3F83311E"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The requirement to justify entry mode selection forced recognition that recommendations involve trade-offs rather than optimal solutions. My instinct was initially to recommend against entry given identified challenges. However, working through alternatives systematically ultimately enriched analysis by requiring structured evaluation rather than intuitive rejection.</w:t>
      </w:r>
    </w:p>
    <w:p w14:paraId="270017E1"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Conclusion</w:t>
      </w:r>
    </w:p>
    <w:p w14:paraId="49A0CD42"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This assignment significantly developed my applied international business analysis capabilities, moving beyond theoretical knowledge toward practical application and critical evaluation. I learned that international expansion decisions involve balancing contradictory signals, incomplete information, and competing priorities rather than following formulae to predetermined conclusions.</w:t>
      </w:r>
    </w:p>
    <w:p w14:paraId="38EF317F" w14:textId="76E63BCE" w:rsidR="007F591F" w:rsidRPr="00F641BF" w:rsidRDefault="00025E33"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The process showed me that I am more confident applying theory than critically evaluating and comparing different sources</w:t>
      </w:r>
      <w:r w:rsidR="007F591F" w:rsidRPr="00F641BF">
        <w:rPr>
          <w:rFonts w:ascii="Arial" w:eastAsia="Times New Roman" w:hAnsi="Arial" w:cs="Arial"/>
          <w:kern w:val="36"/>
          <w:lang w:eastAsia="en-GB"/>
          <w14:ligatures w14:val="none"/>
        </w:rPr>
        <w:t>. Writing improved substantially through revision, particularly when I consciously questioned whether analysis moved beyond description to genuine critique. Table development proved valuable for synthesis and gap identification.</w:t>
      </w:r>
    </w:p>
    <w:p w14:paraId="4B4AAAC8"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 recognise my analysis retains limitations despite revision. The cultural factors section probably requires deeper grounding to avoid superficial treatment. The entry mode recommendation, whilst justified, may reflect excessive optimism about partnership viability given Aldi's historical preferences.</w:t>
      </w:r>
    </w:p>
    <w:p w14:paraId="0A8685BD" w14:textId="77777777"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lastRenderedPageBreak/>
        <w:t>The word count challenge taught valuable lessons about planning and discipline. Future assignments require more rigorous upfront structuring to avoid the inefficiency of writing extensively then cutting material.</w:t>
      </w:r>
    </w:p>
    <w:p w14:paraId="65C55749" w14:textId="77777777" w:rsidR="007F591F" w:rsidRPr="00F641BF" w:rsidRDefault="007F591F" w:rsidP="00F641BF">
      <w:pPr>
        <w:spacing w:before="100" w:beforeAutospacing="1" w:after="100" w:afterAutospacing="1" w:line="360" w:lineRule="auto"/>
        <w:rPr>
          <w:rFonts w:ascii="Arial" w:eastAsia="Times New Roman" w:hAnsi="Arial" w:cs="Arial"/>
          <w:b/>
          <w:bCs/>
          <w:kern w:val="36"/>
          <w:lang w:eastAsia="en-GB"/>
          <w14:ligatures w14:val="none"/>
        </w:rPr>
      </w:pPr>
      <w:r w:rsidRPr="00F641BF">
        <w:rPr>
          <w:rFonts w:ascii="Arial" w:eastAsia="Times New Roman" w:hAnsi="Arial" w:cs="Arial"/>
          <w:b/>
          <w:bCs/>
          <w:kern w:val="36"/>
          <w:lang w:eastAsia="en-GB"/>
          <w14:ligatures w14:val="none"/>
        </w:rPr>
        <w:t>Action Plan</w:t>
      </w:r>
    </w:p>
    <w:p w14:paraId="7968BAB7" w14:textId="1BBDA8F0" w:rsidR="00D14221" w:rsidRPr="00F641BF" w:rsidRDefault="00C337F0"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kern w:val="36"/>
          <w:lang w:eastAsia="en-GB"/>
          <w14:ligatures w14:val="none"/>
        </w:rPr>
        <w:t>I</w:t>
      </w:r>
      <w:r w:rsidR="00D14221" w:rsidRPr="00F641BF">
        <w:rPr>
          <w:rFonts w:ascii="Arial" w:eastAsia="Times New Roman" w:hAnsi="Arial" w:cs="Arial"/>
          <w:kern w:val="36"/>
          <w:lang w:eastAsia="en-GB"/>
          <w14:ligatures w14:val="none"/>
        </w:rPr>
        <w:t>f I were conducting this analysis again, I would make several improvements:</w:t>
      </w:r>
    </w:p>
    <w:p w14:paraId="7DC4A222" w14:textId="7F8055CE" w:rsidR="007F591F"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Critical analysis development</w:t>
      </w:r>
      <w:r w:rsidRPr="00F641BF">
        <w:rPr>
          <w:rFonts w:ascii="Arial" w:eastAsia="Times New Roman" w:hAnsi="Arial" w:cs="Arial"/>
          <w:kern w:val="36"/>
          <w:lang w:eastAsia="en-GB"/>
          <w14:ligatures w14:val="none"/>
        </w:rPr>
        <w:t>: I will practice critiquing frameworks before applying them, identifying limitations and boundaries affecting application. This means reading critique literature alongside original sources rather than treating frameworks as unquestioned tools.</w:t>
      </w:r>
    </w:p>
    <w:p w14:paraId="71C2AD5D" w14:textId="017E8627" w:rsidR="00991897" w:rsidRPr="00F641BF" w:rsidRDefault="007F591F" w:rsidP="00F641BF">
      <w:pPr>
        <w:spacing w:before="100" w:beforeAutospacing="1" w:after="100" w:afterAutospacing="1" w:line="360" w:lineRule="auto"/>
        <w:rPr>
          <w:rFonts w:ascii="Arial" w:eastAsia="Times New Roman" w:hAnsi="Arial" w:cs="Arial"/>
          <w:kern w:val="36"/>
          <w:lang w:eastAsia="en-GB"/>
          <w14:ligatures w14:val="none"/>
        </w:rPr>
      </w:pPr>
      <w:r w:rsidRPr="00F641BF">
        <w:rPr>
          <w:rFonts w:ascii="Arial" w:eastAsia="Times New Roman" w:hAnsi="Arial" w:cs="Arial"/>
          <w:b/>
          <w:bCs/>
          <w:kern w:val="36"/>
          <w:lang w:eastAsia="en-GB"/>
          <w14:ligatures w14:val="none"/>
        </w:rPr>
        <w:t>Word count management</w:t>
      </w:r>
      <w:r w:rsidRPr="00F641BF">
        <w:rPr>
          <w:rFonts w:ascii="Arial" w:eastAsia="Times New Roman" w:hAnsi="Arial" w:cs="Arial"/>
          <w:kern w:val="36"/>
          <w:lang w:eastAsia="en-GB"/>
          <w14:ligatures w14:val="none"/>
        </w:rPr>
        <w:t>: I will establish section word budgets before writing, using them to guide depth decisions rather than writing excessively then cutting. This requires more disciplined planning but should produce better-balanced analysis within constraints.</w:t>
      </w:r>
    </w:p>
    <w:sectPr w:rsidR="00991897" w:rsidRPr="00F641BF" w:rsidSect="00B80C90">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997C125" w14:textId="77777777" w:rsidR="000E7EC6" w:rsidRDefault="000E7EC6" w:rsidP="00B80C90">
      <w:pPr>
        <w:spacing w:after="0" w:line="240" w:lineRule="auto"/>
      </w:pPr>
      <w:r>
        <w:separator/>
      </w:r>
    </w:p>
  </w:endnote>
  <w:endnote w:type="continuationSeparator" w:id="0">
    <w:p w14:paraId="0D16D1EE" w14:textId="77777777" w:rsidR="000E7EC6" w:rsidRDefault="000E7EC6" w:rsidP="00B80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46725047"/>
      <w:docPartObj>
        <w:docPartGallery w:val="Page Numbers (Bottom of Page)"/>
        <w:docPartUnique/>
      </w:docPartObj>
    </w:sdtPr>
    <w:sdtContent>
      <w:p w14:paraId="45E56563" w14:textId="77777777" w:rsidR="00B80C90" w:rsidRDefault="00B80C90" w:rsidP="007E4E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C6F6BAC" w14:textId="77777777" w:rsidR="00B80C90" w:rsidRDefault="00B80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82085085"/>
      <w:docPartObj>
        <w:docPartGallery w:val="Page Numbers (Bottom of Page)"/>
        <w:docPartUnique/>
      </w:docPartObj>
    </w:sdtPr>
    <w:sdtContent>
      <w:p w14:paraId="09539EC4" w14:textId="77777777" w:rsidR="00B80C90" w:rsidRDefault="00B80C90" w:rsidP="007E4E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FE7D06" w14:textId="77777777" w:rsidR="00B80C90" w:rsidRDefault="00B80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BD614A6" w14:textId="77777777" w:rsidR="000E7EC6" w:rsidRDefault="000E7EC6" w:rsidP="00B80C90">
      <w:pPr>
        <w:spacing w:after="0" w:line="240" w:lineRule="auto"/>
      </w:pPr>
      <w:r>
        <w:separator/>
      </w:r>
    </w:p>
  </w:footnote>
  <w:footnote w:type="continuationSeparator" w:id="0">
    <w:p w14:paraId="02120796" w14:textId="77777777" w:rsidR="000E7EC6" w:rsidRDefault="000E7EC6" w:rsidP="00B80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B3FFE"/>
    <w:multiLevelType w:val="multilevel"/>
    <w:tmpl w:val="65C2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F5314C"/>
    <w:multiLevelType w:val="multilevel"/>
    <w:tmpl w:val="FDA06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06D3C"/>
    <w:multiLevelType w:val="multilevel"/>
    <w:tmpl w:val="B5028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D2235C"/>
    <w:multiLevelType w:val="multilevel"/>
    <w:tmpl w:val="624E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485F8C"/>
    <w:multiLevelType w:val="multilevel"/>
    <w:tmpl w:val="ABA0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F46BEB"/>
    <w:multiLevelType w:val="multilevel"/>
    <w:tmpl w:val="DE76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6466EF"/>
    <w:multiLevelType w:val="multilevel"/>
    <w:tmpl w:val="44CA8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D97BF2"/>
    <w:multiLevelType w:val="multilevel"/>
    <w:tmpl w:val="8CCC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EE50FA"/>
    <w:multiLevelType w:val="multilevel"/>
    <w:tmpl w:val="B3FA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A535C7"/>
    <w:multiLevelType w:val="multilevel"/>
    <w:tmpl w:val="C45EF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B923D3"/>
    <w:multiLevelType w:val="multilevel"/>
    <w:tmpl w:val="1BEA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364483"/>
    <w:multiLevelType w:val="multilevel"/>
    <w:tmpl w:val="0C16E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8A76A2C"/>
    <w:multiLevelType w:val="multilevel"/>
    <w:tmpl w:val="BC3A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E53811"/>
    <w:multiLevelType w:val="multilevel"/>
    <w:tmpl w:val="3936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02264DB"/>
    <w:multiLevelType w:val="multilevel"/>
    <w:tmpl w:val="DF9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38317E"/>
    <w:multiLevelType w:val="multilevel"/>
    <w:tmpl w:val="BFD6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3F397E"/>
    <w:multiLevelType w:val="multilevel"/>
    <w:tmpl w:val="C3622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3D5134"/>
    <w:multiLevelType w:val="multilevel"/>
    <w:tmpl w:val="EF9A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94716F1"/>
    <w:multiLevelType w:val="multilevel"/>
    <w:tmpl w:val="8F02A4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8E1401"/>
    <w:multiLevelType w:val="multilevel"/>
    <w:tmpl w:val="317E0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A965750"/>
    <w:multiLevelType w:val="multilevel"/>
    <w:tmpl w:val="B17EC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D064050"/>
    <w:multiLevelType w:val="multilevel"/>
    <w:tmpl w:val="00F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8E50D5"/>
    <w:multiLevelType w:val="multilevel"/>
    <w:tmpl w:val="7898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8A65601"/>
    <w:multiLevelType w:val="multilevel"/>
    <w:tmpl w:val="6332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AF60BF7"/>
    <w:multiLevelType w:val="multilevel"/>
    <w:tmpl w:val="4456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1950887">
    <w:abstractNumId w:val="9"/>
  </w:num>
  <w:num w:numId="2" w16cid:durableId="59795167">
    <w:abstractNumId w:val="23"/>
  </w:num>
  <w:num w:numId="3" w16cid:durableId="1113593183">
    <w:abstractNumId w:val="10"/>
  </w:num>
  <w:num w:numId="4" w16cid:durableId="209343516">
    <w:abstractNumId w:val="3"/>
  </w:num>
  <w:num w:numId="5" w16cid:durableId="1846239781">
    <w:abstractNumId w:val="20"/>
  </w:num>
  <w:num w:numId="6" w16cid:durableId="207228940">
    <w:abstractNumId w:val="0"/>
  </w:num>
  <w:num w:numId="7" w16cid:durableId="2125030375">
    <w:abstractNumId w:val="16"/>
  </w:num>
  <w:num w:numId="8" w16cid:durableId="1683582509">
    <w:abstractNumId w:val="19"/>
  </w:num>
  <w:num w:numId="9" w16cid:durableId="1382513221">
    <w:abstractNumId w:val="24"/>
  </w:num>
  <w:num w:numId="10" w16cid:durableId="1799950354">
    <w:abstractNumId w:val="22"/>
  </w:num>
  <w:num w:numId="11" w16cid:durableId="1346904064">
    <w:abstractNumId w:val="8"/>
  </w:num>
  <w:num w:numId="12" w16cid:durableId="1225680687">
    <w:abstractNumId w:val="15"/>
  </w:num>
  <w:num w:numId="13" w16cid:durableId="487596722">
    <w:abstractNumId w:val="11"/>
  </w:num>
  <w:num w:numId="14" w16cid:durableId="893661454">
    <w:abstractNumId w:val="14"/>
  </w:num>
  <w:num w:numId="15" w16cid:durableId="590940202">
    <w:abstractNumId w:val="7"/>
  </w:num>
  <w:num w:numId="16" w16cid:durableId="1869563419">
    <w:abstractNumId w:val="17"/>
  </w:num>
  <w:num w:numId="17" w16cid:durableId="1678144871">
    <w:abstractNumId w:val="1"/>
  </w:num>
  <w:num w:numId="18" w16cid:durableId="717819250">
    <w:abstractNumId w:val="13"/>
  </w:num>
  <w:num w:numId="19" w16cid:durableId="284433776">
    <w:abstractNumId w:val="4"/>
  </w:num>
  <w:num w:numId="20" w16cid:durableId="754516420">
    <w:abstractNumId w:val="2"/>
  </w:num>
  <w:num w:numId="21" w16cid:durableId="1222329259">
    <w:abstractNumId w:val="21"/>
  </w:num>
  <w:num w:numId="22" w16cid:durableId="1351689165">
    <w:abstractNumId w:val="12"/>
  </w:num>
  <w:num w:numId="23" w16cid:durableId="535509858">
    <w:abstractNumId w:val="5"/>
  </w:num>
  <w:num w:numId="24" w16cid:durableId="266499054">
    <w:abstractNumId w:val="6"/>
  </w:num>
  <w:num w:numId="25" w16cid:durableId="2072803194">
    <w:abstractNumId w:val="18"/>
  </w:num>
  <w:num w:numId="26" w16cid:durableId="655499445">
    <w:abstractNumId w:val="18"/>
    <w:lvlOverride w:ilvl="1">
      <w:lvl w:ilvl="1">
        <w:numFmt w:val="decimal"/>
        <w:lvlText w:val="%2."/>
        <w:lvlJc w:val="left"/>
      </w:lvl>
    </w:lvlOverride>
  </w:num>
  <w:num w:numId="27" w16cid:durableId="588082106">
    <w:abstractNumId w:val="18"/>
    <w:lvlOverride w:ilvl="1">
      <w:lvl w:ilvl="1">
        <w:numFmt w:val="decimal"/>
        <w:lvlText w:val="%2."/>
        <w:lvlJc w:val="left"/>
      </w:lvl>
    </w:lvlOverride>
  </w:num>
  <w:num w:numId="28" w16cid:durableId="2060592443">
    <w:abstractNumId w:val="18"/>
    <w:lvlOverride w:ilvl="1">
      <w:lvl w:ilvl="1">
        <w:numFmt w:val="decimal"/>
        <w:lvlText w:val="%2."/>
        <w:lvlJc w:val="left"/>
      </w:lvl>
    </w:lvlOverride>
  </w:num>
  <w:numIdMacAtCleanup w:val="1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AF"/>
    <w:rsid w:val="000116E0"/>
    <w:rsid w:val="00025E33"/>
    <w:rsid w:val="000444C7"/>
    <w:rsid w:val="000570C0"/>
    <w:rsid w:val="000B25A1"/>
    <w:rsid w:val="000E5C04"/>
    <w:rsid w:val="000E7EC6"/>
    <w:rsid w:val="00103A06"/>
    <w:rsid w:val="00156F77"/>
    <w:rsid w:val="00167D9B"/>
    <w:rsid w:val="001E4F3D"/>
    <w:rsid w:val="001F75A0"/>
    <w:rsid w:val="00310F3C"/>
    <w:rsid w:val="00333D42"/>
    <w:rsid w:val="00345848"/>
    <w:rsid w:val="00352DEE"/>
    <w:rsid w:val="00360EDA"/>
    <w:rsid w:val="003A6BFB"/>
    <w:rsid w:val="003A6D17"/>
    <w:rsid w:val="003D53F3"/>
    <w:rsid w:val="0040117D"/>
    <w:rsid w:val="004014AA"/>
    <w:rsid w:val="00404866"/>
    <w:rsid w:val="0040630E"/>
    <w:rsid w:val="00422A12"/>
    <w:rsid w:val="00425911"/>
    <w:rsid w:val="004C76B3"/>
    <w:rsid w:val="004D5C01"/>
    <w:rsid w:val="00554BA5"/>
    <w:rsid w:val="00595771"/>
    <w:rsid w:val="005F06C5"/>
    <w:rsid w:val="00610B80"/>
    <w:rsid w:val="0063154F"/>
    <w:rsid w:val="00637FB4"/>
    <w:rsid w:val="006411F7"/>
    <w:rsid w:val="006712E6"/>
    <w:rsid w:val="006C362F"/>
    <w:rsid w:val="006F1220"/>
    <w:rsid w:val="006F59BF"/>
    <w:rsid w:val="00701956"/>
    <w:rsid w:val="007168AF"/>
    <w:rsid w:val="007333F7"/>
    <w:rsid w:val="00780F4E"/>
    <w:rsid w:val="007B7AB3"/>
    <w:rsid w:val="007F591F"/>
    <w:rsid w:val="00801A47"/>
    <w:rsid w:val="00841868"/>
    <w:rsid w:val="008712F2"/>
    <w:rsid w:val="008A0A9F"/>
    <w:rsid w:val="008B21B7"/>
    <w:rsid w:val="008C5D84"/>
    <w:rsid w:val="008E0C2A"/>
    <w:rsid w:val="00902B61"/>
    <w:rsid w:val="00991897"/>
    <w:rsid w:val="00994EE1"/>
    <w:rsid w:val="00A7562D"/>
    <w:rsid w:val="00A97DA6"/>
    <w:rsid w:val="00AB7C96"/>
    <w:rsid w:val="00AE370A"/>
    <w:rsid w:val="00AE4104"/>
    <w:rsid w:val="00B22B78"/>
    <w:rsid w:val="00B44EBF"/>
    <w:rsid w:val="00B50FA4"/>
    <w:rsid w:val="00B80C90"/>
    <w:rsid w:val="00BA5060"/>
    <w:rsid w:val="00BB55F9"/>
    <w:rsid w:val="00C337F0"/>
    <w:rsid w:val="00C607BD"/>
    <w:rsid w:val="00C82F14"/>
    <w:rsid w:val="00D14221"/>
    <w:rsid w:val="00D225CF"/>
    <w:rsid w:val="00D642C8"/>
    <w:rsid w:val="00E021E8"/>
    <w:rsid w:val="00E24745"/>
    <w:rsid w:val="00E42F8E"/>
    <w:rsid w:val="00E858A0"/>
    <w:rsid w:val="00EA092F"/>
    <w:rsid w:val="00EA16C5"/>
    <w:rsid w:val="00EE038C"/>
    <w:rsid w:val="00EF5D2A"/>
    <w:rsid w:val="00F61BA7"/>
    <w:rsid w:val="00F641BF"/>
    <w:rsid w:val="00F6569D"/>
    <w:rsid w:val="00F75FD2"/>
    <w:rsid w:val="00FD2B01"/>
    <w:rsid w:val="00FF42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D3A228"/>
  <w15:chartTrackingRefBased/>
  <w15:docId w15:val="{9E056E18-82E9-4D42-8029-C6BB6644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8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168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68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68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68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68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8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8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8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8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168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168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68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68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68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8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8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8AF"/>
    <w:rPr>
      <w:rFonts w:eastAsiaTheme="majorEastAsia" w:cstheme="majorBidi"/>
      <w:color w:val="272727" w:themeColor="text1" w:themeTint="D8"/>
    </w:rPr>
  </w:style>
  <w:style w:type="paragraph" w:styleId="Title">
    <w:name w:val="Title"/>
    <w:basedOn w:val="Normal"/>
    <w:next w:val="Normal"/>
    <w:link w:val="TitleChar"/>
    <w:uiPriority w:val="10"/>
    <w:qFormat/>
    <w:rsid w:val="007168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8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8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8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8AF"/>
    <w:pPr>
      <w:spacing w:before="160"/>
      <w:jc w:val="center"/>
    </w:pPr>
    <w:rPr>
      <w:i/>
      <w:iCs/>
      <w:color w:val="404040" w:themeColor="text1" w:themeTint="BF"/>
    </w:rPr>
  </w:style>
  <w:style w:type="character" w:customStyle="1" w:styleId="QuoteChar">
    <w:name w:val="Quote Char"/>
    <w:basedOn w:val="DefaultParagraphFont"/>
    <w:link w:val="Quote"/>
    <w:uiPriority w:val="29"/>
    <w:rsid w:val="007168AF"/>
    <w:rPr>
      <w:i/>
      <w:iCs/>
      <w:color w:val="404040" w:themeColor="text1" w:themeTint="BF"/>
    </w:rPr>
  </w:style>
  <w:style w:type="paragraph" w:styleId="ListParagraph">
    <w:name w:val="List Paragraph"/>
    <w:basedOn w:val="Normal"/>
    <w:uiPriority w:val="34"/>
    <w:qFormat/>
    <w:rsid w:val="007168AF"/>
    <w:pPr>
      <w:ind w:left="720"/>
      <w:contextualSpacing/>
    </w:pPr>
  </w:style>
  <w:style w:type="character" w:styleId="IntenseEmphasis">
    <w:name w:val="Intense Emphasis"/>
    <w:basedOn w:val="DefaultParagraphFont"/>
    <w:uiPriority w:val="21"/>
    <w:qFormat/>
    <w:rsid w:val="007168AF"/>
    <w:rPr>
      <w:i/>
      <w:iCs/>
      <w:color w:val="2F5496" w:themeColor="accent1" w:themeShade="BF"/>
    </w:rPr>
  </w:style>
  <w:style w:type="paragraph" w:styleId="IntenseQuote">
    <w:name w:val="Intense Quote"/>
    <w:basedOn w:val="Normal"/>
    <w:next w:val="Normal"/>
    <w:link w:val="IntenseQuoteChar"/>
    <w:uiPriority w:val="30"/>
    <w:qFormat/>
    <w:rsid w:val="007168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68AF"/>
    <w:rPr>
      <w:i/>
      <w:iCs/>
      <w:color w:val="2F5496" w:themeColor="accent1" w:themeShade="BF"/>
    </w:rPr>
  </w:style>
  <w:style w:type="character" w:styleId="IntenseReference">
    <w:name w:val="Intense Reference"/>
    <w:basedOn w:val="DefaultParagraphFont"/>
    <w:uiPriority w:val="32"/>
    <w:qFormat/>
    <w:rsid w:val="007168AF"/>
    <w:rPr>
      <w:b/>
      <w:bCs/>
      <w:smallCaps/>
      <w:color w:val="2F5496" w:themeColor="accent1" w:themeShade="BF"/>
      <w:spacing w:val="5"/>
    </w:rPr>
  </w:style>
  <w:style w:type="paragraph" w:styleId="NormalWeb">
    <w:name w:val="Normal (Web)"/>
    <w:basedOn w:val="Normal"/>
    <w:uiPriority w:val="99"/>
    <w:unhideWhenUsed/>
    <w:rsid w:val="007168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168AF"/>
    <w:rPr>
      <w:b/>
      <w:bCs/>
    </w:rPr>
  </w:style>
  <w:style w:type="character" w:customStyle="1" w:styleId="relative">
    <w:name w:val="relative"/>
    <w:basedOn w:val="DefaultParagraphFont"/>
    <w:rsid w:val="007168AF"/>
  </w:style>
  <w:style w:type="paragraph" w:customStyle="1" w:styleId="not-prose">
    <w:name w:val="not-prose"/>
    <w:basedOn w:val="Normal"/>
    <w:rsid w:val="007168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168AF"/>
    <w:rPr>
      <w:i/>
      <w:iCs/>
    </w:rPr>
  </w:style>
  <w:style w:type="character" w:styleId="Hyperlink">
    <w:name w:val="Hyperlink"/>
    <w:basedOn w:val="DefaultParagraphFont"/>
    <w:uiPriority w:val="99"/>
    <w:unhideWhenUsed/>
    <w:rsid w:val="007168AF"/>
    <w:rPr>
      <w:color w:val="0000FF"/>
      <w:u w:val="single"/>
    </w:rPr>
  </w:style>
  <w:style w:type="paragraph" w:styleId="TOCHeading">
    <w:name w:val="TOC Heading"/>
    <w:basedOn w:val="Heading1"/>
    <w:next w:val="Normal"/>
    <w:uiPriority w:val="39"/>
    <w:unhideWhenUsed/>
    <w:qFormat/>
    <w:rsid w:val="00B80C9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80C90"/>
    <w:pPr>
      <w:spacing w:before="120" w:after="0"/>
    </w:pPr>
    <w:rPr>
      <w:rFonts w:cstheme="minorHAnsi"/>
      <w:b/>
      <w:bCs/>
      <w:i/>
      <w:iCs/>
    </w:rPr>
  </w:style>
  <w:style w:type="paragraph" w:styleId="TOC2">
    <w:name w:val="toc 2"/>
    <w:basedOn w:val="Normal"/>
    <w:next w:val="Normal"/>
    <w:autoRedefine/>
    <w:uiPriority w:val="39"/>
    <w:unhideWhenUsed/>
    <w:rsid w:val="00B80C90"/>
    <w:pPr>
      <w:spacing w:before="120" w:after="0"/>
      <w:ind w:left="240"/>
    </w:pPr>
    <w:rPr>
      <w:rFonts w:cstheme="minorHAnsi"/>
      <w:b/>
      <w:bCs/>
      <w:sz w:val="22"/>
      <w:szCs w:val="22"/>
    </w:rPr>
  </w:style>
  <w:style w:type="paragraph" w:styleId="TOC3">
    <w:name w:val="toc 3"/>
    <w:basedOn w:val="Normal"/>
    <w:next w:val="Normal"/>
    <w:autoRedefine/>
    <w:uiPriority w:val="39"/>
    <w:unhideWhenUsed/>
    <w:rsid w:val="00B80C90"/>
    <w:pPr>
      <w:spacing w:after="0"/>
      <w:ind w:left="480"/>
    </w:pPr>
    <w:rPr>
      <w:rFonts w:cstheme="minorHAnsi"/>
      <w:sz w:val="20"/>
      <w:szCs w:val="20"/>
    </w:rPr>
  </w:style>
  <w:style w:type="paragraph" w:styleId="TOC4">
    <w:name w:val="toc 4"/>
    <w:basedOn w:val="Normal"/>
    <w:next w:val="Normal"/>
    <w:autoRedefine/>
    <w:uiPriority w:val="39"/>
    <w:semiHidden/>
    <w:unhideWhenUsed/>
    <w:rsid w:val="00B80C90"/>
    <w:pPr>
      <w:spacing w:after="0"/>
      <w:ind w:left="720"/>
    </w:pPr>
    <w:rPr>
      <w:rFonts w:cstheme="minorHAnsi"/>
      <w:sz w:val="20"/>
      <w:szCs w:val="20"/>
    </w:rPr>
  </w:style>
  <w:style w:type="paragraph" w:styleId="TOC5">
    <w:name w:val="toc 5"/>
    <w:basedOn w:val="Normal"/>
    <w:next w:val="Normal"/>
    <w:autoRedefine/>
    <w:uiPriority w:val="39"/>
    <w:semiHidden/>
    <w:unhideWhenUsed/>
    <w:rsid w:val="00B80C90"/>
    <w:pPr>
      <w:spacing w:after="0"/>
      <w:ind w:left="960"/>
    </w:pPr>
    <w:rPr>
      <w:rFonts w:cstheme="minorHAnsi"/>
      <w:sz w:val="20"/>
      <w:szCs w:val="20"/>
    </w:rPr>
  </w:style>
  <w:style w:type="paragraph" w:styleId="TOC6">
    <w:name w:val="toc 6"/>
    <w:basedOn w:val="Normal"/>
    <w:next w:val="Normal"/>
    <w:autoRedefine/>
    <w:uiPriority w:val="39"/>
    <w:semiHidden/>
    <w:unhideWhenUsed/>
    <w:rsid w:val="00B80C90"/>
    <w:pPr>
      <w:spacing w:after="0"/>
      <w:ind w:left="1200"/>
    </w:pPr>
    <w:rPr>
      <w:rFonts w:cstheme="minorHAnsi"/>
      <w:sz w:val="20"/>
      <w:szCs w:val="20"/>
    </w:rPr>
  </w:style>
  <w:style w:type="paragraph" w:styleId="TOC7">
    <w:name w:val="toc 7"/>
    <w:basedOn w:val="Normal"/>
    <w:next w:val="Normal"/>
    <w:autoRedefine/>
    <w:uiPriority w:val="39"/>
    <w:semiHidden/>
    <w:unhideWhenUsed/>
    <w:rsid w:val="00B80C90"/>
    <w:pPr>
      <w:spacing w:after="0"/>
      <w:ind w:left="1440"/>
    </w:pPr>
    <w:rPr>
      <w:rFonts w:cstheme="minorHAnsi"/>
      <w:sz w:val="20"/>
      <w:szCs w:val="20"/>
    </w:rPr>
  </w:style>
  <w:style w:type="paragraph" w:styleId="TOC8">
    <w:name w:val="toc 8"/>
    <w:basedOn w:val="Normal"/>
    <w:next w:val="Normal"/>
    <w:autoRedefine/>
    <w:uiPriority w:val="39"/>
    <w:semiHidden/>
    <w:unhideWhenUsed/>
    <w:rsid w:val="00B80C90"/>
    <w:pPr>
      <w:spacing w:after="0"/>
      <w:ind w:left="1680"/>
    </w:pPr>
    <w:rPr>
      <w:rFonts w:cstheme="minorHAnsi"/>
      <w:sz w:val="20"/>
      <w:szCs w:val="20"/>
    </w:rPr>
  </w:style>
  <w:style w:type="paragraph" w:styleId="TOC9">
    <w:name w:val="toc 9"/>
    <w:basedOn w:val="Normal"/>
    <w:next w:val="Normal"/>
    <w:autoRedefine/>
    <w:uiPriority w:val="39"/>
    <w:semiHidden/>
    <w:unhideWhenUsed/>
    <w:rsid w:val="00B80C90"/>
    <w:pPr>
      <w:spacing w:after="0"/>
      <w:ind w:left="1920"/>
    </w:pPr>
    <w:rPr>
      <w:rFonts w:cstheme="minorHAnsi"/>
      <w:sz w:val="20"/>
      <w:szCs w:val="20"/>
    </w:rPr>
  </w:style>
  <w:style w:type="paragraph" w:styleId="Header">
    <w:name w:val="header"/>
    <w:basedOn w:val="Normal"/>
    <w:link w:val="HeaderChar"/>
    <w:uiPriority w:val="99"/>
    <w:unhideWhenUsed/>
    <w:rsid w:val="00B80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C90"/>
  </w:style>
  <w:style w:type="paragraph" w:styleId="Footer">
    <w:name w:val="footer"/>
    <w:basedOn w:val="Normal"/>
    <w:link w:val="FooterChar"/>
    <w:uiPriority w:val="99"/>
    <w:unhideWhenUsed/>
    <w:rsid w:val="00B80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C90"/>
  </w:style>
  <w:style w:type="paragraph" w:styleId="NoSpacing">
    <w:name w:val="No Spacing"/>
    <w:link w:val="NoSpacingChar"/>
    <w:uiPriority w:val="1"/>
    <w:qFormat/>
    <w:rsid w:val="00B80C9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B80C90"/>
    <w:rPr>
      <w:rFonts w:eastAsiaTheme="minorEastAsia"/>
      <w:kern w:val="0"/>
      <w:sz w:val="22"/>
      <w:szCs w:val="22"/>
      <w:lang w:val="en-US" w:eastAsia="zh-CN"/>
      <w14:ligatures w14:val="none"/>
    </w:rPr>
  </w:style>
  <w:style w:type="character" w:styleId="PageNumber">
    <w:name w:val="page number"/>
    <w:basedOn w:val="DefaultParagraphFont"/>
    <w:uiPriority w:val="99"/>
    <w:semiHidden/>
    <w:unhideWhenUsed/>
    <w:rsid w:val="00B80C90"/>
  </w:style>
  <w:style w:type="character" w:styleId="UnresolvedMention">
    <w:name w:val="Unresolved Mention"/>
    <w:basedOn w:val="DefaultParagraphFont"/>
    <w:uiPriority w:val="99"/>
    <w:semiHidden/>
    <w:unhideWhenUsed/>
    <w:rsid w:val="003D53F3"/>
    <w:rPr>
      <w:color w:val="605E5C"/>
      <w:shd w:val="clear" w:color="auto" w:fill="E1DFDD"/>
    </w:rPr>
  </w:style>
  <w:style w:type="paragraph" w:customStyle="1" w:styleId="msonormal0">
    <w:name w:val="msonormal"/>
    <w:basedOn w:val="Normal"/>
    <w:rsid w:val="006712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TMLPreformatted">
    <w:name w:val="HTML Preformatted"/>
    <w:basedOn w:val="Normal"/>
    <w:link w:val="HTMLPreformattedChar"/>
    <w:uiPriority w:val="99"/>
    <w:semiHidden/>
    <w:unhideWhenUsed/>
    <w:rsid w:val="006712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6712E6"/>
    <w:rPr>
      <w:rFonts w:ascii="Courier New" w:eastAsia="Times New Roman" w:hAnsi="Courier New" w:cs="Courier New"/>
      <w:kern w:val="0"/>
      <w:sz w:val="20"/>
      <w:szCs w:val="20"/>
      <w:lang w:eastAsia="en-GB"/>
      <w14:ligatures w14:val="none"/>
    </w:rPr>
  </w:style>
  <w:style w:type="character" w:customStyle="1" w:styleId="text-text-secondary">
    <w:name w:val="text-text-secondary"/>
    <w:basedOn w:val="DefaultParagraphFont"/>
    <w:rsid w:val="006712E6"/>
  </w:style>
  <w:style w:type="character" w:styleId="HTMLCode">
    <w:name w:val="HTML Code"/>
    <w:basedOn w:val="DefaultParagraphFont"/>
    <w:uiPriority w:val="99"/>
    <w:semiHidden/>
    <w:unhideWhenUsed/>
    <w:rsid w:val="006712E6"/>
    <w:rPr>
      <w:rFonts w:ascii="Courier New" w:eastAsia="Times New Roman" w:hAnsi="Courier New" w:cs="Courier New"/>
      <w:sz w:val="20"/>
      <w:szCs w:val="20"/>
    </w:rPr>
  </w:style>
  <w:style w:type="character" w:customStyle="1" w:styleId="line">
    <w:name w:val="line"/>
    <w:basedOn w:val="DefaultParagraphFont"/>
    <w:rsid w:val="006712E6"/>
  </w:style>
  <w:style w:type="character" w:styleId="FollowedHyperlink">
    <w:name w:val="FollowedHyperlink"/>
    <w:basedOn w:val="DefaultParagraphFont"/>
    <w:uiPriority w:val="99"/>
    <w:semiHidden/>
    <w:unhideWhenUsed/>
    <w:rsid w:val="006712E6"/>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90FDA-A0F4-F344-8122-2C39ABAB3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32</Pages>
  <Words>7512</Words>
  <Characters>42823</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Prince Sade (2525510)</cp:lastModifiedBy>
  <cp:revision>20</cp:revision>
  <dcterms:created xsi:type="dcterms:W3CDTF">2026-06-18T13:46:00Z</dcterms:created>
  <dcterms:modified xsi:type="dcterms:W3CDTF">2026-07-20T20:49:00Z</dcterms:modified>
</cp:coreProperties>
</file>