
<file path=[Content_Types].xml><?xml version="1.0" encoding="utf-8"?>
<Types xmlns="http://schemas.openxmlformats.org/package/2006/content-types">
  <Default Extension="png" ContentType="image/png"/>
  <Default Extension="jpeg" ContentType="image/jpeg"/>
  <Default Extension="jpg" ContentType="image/jpeg"/>
  <Default Extension="bmp" ContentType="image/bmp"/>
  <Default Extension="gif" ContentType="image/gif"/>
  <Default Extension="svg" ContentType="image/svg+xml"/>
  <Default Extension="rels" ContentType="application/vnd.openxmlformats-package.relationships+xml"/>
  <Default Extension="xml" ContentType="application/xml"/>
  <Default Extension="odttf" ContentType="application/vnd.openxmlformats-officedocument.obfuscatedFont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core.xml" ContentType="application/vnd.openxmlformats-package.core-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fontTable.xml" ContentType="application/vnd.openxmlformats-officedocument.wordprocessingml.fontTable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p14">
  <w:body>
    <w:p xmlns:wp14="http://schemas.microsoft.com/office/word/2010/wordml" w14:paraId="62EE1AEE" wp14:textId="77777777">
      <w:pPr>
        <w:pStyle w:val="Heading1"/>
      </w:pPr>
      <w:r w:rsidR="1AFF0729">
        <w:rPr/>
        <w:t>Session Themes and Further Reading</w:t>
      </w:r>
    </w:p>
    <w:p xmlns:wp14="http://schemas.microsoft.com/office/word/2010/wordml" w14:paraId="1567E153" wp14:textId="0FEA19A8">
      <w:pPr>
        <w:spacing w:after="140" w:line="288" w:lineRule="auto"/>
      </w:pPr>
      <w:r w:rsidRPr="1AFF0729" w:rsidR="1AFF0729">
        <w:rPr>
          <w:lang w:val="en-US"/>
        </w:rPr>
        <w:t xml:space="preserve">This note </w:t>
      </w:r>
      <w:r w:rsidRPr="1AFF0729" w:rsidR="1AFF0729">
        <w:rPr>
          <w:lang w:val="en-US"/>
        </w:rPr>
        <w:t>summarises</w:t>
      </w:r>
      <w:r w:rsidRPr="1AFF0729" w:rsidR="1AFF0729">
        <w:rPr>
          <w:lang w:val="en-US"/>
        </w:rPr>
        <w:t xml:space="preserve"> the main themes from the PHP2Shell session and suggests keywords for further reading. Use the keywords to search the library databases and Google Scholar.</w:t>
      </w:r>
    </w:p>
    <w:p xmlns:wp14="http://schemas.microsoft.com/office/word/2010/wordml" w14:paraId="54A805E7" wp14:textId="77777777">
      <w:pPr>
        <w:pStyle w:val="Heading2"/>
      </w:pPr>
      <w:r>
        <w:t xml:space="preserve">Themes and keywords</w:t>
      </w:r>
    </w:p>
    <w:p xmlns:wp14="http://schemas.microsoft.com/office/word/2010/wordml" w14:paraId="14672965" wp14:textId="77777777">
      <w:pPr>
        <w:keepNext/>
        <w:keepLines/>
        <w:spacing w:before="120" w:after="80"/>
      </w:pPr>
      <w:r>
        <w:rPr>
          <w:b/>
          <w:bCs/>
          <w:sz w:val="24"/>
          <w:szCs w:val="24"/>
        </w:rPr>
        <w:t xml:space="preserve">1. Cyber risk as a strategic, board-level issue</w:t>
      </w:r>
    </w:p>
    <w:p xmlns:wp14="http://schemas.microsoft.com/office/word/2010/wordml" w14:paraId="1DCE79F1" wp14:textId="77777777">
      <w:pPr>
        <w:keepNext w:val="1"/>
        <w:keepLines w:val="1"/>
        <w:spacing w:after="80" w:line="288" w:lineRule="auto"/>
      </w:pPr>
      <w:r w:rsidRPr="1AFF0729" w:rsidR="1AFF0729">
        <w:rPr>
          <w:lang w:val="en-US"/>
        </w:rPr>
        <w:t>Cyber risk is not only an IT problem. Corran’s exposure came from decisions about cost, acquisition and reporting lines.</w:t>
      </w:r>
    </w:p>
    <w:p xmlns:wp14="http://schemas.microsoft.com/office/word/2010/wordml" w14:paraId="3541A1E9" wp14:textId="0FE95EF4">
      <w:pPr>
        <w:spacing w:after="220" w:line="288" w:lineRule="auto"/>
      </w:pPr>
      <w:r w:rsidRPr="1AFF0729" w:rsidR="1AFF0729">
        <w:rPr>
          <w:b w:val="1"/>
          <w:bCs w:val="1"/>
        </w:rPr>
        <w:t xml:space="preserve">Keywords: </w:t>
      </w:r>
      <w:r w:rsidRPr="1AFF0729" w:rsidR="1AFF0729">
        <w:rPr>
          <w:i w:val="1"/>
          <w:iCs w:val="1"/>
        </w:rPr>
        <w:t>cyber governance, board oversight of cyber risk, enterprise risk management, risk appetite, cyber resilience, governance</w:t>
      </w:r>
    </w:p>
    <w:p xmlns:wp14="http://schemas.microsoft.com/office/word/2010/wordml" w14:paraId="451B0B59" wp14:textId="77777777">
      <w:pPr>
        <w:keepNext/>
        <w:keepLines/>
        <w:spacing w:before="120" w:after="80"/>
      </w:pPr>
      <w:r>
        <w:rPr>
          <w:b/>
          <w:bCs/>
          <w:sz w:val="24"/>
          <w:szCs w:val="24"/>
        </w:rPr>
        <w:t xml:space="preserve">2. Interdependence through shared digital infrastructure</w:t>
      </w:r>
    </w:p>
    <w:p xmlns:wp14="http://schemas.microsoft.com/office/word/2010/wordml" w14:paraId="7BAE0B18" wp14:textId="77777777">
      <w:pPr>
        <w:keepNext w:val="1"/>
        <w:keepLines w:val="1"/>
        <w:spacing w:after="80" w:line="288" w:lineRule="auto"/>
      </w:pPr>
      <w:r w:rsidRPr="1AFF0729" w:rsidR="1AFF0729">
        <w:rPr>
          <w:lang w:val="en-US"/>
        </w:rPr>
        <w:t>One flaw in widely used software affected organisations in every country at once, which raises questions about who is responsible for maintaining it.</w:t>
      </w:r>
    </w:p>
    <w:p xmlns:wp14="http://schemas.microsoft.com/office/word/2010/wordml" w14:paraId="3CC9D48D" wp14:textId="77777777">
      <w:pPr>
        <w:spacing w:after="220" w:line="288" w:lineRule="auto"/>
      </w:pPr>
      <w:r w:rsidRPr="1AFF0729" w:rsidR="1AFF0729">
        <w:rPr>
          <w:b w:val="1"/>
          <w:bCs w:val="1"/>
          <w:lang w:val="en-US"/>
        </w:rPr>
        <w:t xml:space="preserve">Keywords: </w:t>
      </w:r>
      <w:r w:rsidRPr="1AFF0729" w:rsidR="1AFF0729">
        <w:rPr>
          <w:i w:val="1"/>
          <w:iCs w:val="1"/>
          <w:lang w:val="en-US"/>
        </w:rPr>
        <w:t>systemic risk, concentration risk, digital supply chain, software supply chain security, open-source sustainability, digital public goods, weaponised interdependence</w:t>
      </w:r>
    </w:p>
    <w:p xmlns:wp14="http://schemas.microsoft.com/office/word/2010/wordml" w14:paraId="341335AC" wp14:textId="77777777">
      <w:pPr>
        <w:keepNext/>
        <w:keepLines/>
        <w:spacing w:before="120" w:after="80"/>
      </w:pPr>
      <w:r>
        <w:rPr>
          <w:b/>
          <w:bCs/>
          <w:sz w:val="24"/>
          <w:szCs w:val="24"/>
        </w:rPr>
        <w:t xml:space="preserve">3. The value and limits of risk models</w:t>
      </w:r>
    </w:p>
    <w:p xmlns:wp14="http://schemas.microsoft.com/office/word/2010/wordml" w14:paraId="46F05313" wp14:textId="77777777">
      <w:pPr>
        <w:keepNext w:val="1"/>
        <w:keepLines w:val="1"/>
        <w:spacing w:after="80" w:line="288" w:lineRule="auto"/>
      </w:pPr>
      <w:r w:rsidRPr="1AFF0729" w:rsidR="1AFF0729">
        <w:rPr>
          <w:lang w:val="en-US"/>
        </w:rPr>
        <w:t>Models structure judgement but do not replace it, and they tend to miss what the team has not already recognised.</w:t>
      </w:r>
    </w:p>
    <w:p xmlns:wp14="http://schemas.microsoft.com/office/word/2010/wordml" w14:paraId="4B9417AF" wp14:textId="77777777">
      <w:pPr>
        <w:spacing w:after="220" w:line="288"/>
      </w:pPr>
      <w:r>
        <w:rPr>
          <w:b/>
          <w:bCs/>
        </w:rPr>
        <w:t xml:space="preserve">Keywords: </w:t>
      </w:r>
      <w:r>
        <w:rPr>
          <w:i/>
          <w:iCs/>
        </w:rPr>
        <w:t xml:space="preserve">risk matrix critique, risk heat maps, latent conditions, hindsight bias, systems thinking in safety, normal accidents, black swan events</w:t>
      </w:r>
    </w:p>
    <w:p xmlns:wp14="http://schemas.microsoft.com/office/word/2010/wordml" w14:paraId="730A7C82" wp14:textId="77777777">
      <w:pPr>
        <w:keepNext/>
        <w:keepLines/>
        <w:spacing w:before="120" w:after="80"/>
      </w:pPr>
      <w:r>
        <w:rPr>
          <w:b/>
          <w:bCs/>
          <w:sz w:val="24"/>
          <w:szCs w:val="24"/>
        </w:rPr>
        <w:t xml:space="preserve">4. Governance and control in multinationals</w:t>
      </w:r>
    </w:p>
    <w:p xmlns:wp14="http://schemas.microsoft.com/office/word/2010/wordml" w14:paraId="086A0E1B" wp14:textId="77777777">
      <w:pPr>
        <w:keepNext/>
        <w:keepLines/>
        <w:spacing w:after="80" w:line="288"/>
      </w:pPr>
      <w:r>
        <w:t xml:space="preserve">Groups had to decide where authority should sit between headquarters and subsidiaries, and who should provide independent assurance.</w:t>
      </w:r>
    </w:p>
    <w:p xmlns:wp14="http://schemas.microsoft.com/office/word/2010/wordml" w14:paraId="70B002C1" wp14:textId="77777777">
      <w:pPr>
        <w:spacing w:after="220" w:line="288" w:lineRule="auto"/>
      </w:pPr>
      <w:r w:rsidRPr="1AFF0729" w:rsidR="1AFF0729">
        <w:rPr>
          <w:b w:val="1"/>
          <w:bCs w:val="1"/>
          <w:lang w:val="en-US"/>
        </w:rPr>
        <w:t xml:space="preserve">Keywords: </w:t>
      </w:r>
      <w:r w:rsidRPr="1AFF0729" w:rsidR="1AFF0729">
        <w:rPr>
          <w:i w:val="1"/>
          <w:iCs w:val="1"/>
          <w:lang w:val="en-US"/>
        </w:rPr>
        <w:t>headquarters-subsidiary relationships, integration-responsiveness framework, transnational strategy, centralisation and decentralisation, Three Lines Model, corporate governance in multinational enterprises</w:t>
      </w:r>
    </w:p>
    <w:p xmlns:wp14="http://schemas.microsoft.com/office/word/2010/wordml" w14:paraId="50BC9DD9" wp14:textId="77777777">
      <w:pPr>
        <w:keepNext w:val="1"/>
        <w:keepLines w:val="1"/>
        <w:spacing w:before="120" w:after="80"/>
      </w:pPr>
      <w:r w:rsidRPr="1AFF0729" w:rsidR="1AFF0729">
        <w:rPr>
          <w:b w:val="1"/>
          <w:bCs w:val="1"/>
          <w:sz w:val="24"/>
          <w:szCs w:val="24"/>
          <w:lang w:val="en-US"/>
        </w:rPr>
        <w:t>5. Working across jurisdictions</w:t>
      </w:r>
    </w:p>
    <w:p xmlns:wp14="http://schemas.microsoft.com/office/word/2010/wordml" w14:paraId="5ECC5048" wp14:textId="77777777">
      <w:pPr>
        <w:keepNext w:val="1"/>
        <w:keepLines w:val="1"/>
        <w:spacing w:after="80" w:line="288" w:lineRule="auto"/>
      </w:pPr>
      <w:r w:rsidRPr="1AFF0729" w:rsidR="1AFF0729">
        <w:rPr>
          <w:lang w:val="en-US"/>
        </w:rPr>
        <w:t>One incident triggered different legal duties, deadlines and expectations in each country, and some of these could conflict.</w:t>
      </w:r>
    </w:p>
    <w:p xmlns:wp14="http://schemas.microsoft.com/office/word/2010/wordml" w14:paraId="2934CE51" wp14:textId="77777777">
      <w:pPr>
        <w:spacing w:after="220" w:line="288" w:lineRule="auto"/>
      </w:pPr>
      <w:r w:rsidRPr="1AFF0729" w:rsidR="1AFF0729">
        <w:rPr>
          <w:b w:val="1"/>
          <w:bCs w:val="1"/>
          <w:lang w:val="en-US"/>
        </w:rPr>
        <w:t xml:space="preserve">Keywords: </w:t>
      </w:r>
      <w:r w:rsidRPr="1AFF0729" w:rsidR="1AFF0729">
        <w:rPr>
          <w:i w:val="1"/>
          <w:iCs w:val="1"/>
          <w:lang w:val="en-US"/>
        </w:rPr>
        <w:t>regulatory divergence, extraterritorial regulation, Brussels effect, cross-border data transfers, data localisation, data sovereignty, breach notification requirements, institutional distance</w:t>
      </w:r>
    </w:p>
    <w:p xmlns:wp14="http://schemas.microsoft.com/office/word/2010/wordml" w14:paraId="633201C5" wp14:textId="77777777">
      <w:pPr>
        <w:keepNext/>
        <w:keepLines/>
        <w:spacing w:before="120" w:after="80"/>
      </w:pPr>
      <w:r>
        <w:rPr>
          <w:b/>
          <w:bCs/>
          <w:sz w:val="24"/>
          <w:szCs w:val="24"/>
        </w:rPr>
        <w:t xml:space="preserve">6. Acquisitions and inherited risk</w:t>
      </w:r>
    </w:p>
    <w:p xmlns:wp14="http://schemas.microsoft.com/office/word/2010/wordml" w14:paraId="03CDD955" wp14:textId="77777777">
      <w:pPr>
        <w:keepNext w:val="1"/>
        <w:keepLines w:val="1"/>
        <w:spacing w:after="80" w:line="288" w:lineRule="auto"/>
      </w:pPr>
      <w:r w:rsidRPr="1AFF0729" w:rsidR="1AFF0729">
        <w:rPr>
          <w:lang w:val="en-US"/>
        </w:rPr>
        <w:t>ViajaBem showed how deferring integration after an acquisition can leave hidden exposure.</w:t>
      </w:r>
    </w:p>
    <w:p xmlns:wp14="http://schemas.microsoft.com/office/word/2010/wordml" w14:paraId="36CEE843" wp14:textId="77777777">
      <w:pPr>
        <w:spacing w:after="220" w:line="288"/>
      </w:pPr>
      <w:r>
        <w:rPr>
          <w:b/>
          <w:bCs/>
        </w:rPr>
        <w:t xml:space="preserve">Keywords: </w:t>
      </w:r>
      <w:r>
        <w:rPr>
          <w:i/>
          <w:iCs/>
        </w:rPr>
        <w:t xml:space="preserve">post-merger integration, cyber due diligence, acquisition integration risk, entry mode choice, liability of foreignness</w:t>
      </w:r>
    </w:p>
    <w:p xmlns:wp14="http://schemas.microsoft.com/office/word/2010/wordml" w14:paraId="03A139B8" wp14:textId="77777777">
      <w:pPr>
        <w:keepNext/>
        <w:keepLines/>
        <w:spacing w:before="120" w:after="80"/>
      </w:pPr>
      <w:r>
        <w:rPr>
          <w:b/>
          <w:bCs/>
          <w:sz w:val="24"/>
          <w:szCs w:val="24"/>
        </w:rPr>
        <w:t xml:space="preserve">7. Decision making under uncertainty</w:t>
      </w:r>
    </w:p>
    <w:p xmlns:wp14="http://schemas.microsoft.com/office/word/2010/wordml" w14:paraId="5F6685B7" wp14:textId="77777777">
      <w:pPr>
        <w:keepNext/>
        <w:keepLines/>
        <w:spacing w:after="80" w:line="288"/>
      </w:pPr>
      <w:r>
        <w:t xml:space="preserve">Groups had to act before they knew whether data had been taken.</w:t>
      </w:r>
    </w:p>
    <w:p xmlns:wp14="http://schemas.microsoft.com/office/word/2010/wordml" w14:paraId="1F60EC2C" wp14:textId="77777777">
      <w:pPr>
        <w:spacing w:after="220" w:line="288" w:lineRule="auto"/>
      </w:pPr>
      <w:r w:rsidRPr="1AFF0729" w:rsidR="1AFF0729">
        <w:rPr>
          <w:b w:val="1"/>
          <w:bCs w:val="1"/>
          <w:lang w:val="en-US"/>
        </w:rPr>
        <w:t xml:space="preserve">Keywords: </w:t>
      </w:r>
      <w:r w:rsidRPr="1AFF0729" w:rsidR="1AFF0729">
        <w:rPr>
          <w:i w:val="1"/>
          <w:iCs w:val="1"/>
          <w:lang w:val="en-US"/>
        </w:rPr>
        <w:t>decision making under uncertainty, bounded rationality, sensemaking, crisis leadership, organisational resilience</w:t>
      </w:r>
    </w:p>
    <w:p xmlns:wp14="http://schemas.microsoft.com/office/word/2010/wordml" w14:paraId="32A1B4FA" wp14:textId="77777777">
      <w:pPr>
        <w:keepNext/>
        <w:keepLines/>
        <w:spacing w:before="120" w:after="80"/>
      </w:pPr>
      <w:r>
        <w:rPr>
          <w:b/>
          <w:bCs/>
          <w:sz w:val="24"/>
          <w:szCs w:val="24"/>
        </w:rPr>
        <w:t xml:space="preserve">8. The people dimension</w:t>
      </w:r>
    </w:p>
    <w:p xmlns:wp14="http://schemas.microsoft.com/office/word/2010/wordml" w14:paraId="7157ED3B" wp14:textId="77777777">
      <w:pPr>
        <w:keepNext/>
        <w:keepLines/>
        <w:spacing w:after="80" w:line="288"/>
      </w:pPr>
      <w:r>
        <w:t xml:space="preserve">Staff data, communication with employees and whether people feel able to raise concerns all shaped how the incident developed.</w:t>
      </w:r>
    </w:p>
    <w:p xmlns:wp14="http://schemas.microsoft.com/office/word/2010/wordml" w14:paraId="11AA4E58" wp14:textId="77777777">
      <w:pPr>
        <w:spacing w:after="220" w:line="288" w:lineRule="auto"/>
      </w:pPr>
      <w:r w:rsidRPr="1AFF0729" w:rsidR="1AFF0729">
        <w:rPr>
          <w:b w:val="1"/>
          <w:bCs w:val="1"/>
          <w:lang w:val="en-US"/>
        </w:rPr>
        <w:t xml:space="preserve">Keywords: </w:t>
      </w:r>
      <w:r w:rsidRPr="1AFF0729" w:rsidR="1AFF0729">
        <w:rPr>
          <w:i w:val="1"/>
          <w:iCs w:val="1"/>
          <w:lang w:val="en-US"/>
        </w:rPr>
        <w:t>employee data protection, organisational culture and risk, psychological safety, speak-up culture</w:t>
      </w:r>
    </w:p>
    <w:p xmlns:wp14="http://schemas.microsoft.com/office/word/2010/wordml" w14:paraId="11BE6425" wp14:textId="77777777">
      <w:pPr>
        <w:pStyle w:val="Heading2"/>
      </w:pPr>
      <w:r>
        <w:t xml:space="preserve">Searching effectively</w:t>
      </w:r>
    </w:p>
    <w:p xmlns:wp14="http://schemas.microsoft.com/office/word/2010/wordml" w14:paraId="1F886145" wp14:textId="77777777">
      <w:pPr>
        <w:pStyle w:val="ListParagraph"/>
        <w:numPr>
          <w:ilvl w:val="0"/>
          <w:numId w:val="2"/>
        </w:numPr>
        <w:spacing w:after="100" w:line="288"/>
      </w:pPr>
      <w:r>
        <w:t xml:space="preserve">Combine a theme keyword with an international business term, for example "cyber due diligence" AND "cross-border acquisitions", to keep results relevant to the module.</w:t>
      </w:r>
    </w:p>
    <w:p xmlns:wp14="http://schemas.microsoft.com/office/word/2010/wordml" w14:paraId="159CD80B" wp14:textId="77777777">
      <w:pPr>
        <w:pStyle w:val="ListParagraph"/>
        <w:numPr>
          <w:ilvl w:val="0"/>
          <w:numId w:val="2"/>
        </w:numPr>
        <w:spacing w:after="100" w:line="288" w:lineRule="auto"/>
        <w:rPr/>
      </w:pPr>
      <w:r w:rsidRPr="1AFF0729" w:rsidR="1AFF0729">
        <w:rPr>
          <w:lang w:val="en-US"/>
        </w:rPr>
        <w:t>Use the library’s business databases as well as Google Scholar, and filter for peer-reviewed journals.</w:t>
      </w:r>
    </w:p>
    <w:p xmlns:wp14="http://schemas.microsoft.com/office/word/2010/wordml" w14:paraId="3EDD818F" wp14:textId="77777777">
      <w:pPr>
        <w:pStyle w:val="ListParagraph"/>
        <w:numPr>
          <w:ilvl w:val="0"/>
          <w:numId w:val="2"/>
        </w:numPr>
        <w:spacing w:after="100" w:line="288" w:lineRule="auto"/>
        <w:rPr/>
      </w:pPr>
      <w:r w:rsidRPr="1AFF0729" w:rsidR="1AFF0729">
        <w:rPr>
          <w:lang w:val="en-US"/>
        </w:rPr>
        <w:t>Prioritise sources from the last five years, but cite seminal works where a concept originates with them.</w:t>
      </w:r>
    </w:p>
    <w:p xmlns:wp14="http://schemas.microsoft.com/office/word/2010/wordml" w14:paraId="6861397D" wp14:textId="77777777">
      <w:pPr>
        <w:pStyle w:val="ListParagraph"/>
        <w:numPr>
          <w:ilvl w:val="0"/>
          <w:numId w:val="2"/>
        </w:numPr>
        <w:spacing w:after="100" w:line="288"/>
      </w:pPr>
      <w:r>
        <w:t xml:space="preserve">For fast-moving topics such as regulation and the PHP2Shell event itself, check official sources such as regulators and government agencies, and note the date accessed.</w:t>
      </w:r>
    </w:p>
    <w:sectPr>
      <w:pgSz w:w="11906" w:h="16838" w:orient="portrait"/>
      <w:pgMar w:top="1134" w:right="1134" w:bottom="1134" w:left="1134" w:header="708" w:footer="708" w:gutter="0"/>
      <w:pgNumType/>
      <w:docGrid w:linePitch="360"/>
      <w:cols w:num="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1" w15:restartNumberingAfterBreak="0">
    <w:nsid w:val="3da966ad"/>
    <w:multiLevelType w:val="hybridMultilevel"/>
    <w:lvl w:ilvl="0" w15:tentative="1">
      <w:start w:val="1"/>
      <w:numFmt w:val="bullet"/>
      <w:lvlText w:val="●"/>
      <w:lvlJc w:val="left"/>
      <w:pPr>
        <w:ind w:left="720" w:hanging="360"/>
      </w:pPr>
    </w:lvl>
    <w:lvl w:ilvl="1" w15:tentative="1">
      <w:start w:val="1"/>
      <w:numFmt w:val="bullet"/>
      <w:lvlText w:val="○"/>
      <w:lvlJc w:val="left"/>
      <w:pPr>
        <w:ind w:left="1440" w:hanging="360"/>
      </w:pPr>
    </w:lvl>
    <w:lvl w:ilvl="2" w15:tentative="1">
      <w:start w:val="1"/>
      <w:numFmt w:val="bullet"/>
      <w:lvlText w:val="■"/>
      <w:lvlJc w:val="left"/>
      <w:pPr>
        <w:ind w:left="2160" w:hanging="360"/>
      </w:pPr>
    </w:lvl>
    <w:lvl w:ilvl="3" w15:tentative="1">
      <w:start w:val="1"/>
      <w:numFmt w:val="bullet"/>
      <w:lvlText w:val="●"/>
      <w:lvlJc w:val="left"/>
      <w:pPr>
        <w:ind w:left="2880" w:hanging="360"/>
      </w:pPr>
    </w:lvl>
    <w:lvl w:ilvl="4" w15:tentative="1">
      <w:start w:val="1"/>
      <w:numFmt w:val="bullet"/>
      <w:lvlText w:val="○"/>
      <w:lvlJc w:val="left"/>
      <w:pPr>
        <w:ind w:left="3600" w:hanging="360"/>
      </w:pPr>
    </w:lvl>
    <w:lvl w:ilvl="5" w15:tentative="1">
      <w:start w:val="1"/>
      <w:numFmt w:val="bullet"/>
      <w:lvlText w:val="■"/>
      <w:lvlJc w:val="left"/>
      <w:pPr>
        <w:ind w:left="4320" w:hanging="360"/>
      </w:pPr>
    </w:lvl>
    <w:lvl w:ilvl="6" w15:tentative="1">
      <w:start w:val="1"/>
      <w:numFmt w:val="bullet"/>
      <w:lvlText w:val="●"/>
      <w:lvlJc w:val="left"/>
      <w:pPr>
        <w:ind w:left="5040" w:hanging="360"/>
      </w:pPr>
    </w:lvl>
    <w:lvl w:ilvl="7" w15:tentative="1">
      <w:start w:val="1"/>
      <w:numFmt w:val="bullet"/>
      <w:lvlText w:val="●"/>
      <w:lvlJc w:val="left"/>
      <w:pPr>
        <w:ind w:left="5760" w:hanging="360"/>
      </w:pPr>
    </w:lvl>
    <w:lvl w:ilvl="8" w15:tentative="1">
      <w:start w:val="1"/>
      <w:numFmt w:val="bullet"/>
      <w:lvlText w:val="●"/>
      <w:lvlJc w:val="left"/>
      <w:pPr>
        <w:ind w:left="6480" w:hanging="360"/>
      </w:pPr>
    </w:lvl>
  </w:abstractNum>
  <w:abstractNum w:abstractNumId="2" w15:restartNumberingAfterBreak="0">
    <w:nsid w:val="d7baf4d"/>
    <w:multiLevelType w:val="hybridMultilevel"/>
    <w:lvl w:ilvl="0" w15:tentative="1">
      <w:start w:val="1"/>
      <w:numFmt w:val="bullet"/>
      <w:lvlText w:val="•"/>
      <w:lvlJc w:val="left"/>
      <w:pPr>
        <w:ind w:left="500" w:hanging="30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">
    <w:abstractNumId w:val="1"/>
    <w:lvlOverride w:ilvl="0">
      <w:startOverride w:val="1"/>
    </w:lvlOverride>
  </w:num>
  <w:num w:numId="2">
    <w:abstractNumId w:val="2"/>
    <w:lvlOverride w:ilvl="0">
      <w:startOverride w:val="1"/>
    </w:lvlOverride>
  </w:num>
</w:numbering>
</file>

<file path=word/settings.xml><?xml version="1.0" encoding="utf-8"?>
<w:setting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isplayBackgroundShape/>
  <w:trackRevisions w:val="false"/>
  <w:defaultTabStop w:val="720"/>
  <w:evenAndOddHeaders w:val="false"/>
  <w:compat>
    <w:compatSetting w:val="15" w:name="compatibilityMode" w:uri="http://schemas.microsoft.com/office/word"/>
  </w:compat>
  <w14:docId w14:val="4F95297F"/>
  <w15:docId w15:val="{9D6927F4-BD15-43A2-A903-4696D2645AD0}"/>
  <w:rsids>
    <w:rsidRoot w:val="1AFF0729"/>
    <w:rsid w:val="1AFF0729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="Calibri" w:hAnsi="Calibri" w:eastAsia="Calibri" w:cs="Calibri"/>
        <w:color w:val="1E2A36"/>
        <w:sz w:val="22"/>
        <w:szCs w:val="22"/>
      </w:rPr>
    </w:rPrDefault>
    <w:pPrDefault/>
  </w:docDefaults>
  <w:style w:type="paragraph" w:styleId="Title">
    <w:name w:val="Title"/>
    <w:basedOn w:val="Normal"/>
    <w:next w:val="Normal"/>
    <w:qFormat/>
    <w:rPr>
      <w:sz w:val="56"/>
      <w:szCs w:val="56"/>
    </w:rPr>
  </w:style>
  <w:style w:type="paragraph" w:styleId="Heading1">
    <w:name w:val="heading 1"/>
    <w:basedOn w:val="Normal"/>
    <w:next w:val="Normal"/>
    <w:qFormat/>
    <w:rPr>
      <w:color w:val="2E74B5"/>
      <w:sz w:val="32"/>
      <w:szCs w:val="32"/>
    </w:rPr>
  </w:style>
  <w:style w:type="paragraph" w:styleId="Heading2">
    <w:name w:val="heading 2"/>
    <w:basedOn w:val="Normal"/>
    <w:next w:val="Normal"/>
    <w:qFormat/>
    <w:rPr>
      <w:color w:val="2E74B5"/>
      <w:sz w:val="26"/>
      <w:szCs w:val="26"/>
    </w:rPr>
  </w:style>
  <w:style w:type="paragraph" w:styleId="Heading3">
    <w:name w:val="heading 3"/>
    <w:basedOn w:val="Normal"/>
    <w:next w:val="Normal"/>
    <w:qFormat/>
    <w:rPr>
      <w:color w:val="1F4D78"/>
      <w:sz w:val="24"/>
      <w:szCs w:val="24"/>
    </w:rPr>
  </w:style>
  <w:style w:type="paragraph" w:styleId="Heading4">
    <w:name w:val="heading 4"/>
    <w:basedOn w:val="Normal"/>
    <w:next w:val="Normal"/>
    <w:qFormat/>
    <w:rPr>
      <w:i/>
      <w:iCs/>
      <w:color w:val="2E74B5"/>
    </w:rPr>
  </w:style>
  <w:style w:type="paragraph" w:styleId="Heading5">
    <w:name w:val="heading 5"/>
    <w:basedOn w:val="Normal"/>
    <w:next w:val="Normal"/>
    <w:qFormat/>
    <w:rPr>
      <w:color w:val="2E74B5"/>
    </w:rPr>
  </w:style>
  <w:style w:type="paragraph" w:styleId="Heading6">
    <w:name w:val="heading 6"/>
    <w:basedOn w:val="Normal"/>
    <w:next w:val="Normal"/>
    <w:qFormat/>
    <w:rPr>
      <w:color w:val="1F4D78"/>
    </w:rPr>
  </w:style>
  <w:style w:type="paragraph" w:styleId="Strong">
    <w:name w:val="Strong"/>
    <w:basedOn w:val="Normal"/>
    <w:next w:val="Normal"/>
    <w:qFormat/>
    <w:rPr>
      <w:b/>
      <w:bCs/>
    </w:rPr>
  </w:style>
  <w:style w:type="paragraph" w:styleId="ListParagraph">
    <w:name w:val="List Paragraph"/>
    <w:basedOn w:val="Normal"/>
    <w:qFormat/>
  </w:style>
  <w:style w:type="character" w:styleId="Hyperlink">
    <w:name w:val="Hyperlink"/>
    <w:basedOn w:val="DefaultParagraphFont"/>
    <w:uiPriority w:val="99"/>
    <w:unhideWhenUsed/>
    <w:rPr>
      <w:color w:val="0563C1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styleId="FootnoteTextChar">
    <w:name w:val="Footnote Text Char"/>
    <w:basedOn w:val="DefaultParagraphFont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styleId="EndnoteTextChar">
    <w:name w:val="Endnote Text Char"/>
    <w:basedOn w:val="DefaultParagraphFont"/>
    <w:link w:val="EndnoteText"/>
    <w:uiPriority w:val="99"/>
    <w:semiHidden/>
    <w:unhideWhenUsed/>
    <w:rPr>
      <w:sz w:val="20"/>
      <w:szCs w:val="20"/>
    </w:rPr>
  </w:style>
  <w:style w:type="paragraph" w:styleId="Heading1">
    <w:name w:val="heading 10"/>
    <w:basedOn w:val="Normal"/>
    <w:next w:val="Normal"/>
    <w:qFormat/>
    <w:pPr>
      <w:spacing w:after="80"/>
      <w:outlineLvl w:val="0"/>
    </w:pPr>
    <w:rPr>
      <w:rFonts w:ascii="Cambria" w:hAnsi="Cambria" w:eastAsia="Cambria" w:cs="Cambria"/>
      <w:b/>
      <w:bCs/>
      <w:color w:val="1E2A36"/>
      <w:sz w:val="36"/>
      <w:szCs w:val="36"/>
    </w:rPr>
  </w:style>
  <w:style w:type="paragraph" w:styleId="Heading2">
    <w:name w:val="heading 20"/>
    <w:basedOn w:val="Normal"/>
    <w:next w:val="Normal"/>
    <w:qFormat/>
    <w:pPr>
      <w:spacing w:before="280" w:after="120"/>
      <w:outlineLvl w:val="1"/>
    </w:pPr>
    <w:rPr>
      <w:rFonts w:ascii="Cambria" w:hAnsi="Cambria" w:eastAsia="Cambria" w:cs="Cambria"/>
      <w:b/>
      <w:bCs/>
      <w:color w:val="B14B18"/>
      <w:sz w:val="28"/>
      <w:szCs w:val="28"/>
    </w:r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1" /><Relationship Type="http://schemas.openxmlformats.org/officeDocument/2006/relationships/numbering" Target="numbering.xml" Id="rId2" /><Relationship Type="http://schemas.openxmlformats.org/officeDocument/2006/relationships/settings" Target="settings.xml" Id="rId5" /><Relationship Type="http://schemas.openxmlformats.org/officeDocument/2006/relationships/fontTable" Target="fontTable.xml" Id="rId7" /></Relationships>
</file>

<file path=word/_rels/fontTable.xml.rels><?xml version="1.0" encoding="UTF-8"?><Relationships xmlns="http://schemas.openxmlformats.org/package/2006/relationships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Version>16.0000</ap:AppVersion>
  <ap:Application>Microsoft Word for the web</ap:Applicat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Un-named</dc:creator>
  <lastModifiedBy>Rebecca Francis-Davies</lastModifiedBy>
  <revision>2</revision>
  <dcterms:created xsi:type="dcterms:W3CDTF">2026-10-22T15:24:56.9380000Z</dcterms:created>
  <dcterms:modified xsi:type="dcterms:W3CDTF">2026-10-22T15:29:53.7098339Z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/>
</file>