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062A6" w14:textId="77777777" w:rsidR="00F170D5" w:rsidRDefault="00F170D5" w:rsidP="00F170D5">
      <w:pPr>
        <w:spacing w:line="360" w:lineRule="auto"/>
        <w:rPr>
          <w:rFonts w:ascii="Arial" w:hAnsi="Arial" w:cs="Arial"/>
        </w:rPr>
      </w:pPr>
      <w:r>
        <w:rPr>
          <w:rFonts w:ascii="Arial" w:hAnsi="Arial" w:cs="Arial"/>
        </w:rPr>
        <w:t>Name - Shazia Purveen Hussain</w:t>
      </w:r>
    </w:p>
    <w:p w14:paraId="1305356D" w14:textId="65D3CF61" w:rsidR="00F170D5" w:rsidRDefault="00F170D5" w:rsidP="00F170D5">
      <w:pPr>
        <w:spacing w:line="360" w:lineRule="auto"/>
        <w:rPr>
          <w:rFonts w:ascii="Arial" w:hAnsi="Arial" w:cs="Arial"/>
        </w:rPr>
      </w:pPr>
      <w:r>
        <w:rPr>
          <w:rFonts w:ascii="Arial" w:hAnsi="Arial" w:cs="Arial"/>
        </w:rPr>
        <w:t>LCHS 400</w:t>
      </w:r>
      <w:r w:rsidR="003C1B9F">
        <w:rPr>
          <w:rFonts w:ascii="Arial" w:hAnsi="Arial" w:cs="Arial"/>
        </w:rPr>
        <w:t>3</w:t>
      </w:r>
    </w:p>
    <w:p w14:paraId="49DF5623" w14:textId="77777777" w:rsidR="00F170D5" w:rsidRDefault="00F170D5" w:rsidP="00F170D5">
      <w:pPr>
        <w:spacing w:line="360" w:lineRule="auto"/>
        <w:rPr>
          <w:rFonts w:ascii="Arial" w:hAnsi="Arial" w:cs="Arial"/>
        </w:rPr>
      </w:pPr>
      <w:r>
        <w:rPr>
          <w:rFonts w:ascii="Arial" w:hAnsi="Arial" w:cs="Arial"/>
        </w:rPr>
        <w:t>Assignment Title</w:t>
      </w:r>
    </w:p>
    <w:p w14:paraId="17F857C1" w14:textId="750E3AFD" w:rsidR="00F170D5" w:rsidRPr="008332EC" w:rsidRDefault="00F170D5" w:rsidP="00F170D5">
      <w:pPr>
        <w:spacing w:line="360" w:lineRule="auto"/>
        <w:rPr>
          <w:rFonts w:ascii="Arial" w:hAnsi="Arial" w:cs="Arial"/>
        </w:rPr>
      </w:pPr>
      <w:r>
        <w:rPr>
          <w:rFonts w:ascii="Arial" w:hAnsi="Arial" w:cs="Arial"/>
        </w:rPr>
        <w:t xml:space="preserve">Module – </w:t>
      </w:r>
      <w:r w:rsidR="009871B9">
        <w:rPr>
          <w:rFonts w:ascii="Arial" w:hAnsi="Arial" w:cs="Arial"/>
        </w:rPr>
        <w:t xml:space="preserve">Introduction to </w:t>
      </w:r>
    </w:p>
    <w:p w14:paraId="2D4B5531" w14:textId="77777777" w:rsidR="00F170D5" w:rsidRPr="0005300D" w:rsidRDefault="00F170D5" w:rsidP="00F170D5">
      <w:pPr>
        <w:spacing w:line="360" w:lineRule="auto"/>
        <w:rPr>
          <w:rFonts w:ascii="Arial" w:hAnsi="Arial" w:cs="Arial"/>
        </w:rPr>
      </w:pPr>
      <w:r w:rsidRPr="0005300D">
        <w:rPr>
          <w:rFonts w:ascii="Arial" w:hAnsi="Arial" w:cs="Arial"/>
        </w:rPr>
        <w:t>Student Number</w:t>
      </w:r>
      <w:r>
        <w:rPr>
          <w:rFonts w:ascii="Arial" w:hAnsi="Arial" w:cs="Arial"/>
        </w:rPr>
        <w:t xml:space="preserve"> - 2530125</w:t>
      </w:r>
    </w:p>
    <w:p w14:paraId="59D1AE74" w14:textId="5AFCC59A" w:rsidR="004151F8" w:rsidRPr="004151F8" w:rsidRDefault="004151F8" w:rsidP="004151F8">
      <w:pPr>
        <w:rPr>
          <w:b/>
          <w:bCs/>
          <w:u w:val="single"/>
        </w:rPr>
      </w:pPr>
      <w:r w:rsidRPr="004151F8">
        <w:rPr>
          <w:b/>
          <w:bCs/>
          <w:u w:val="single"/>
        </w:rPr>
        <w:t>LCHS</w:t>
      </w:r>
      <w:r w:rsidR="008C40F6" w:rsidRPr="004151F8">
        <w:rPr>
          <w:b/>
          <w:bCs/>
          <w:u w:val="single"/>
        </w:rPr>
        <w:t>400</w:t>
      </w:r>
      <w:r w:rsidR="008C40F6">
        <w:rPr>
          <w:b/>
          <w:bCs/>
          <w:u w:val="single"/>
        </w:rPr>
        <w:t xml:space="preserve">3 </w:t>
      </w:r>
      <w:r w:rsidR="008C40F6" w:rsidRPr="004151F8">
        <w:rPr>
          <w:b/>
          <w:bCs/>
          <w:u w:val="single"/>
        </w:rPr>
        <w:t>component</w:t>
      </w:r>
      <w:r>
        <w:rPr>
          <w:b/>
          <w:bCs/>
          <w:u w:val="single"/>
        </w:rPr>
        <w:t xml:space="preserve"> 2 </w:t>
      </w:r>
    </w:p>
    <w:p w14:paraId="055BDB06" w14:textId="77777777" w:rsidR="004151F8" w:rsidRDefault="004151F8" w:rsidP="004151F8"/>
    <w:p w14:paraId="2FEE2549" w14:textId="430126E4" w:rsidR="004151F8" w:rsidRDefault="004151F8" w:rsidP="004151F8">
      <w:r>
        <w:t>This report examines the care of Mrs Thompson, an 84</w:t>
      </w:r>
      <w:r>
        <w:rPr>
          <w:rFonts w:ascii="Cambria Math" w:hAnsi="Cambria Math" w:cs="Cambria Math"/>
        </w:rPr>
        <w:t>‑</w:t>
      </w:r>
      <w:r>
        <w:t>year</w:t>
      </w:r>
      <w:r>
        <w:rPr>
          <w:rFonts w:ascii="Cambria Math" w:hAnsi="Cambria Math" w:cs="Cambria Math"/>
        </w:rPr>
        <w:t>‑</w:t>
      </w:r>
      <w:r>
        <w:t>old woman recently discharged from hospital following pneumonia. She lives alone in sheltered housing, receives twice</w:t>
      </w:r>
      <w:r>
        <w:rPr>
          <w:rFonts w:ascii="Cambria Math" w:hAnsi="Cambria Math" w:cs="Cambria Math"/>
        </w:rPr>
        <w:t>‑</w:t>
      </w:r>
      <w:r>
        <w:t>daily domiciliary care, and has mild dementia which causes occasional forgetfulness. Recent concerns include missed medication leading to increased confusion</w:t>
      </w:r>
      <w:r w:rsidR="00F85BDF">
        <w:t xml:space="preserve"> and forgetfulness</w:t>
      </w:r>
      <w:r>
        <w:t xml:space="preserve"> and being found outside without suitable clothing in cold weather </w:t>
      </w:r>
      <w:r>
        <w:rPr>
          <w:rFonts w:ascii="Aptos" w:hAnsi="Aptos" w:cs="Aptos"/>
        </w:rPr>
        <w:t>–</w:t>
      </w:r>
      <w:r>
        <w:t xml:space="preserve"> both incidents now under review by the local council. The report analyses three core areas of professional practice: effective communication, administrative standards and record</w:t>
      </w:r>
      <w:r>
        <w:rPr>
          <w:rFonts w:ascii="Cambria Math" w:hAnsi="Cambria Math" w:cs="Cambria Math"/>
        </w:rPr>
        <w:t>‑</w:t>
      </w:r>
      <w:r>
        <w:t>keeping, and collaborative multi</w:t>
      </w:r>
      <w:r>
        <w:rPr>
          <w:rFonts w:ascii="Cambria Math" w:hAnsi="Cambria Math" w:cs="Cambria Math"/>
        </w:rPr>
        <w:t>‑</w:t>
      </w:r>
      <w:r>
        <w:t>agency working. It draws on key UK legislation, professional guidance and evidence</w:t>
      </w:r>
      <w:r>
        <w:rPr>
          <w:rFonts w:ascii="Cambria Math" w:hAnsi="Cambria Math" w:cs="Cambria Math"/>
        </w:rPr>
        <w:t>‑</w:t>
      </w:r>
      <w:r>
        <w:t>based models to explain how these practices can be applied to safeguard Mrs Thompson, uphold her legal rights, and deliver person</w:t>
      </w:r>
      <w:r>
        <w:rPr>
          <w:rFonts w:ascii="Cambria Math" w:hAnsi="Cambria Math" w:cs="Cambria Math"/>
        </w:rPr>
        <w:t>‑</w:t>
      </w:r>
      <w:r>
        <w:t>centred care that meets her changing needs.</w:t>
      </w:r>
    </w:p>
    <w:p w14:paraId="06CDE3B4" w14:textId="1FE8076B" w:rsidR="004151F8" w:rsidRDefault="004151F8" w:rsidP="004151F8"/>
    <w:p w14:paraId="13F734F4" w14:textId="39AD61ED" w:rsidR="004151F8" w:rsidRDefault="004151F8" w:rsidP="004151F8">
      <w:r>
        <w:t>Effective communication is central to safe, compassionate and person</w:t>
      </w:r>
      <w:r>
        <w:rPr>
          <w:rFonts w:ascii="Cambria Math" w:hAnsi="Cambria Math" w:cs="Cambria Math"/>
        </w:rPr>
        <w:t>‑</w:t>
      </w:r>
      <w:r>
        <w:t>centred care, particularly for people living with dementia who may experience difficulties with memory, understanding or expression. For Mrs Thompson, clear, consistent communication helps reduce confusion, supports her independence, and ensures her preferences and concerns are heard by everyone involved in her care. When communicating with Mrs Thompson, providers must comply with the Equality Act 2010, which recognises her age and dementia as protected characteristics. This means care services must make reasonable adjustments to remove barriers to communication: for example, speaking slowly and clearly, using simple language, allowing extra time for her to process information, using visual aids such as large</w:t>
      </w:r>
      <w:r>
        <w:rPr>
          <w:rFonts w:ascii="Cambria Math" w:hAnsi="Cambria Math" w:cs="Cambria Math"/>
        </w:rPr>
        <w:t>‑</w:t>
      </w:r>
      <w:r>
        <w:t>print medication charts, and maintaining a calm, familiar environment to reduce anxiety. The Act also prohibits making assumptions about her ability to make decisions; under the Mental Capacity Act 2005, she must be supported to make her own choices wherever possible, with family involvement only when she consents, or if she is assessed as lacking capacity for a specific decision. A structured communication model ensures interactions are purposeful and reduce misunderstanding. Argyle’s Communication Cycle (1972) is a widely used framework in health and social care, comprising six stages: setting a clear aim, forming a message, encoding it appropriately, transmitting it, decoding the message, and confirming understanding through feedback. Applied to Mrs Thompson’s medication routine: When communicating with family members, the same principles apply share information openly, listen to their insights about Mrs Thompson’s habits and preferences, and respect confidentiality by only discussing details with her explicit permission. Good communication prevents errors such as missed medication, reduces avoidable risks, and ensures Mrs Thompson remains an active partner in her own care.</w:t>
      </w:r>
    </w:p>
    <w:p w14:paraId="4534C7F6" w14:textId="67BD4079" w:rsidR="004151F8" w:rsidRPr="00B26309" w:rsidRDefault="004151F8" w:rsidP="004151F8">
      <w:pPr>
        <w:rPr>
          <w:color w:val="000000" w:themeColor="text1"/>
        </w:rPr>
      </w:pPr>
    </w:p>
    <w:p w14:paraId="51FC0447" w14:textId="2AAD20FE" w:rsidR="004151F8" w:rsidRPr="00B26309" w:rsidRDefault="004151F8" w:rsidP="004151F8">
      <w:pPr>
        <w:rPr>
          <w:color w:val="000000" w:themeColor="text1"/>
        </w:rPr>
      </w:pPr>
      <w:r w:rsidRPr="00B26309">
        <w:rPr>
          <w:color w:val="000000" w:themeColor="text1"/>
        </w:rPr>
        <w:lastRenderedPageBreak/>
        <w:t>Accurate, consistent administrative practice and record</w:t>
      </w:r>
      <w:r w:rsidRPr="00B26309">
        <w:rPr>
          <w:rFonts w:ascii="Cambria Math" w:hAnsi="Cambria Math" w:cs="Cambria Math"/>
          <w:color w:val="000000" w:themeColor="text1"/>
        </w:rPr>
        <w:t>‑</w:t>
      </w:r>
      <w:r w:rsidRPr="00B26309">
        <w:rPr>
          <w:color w:val="000000" w:themeColor="text1"/>
        </w:rPr>
        <w:t>keeping are essential to protect Mrs Thompson</w:t>
      </w:r>
      <w:r w:rsidRPr="00B26309">
        <w:rPr>
          <w:rFonts w:ascii="Aptos" w:hAnsi="Aptos" w:cs="Aptos"/>
          <w:color w:val="000000" w:themeColor="text1"/>
        </w:rPr>
        <w:t>’</w:t>
      </w:r>
      <w:r w:rsidRPr="00B26309">
        <w:rPr>
          <w:color w:val="000000" w:themeColor="text1"/>
        </w:rPr>
        <w:t>s safety, ensure continuity of care, and meet legal and professional requirements. In this case, the incident of missed medication was formally recorded through the service’s incident process – this is a critical administrative step that triggers review, prevents repetition, and supports accountability. All records relating to Mrs Thompson must comply with the Data Protection Act 2018 (DPA 2018) and the UK General Data Protection Regulation (UK GDPR), which set strict standards for handling personal information. Key principles include processing data lawfully, fairly and transparently; collecting only information that is necessary and relevant; keeping records accurate and up</w:t>
      </w:r>
      <w:r w:rsidRPr="00B26309">
        <w:rPr>
          <w:rFonts w:ascii="Cambria Math" w:hAnsi="Cambria Math" w:cs="Cambria Math"/>
          <w:color w:val="000000" w:themeColor="text1"/>
        </w:rPr>
        <w:t>‑</w:t>
      </w:r>
      <w:r w:rsidRPr="00B26309">
        <w:rPr>
          <w:color w:val="000000" w:themeColor="text1"/>
        </w:rPr>
        <w:t>to</w:t>
      </w:r>
      <w:r w:rsidRPr="00B26309">
        <w:rPr>
          <w:rFonts w:ascii="Cambria Math" w:hAnsi="Cambria Math" w:cs="Cambria Math"/>
          <w:color w:val="000000" w:themeColor="text1"/>
        </w:rPr>
        <w:t>‑</w:t>
      </w:r>
      <w:r w:rsidRPr="00B26309">
        <w:rPr>
          <w:color w:val="000000" w:themeColor="text1"/>
        </w:rPr>
        <w:t>date; storing records securely to prevent unauthorised access; and retaining data only for as long as required. For example, Mrs Thompson</w:t>
      </w:r>
      <w:r w:rsidRPr="00B26309">
        <w:rPr>
          <w:rFonts w:ascii="Aptos" w:hAnsi="Aptos" w:cs="Aptos"/>
          <w:color w:val="000000" w:themeColor="text1"/>
        </w:rPr>
        <w:t>’</w:t>
      </w:r>
      <w:r w:rsidRPr="00B26309">
        <w:rPr>
          <w:color w:val="000000" w:themeColor="text1"/>
        </w:rPr>
        <w:t>s medication notes, incident reports, and care plans must be stored in a locked system or secure digital platform, only accessible to staff directly involved in her care, and clearly dated and signed to show who recorded the information and when.</w:t>
      </w:r>
    </w:p>
    <w:p w14:paraId="4C3D06E9" w14:textId="08932D12" w:rsidR="004151F8" w:rsidRPr="00B26309" w:rsidRDefault="008522D9" w:rsidP="004151F8">
      <w:pPr>
        <w:rPr>
          <w:color w:val="000000" w:themeColor="text1"/>
        </w:rPr>
      </w:pPr>
      <w:r w:rsidRPr="00B26309">
        <w:rPr>
          <w:color w:val="000000" w:themeColor="text1"/>
        </w:rPr>
        <w:t>Some key facts about dementia include:</w:t>
      </w:r>
    </w:p>
    <w:p w14:paraId="7C271986" w14:textId="0BFB2247" w:rsidR="009E3D79" w:rsidRDefault="00323E19" w:rsidP="008522D9">
      <w:pPr>
        <w:rPr>
          <w:color w:val="000000" w:themeColor="text1"/>
        </w:rPr>
      </w:pPr>
      <w:r>
        <w:rPr>
          <w:color w:val="000000" w:themeColor="text1"/>
        </w:rPr>
        <w:t>Dementia can also affect younger people. When dementia symptoms develop in people under the age of 65, this is called</w:t>
      </w:r>
      <w:r w:rsidR="00CD7E69">
        <w:rPr>
          <w:color w:val="000000" w:themeColor="text1"/>
        </w:rPr>
        <w:t xml:space="preserve"> young onset dementia. There are Over 70,000 people living with young onset dementia in the UK</w:t>
      </w:r>
      <w:r w:rsidR="009E3D79">
        <w:rPr>
          <w:color w:val="000000" w:themeColor="text1"/>
        </w:rPr>
        <w:t>.</w:t>
      </w:r>
    </w:p>
    <w:p w14:paraId="1B2A6E8E" w14:textId="16C719CB" w:rsidR="009E3D79" w:rsidRDefault="009E3D79" w:rsidP="008522D9">
      <w:pPr>
        <w:rPr>
          <w:color w:val="000000" w:themeColor="text1"/>
        </w:rPr>
      </w:pPr>
      <w:r>
        <w:rPr>
          <w:color w:val="000000" w:themeColor="text1"/>
        </w:rPr>
        <w:t xml:space="preserve">Some types of young onset dementia are caused by faulty </w:t>
      </w:r>
      <w:r w:rsidR="00E93734">
        <w:rPr>
          <w:color w:val="000000" w:themeColor="text1"/>
        </w:rPr>
        <w:t xml:space="preserve">genes, which are inherited </w:t>
      </w:r>
      <w:r w:rsidR="00941467">
        <w:rPr>
          <w:color w:val="000000" w:themeColor="text1"/>
        </w:rPr>
        <w:t>directly from a parent who has the disease at a young age too</w:t>
      </w:r>
      <w:r w:rsidR="00C204B0">
        <w:rPr>
          <w:color w:val="000000" w:themeColor="text1"/>
        </w:rPr>
        <w:t xml:space="preserve">. </w:t>
      </w:r>
      <w:r w:rsidR="007238D8">
        <w:rPr>
          <w:color w:val="000000" w:themeColor="text1"/>
        </w:rPr>
        <w:t>However,</w:t>
      </w:r>
      <w:r w:rsidR="00C204B0">
        <w:rPr>
          <w:color w:val="000000" w:themeColor="text1"/>
        </w:rPr>
        <w:t xml:space="preserve"> these inherited types of dementia are </w:t>
      </w:r>
      <w:r w:rsidR="003C1B9F">
        <w:rPr>
          <w:color w:val="000000" w:themeColor="text1"/>
        </w:rPr>
        <w:t>rare,</w:t>
      </w:r>
      <w:r w:rsidR="00C204B0">
        <w:rPr>
          <w:color w:val="000000" w:themeColor="text1"/>
        </w:rPr>
        <w:t xml:space="preserve"> and most cases of young onset dementia are caused by a mixture of risk factors</w:t>
      </w:r>
      <w:r w:rsidR="007238D8">
        <w:rPr>
          <w:color w:val="000000" w:themeColor="text1"/>
        </w:rPr>
        <w:t>.</w:t>
      </w:r>
    </w:p>
    <w:p w14:paraId="5CF6DC46" w14:textId="7B52FB2D" w:rsidR="007238D8" w:rsidRDefault="007238D8" w:rsidP="008522D9">
      <w:pPr>
        <w:rPr>
          <w:color w:val="000000" w:themeColor="text1"/>
        </w:rPr>
      </w:pPr>
      <w:r>
        <w:rPr>
          <w:color w:val="000000" w:themeColor="text1"/>
        </w:rPr>
        <w:t xml:space="preserve">Recent research has shown that the number of people living with dementia </w:t>
      </w:r>
      <w:r w:rsidR="004A2D71">
        <w:rPr>
          <w:color w:val="000000" w:themeColor="text1"/>
        </w:rPr>
        <w:t>is set to double to 1.7 million</w:t>
      </w:r>
      <w:r w:rsidR="0040357D">
        <w:rPr>
          <w:color w:val="000000" w:themeColor="text1"/>
        </w:rPr>
        <w:t xml:space="preserve"> by 2040. This is 70% more than previously predicted. People </w:t>
      </w:r>
      <w:r w:rsidR="00802B7F">
        <w:rPr>
          <w:color w:val="000000" w:themeColor="text1"/>
        </w:rPr>
        <w:t xml:space="preserve">are living longer and dementia becomes more common </w:t>
      </w:r>
      <w:r w:rsidR="00176172">
        <w:rPr>
          <w:color w:val="000000" w:themeColor="text1"/>
        </w:rPr>
        <w:t xml:space="preserve">as we get older, so the ageing population is thought to be </w:t>
      </w:r>
      <w:r w:rsidR="003C1B9F">
        <w:rPr>
          <w:color w:val="000000" w:themeColor="text1"/>
        </w:rPr>
        <w:t>partly responsible for this rise in dementia cases</w:t>
      </w:r>
    </w:p>
    <w:p w14:paraId="5295F1EF" w14:textId="101120E1" w:rsidR="008522D9" w:rsidRPr="00B26309" w:rsidRDefault="00CD7E69" w:rsidP="008522D9">
      <w:pPr>
        <w:rPr>
          <w:color w:val="000000" w:themeColor="text1"/>
        </w:rPr>
      </w:pPr>
      <w:r>
        <w:rPr>
          <w:color w:val="000000" w:themeColor="text1"/>
        </w:rPr>
        <w:t xml:space="preserve"> </w:t>
      </w:r>
      <w:r w:rsidR="008522D9" w:rsidRPr="00B26309">
        <w:rPr>
          <w:color w:val="000000" w:themeColor="text1"/>
        </w:rPr>
        <w:t>The word ‘dementia’ is a term used for a group of symptoms which include memory loss, confusion and personality changes, that get worse overtime. It is not a disease itself.</w:t>
      </w:r>
    </w:p>
    <w:p w14:paraId="5D6F4ED1" w14:textId="6CCF9204" w:rsidR="008522D9" w:rsidRPr="00B26309" w:rsidRDefault="008522D9" w:rsidP="008522D9">
      <w:pPr>
        <w:rPr>
          <w:color w:val="000000" w:themeColor="text1"/>
        </w:rPr>
      </w:pPr>
      <w:r w:rsidRPr="00B26309">
        <w:rPr>
          <w:color w:val="000000" w:themeColor="text1"/>
        </w:rPr>
        <w:t>Dementia is caused by diseases that damage the brain and affects how it works. Alzheimer’s disease is the most common cause of dementia and others include vascular dementia, dementia with Lewy bodies and frontotemporal dementia</w:t>
      </w:r>
      <w:r w:rsidR="00B26309" w:rsidRPr="00B26309">
        <w:rPr>
          <w:color w:val="000000" w:themeColor="text1"/>
        </w:rPr>
        <w:t>.</w:t>
      </w:r>
    </w:p>
    <w:p w14:paraId="2D8E4547" w14:textId="6DFAEEB5" w:rsidR="008522D9" w:rsidRDefault="00B26309" w:rsidP="00AF3A44">
      <w:pPr>
        <w:rPr>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B26309">
        <w:rPr>
          <w:color w:val="000000" w:themeColor="text1"/>
        </w:rPr>
        <w:t>Dementia is the leading cause of death for both men and women in the UK.</w:t>
      </w:r>
      <w:r w:rsidR="007B7591" w:rsidRPr="00B26309">
        <w:rPr>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780E5804" w14:textId="603D37C0" w:rsidR="004151F8" w:rsidRDefault="004151F8" w:rsidP="004151F8">
      <w:r>
        <w:t>Additional legislation and policy frameworks apply specifically to health and social care:</w:t>
      </w:r>
    </w:p>
    <w:p w14:paraId="72FCAEBF" w14:textId="75AC4492" w:rsidR="004151F8" w:rsidRDefault="004151F8" w:rsidP="004151F8">
      <w:r>
        <w:t>• The Health and Social Care</w:t>
      </w:r>
      <w:r w:rsidR="00B26309">
        <w:t xml:space="preserve"> a</w:t>
      </w:r>
      <w:r>
        <w:t xml:space="preserve">ct 2008 (Regulated Activities) Regulations 2014: Requires care providers to maintain accurate </w:t>
      </w:r>
      <w:r w:rsidR="0058338C">
        <w:t xml:space="preserve">records stored and kept safe </w:t>
      </w:r>
      <w:r w:rsidR="00392B1B">
        <w:t>not allowing anyone outside be able to enter</w:t>
      </w:r>
      <w:r>
        <w:t xml:space="preserve"> as part of the duty to provide safe care and treatment.</w:t>
      </w:r>
    </w:p>
    <w:p w14:paraId="4E496D15" w14:textId="0F7CF14D" w:rsidR="004151F8" w:rsidRDefault="004151F8" w:rsidP="004151F8">
      <w:r>
        <w:t>• The Care Act 2014: Mandates that local authorities keep clear records of assessments, care plans, reviews and safeguarding concerns, to ensure care is person</w:t>
      </w:r>
      <w:r>
        <w:rPr>
          <w:rFonts w:ascii="Cambria Math" w:hAnsi="Cambria Math" w:cs="Cambria Math"/>
        </w:rPr>
        <w:t>‑</w:t>
      </w:r>
      <w:r>
        <w:t>centred and well</w:t>
      </w:r>
      <w:r>
        <w:rPr>
          <w:rFonts w:ascii="Cambria Math" w:hAnsi="Cambria Math" w:cs="Cambria Math"/>
        </w:rPr>
        <w:t>‑</w:t>
      </w:r>
      <w:r>
        <w:t>coordinated.</w:t>
      </w:r>
    </w:p>
    <w:p w14:paraId="71EA9398" w14:textId="77777777" w:rsidR="004151F8" w:rsidRDefault="004151F8" w:rsidP="004151F8">
      <w:r>
        <w:t>• The Mental Capacity Act 2005: Requires formal records of any capacity assessments, decisions made on behalf of someone lacking capacity, and the reasoning behind those decisions.</w:t>
      </w:r>
    </w:p>
    <w:p w14:paraId="133DF847" w14:textId="77777777" w:rsidR="004151F8" w:rsidRDefault="004151F8" w:rsidP="004151F8">
      <w:r>
        <w:lastRenderedPageBreak/>
        <w:t>For Mrs Thompson’s case, good administrative practice means: documenting exactly when medication was missed, what symptoms she showed, and what actions were taken; updating her care plan to include reminders such as a pill organiser or extra prompts from care workers; and keeping a full audit trail of the local council’s review of her safety. Poor record</w:t>
      </w:r>
      <w:r>
        <w:rPr>
          <w:rFonts w:ascii="Cambria Math" w:hAnsi="Cambria Math" w:cs="Cambria Math"/>
        </w:rPr>
        <w:t>‑</w:t>
      </w:r>
      <w:r>
        <w:t>keeping could lead to repeat mistakes, gaps in care, or failure to meet safeguarding duties. By contrast, robust administrative work ensures every professional works from the same accurate information, reducing risk and ensuring Mrs Thompson</w:t>
      </w:r>
      <w:r>
        <w:rPr>
          <w:rFonts w:ascii="Aptos" w:hAnsi="Aptos" w:cs="Aptos"/>
        </w:rPr>
        <w:t>’</w:t>
      </w:r>
      <w:r>
        <w:t>s care is consistent and compliant with the law.</w:t>
      </w:r>
    </w:p>
    <w:p w14:paraId="4EA2CB92" w14:textId="77777777" w:rsidR="004151F8" w:rsidRDefault="004151F8" w:rsidP="004151F8"/>
    <w:p w14:paraId="679AC94A" w14:textId="0D7B5DA8" w:rsidR="004151F8" w:rsidRDefault="004151F8" w:rsidP="004151F8">
      <w:r>
        <w:t>Mrs Thompson’s complex needs – including dementia, recovery from illness, and safety concerns – require coordinated input from multiple professionals: domiciliary care workers, her GP, community nurses, sheltered housing staff, and local council social care teams. Effective collaboration ensures no details are overlooked, support is well</w:t>
      </w:r>
      <w:r>
        <w:rPr>
          <w:rFonts w:ascii="Cambria Math" w:hAnsi="Cambria Math" w:cs="Cambria Math"/>
        </w:rPr>
        <w:t>‑</w:t>
      </w:r>
      <w:r>
        <w:t>aligned, and risks are addressed quickly. To foster effective collaboration, professionals should adopt person</w:t>
      </w:r>
      <w:r>
        <w:rPr>
          <w:rFonts w:ascii="Cambria Math" w:hAnsi="Cambria Math" w:cs="Cambria Math"/>
        </w:rPr>
        <w:t>‑</w:t>
      </w:r>
      <w:r>
        <w:t>centred approaches that place Mrs Thompson</w:t>
      </w:r>
      <w:r>
        <w:rPr>
          <w:rFonts w:ascii="Aptos" w:hAnsi="Aptos" w:cs="Aptos"/>
        </w:rPr>
        <w:t>’</w:t>
      </w:r>
      <w:r>
        <w:t xml:space="preserve">s needs at the centre of all discussions. Key strategies </w:t>
      </w:r>
      <w:r w:rsidR="008C40F6">
        <w:t>include</w:t>
      </w:r>
      <w:r>
        <w:t xml:space="preserve"> holding regular case conferences to share updates; using shared care records so all teams have access to the latest information; agreeing clear roles and responsibilities to avoid duplication or gaps; and building trust through open, respectful communication. For example, the GP can review her medication and adjust prescriptions if needed, the community nurse can monitor her recovery from pneumonia, domiciliary staff can report daily changes in her memory or behaviour, and social workers can assess her housing and safety needs. Common challenges in multi</w:t>
      </w:r>
      <w:r>
        <w:rPr>
          <w:rFonts w:ascii="Cambria Math" w:hAnsi="Cambria Math" w:cs="Cambria Math"/>
        </w:rPr>
        <w:t>‑</w:t>
      </w:r>
      <w:r>
        <w:t>agency working include differing priorities between organisations, inconsistent information sharing, and unclear lines of responsibility. To overcome these, providers should: agree shared goals for Mrs Thompson</w:t>
      </w:r>
      <w:r>
        <w:rPr>
          <w:rFonts w:ascii="Aptos" w:hAnsi="Aptos" w:cs="Aptos"/>
        </w:rPr>
        <w:t>’</w:t>
      </w:r>
      <w:r>
        <w:t>s care; use standardised procedures for reporting incidents and changes in condition; establish clear protocols for data sharing that comply with confidentiality rules; and appoint a named lead professional to coordinate her support. For instance, assigning a social worker as the single point of contact means care workers, the GP and family know who to approach with concerns, preventing delays such as the slow review of her medication routine. Strong collaboration ensures Mrs Thompson receives joined</w:t>
      </w:r>
      <w:r>
        <w:rPr>
          <w:rFonts w:ascii="Cambria Math" w:hAnsi="Cambria Math" w:cs="Cambria Math"/>
        </w:rPr>
        <w:t>‑</w:t>
      </w:r>
      <w:r>
        <w:t>up care that addresses all her needs, rather than fragmented support that misses critical risks.</w:t>
      </w:r>
    </w:p>
    <w:p w14:paraId="5AF3E2E7" w14:textId="1B2445D5" w:rsidR="004151F8" w:rsidRDefault="004151F8" w:rsidP="004151F8">
      <w:r>
        <w:t>Mrs Thompson’s case demonstrates that effective communication, robust administrative practice, and collaborative working are not separate tasks, but interdependent foundations of safe, high</w:t>
      </w:r>
      <w:r>
        <w:rPr>
          <w:rFonts w:ascii="Cambria Math" w:hAnsi="Cambria Math" w:cs="Cambria Math"/>
        </w:rPr>
        <w:t>‑</w:t>
      </w:r>
      <w:r>
        <w:t>quality care. Clear communication ensures she understands her care and is heard as an individual; accurate record</w:t>
      </w:r>
      <w:r>
        <w:rPr>
          <w:rFonts w:ascii="Cambria Math" w:hAnsi="Cambria Math" w:cs="Cambria Math"/>
        </w:rPr>
        <w:t>‑</w:t>
      </w:r>
      <w:r>
        <w:t>keeping upholds her legal rights and ensures consistency; and multi</w:t>
      </w:r>
      <w:r>
        <w:rPr>
          <w:rFonts w:ascii="Cambria Math" w:hAnsi="Cambria Math" w:cs="Cambria Math"/>
        </w:rPr>
        <w:t>‑</w:t>
      </w:r>
      <w:r>
        <w:t>agency working ensures her medical, social and safety needs are all addressed together. Aligning practice with legislation including the Equality Act 2010, Data Protection Act 2018 and Care Act 2014 ensures her dignity and wellbeing are prioritised, while structured models such as Argyle</w:t>
      </w:r>
      <w:r>
        <w:rPr>
          <w:rFonts w:ascii="Aptos" w:hAnsi="Aptos" w:cs="Aptos"/>
        </w:rPr>
        <w:t>’</w:t>
      </w:r>
      <w:r>
        <w:t>s Communication Cycle help turn these principles into daily action. With these improvements in place, services can reduce avoidable risks, support her independence for longer, and deliver care that meets her specific needs.</w:t>
      </w:r>
    </w:p>
    <w:p w14:paraId="3D94B377" w14:textId="77777777" w:rsidR="004151F8" w:rsidRDefault="004151F8" w:rsidP="004151F8">
      <w:pPr>
        <w:rPr>
          <w:b/>
          <w:bCs/>
          <w:u w:val="single"/>
        </w:rPr>
      </w:pPr>
    </w:p>
    <w:p w14:paraId="1B926735" w14:textId="77777777" w:rsidR="00BA415D" w:rsidRDefault="00BA415D" w:rsidP="004151F8">
      <w:pPr>
        <w:rPr>
          <w:b/>
          <w:bCs/>
          <w:u w:val="single"/>
        </w:rPr>
      </w:pPr>
    </w:p>
    <w:p w14:paraId="1A796284" w14:textId="77777777" w:rsidR="00BA415D" w:rsidRDefault="00BA415D" w:rsidP="004151F8">
      <w:pPr>
        <w:rPr>
          <w:b/>
          <w:bCs/>
          <w:u w:val="single"/>
        </w:rPr>
      </w:pPr>
    </w:p>
    <w:p w14:paraId="50C7C11C" w14:textId="77777777" w:rsidR="00BA415D" w:rsidRDefault="00BA415D" w:rsidP="004151F8">
      <w:pPr>
        <w:rPr>
          <w:b/>
          <w:bCs/>
          <w:u w:val="single"/>
        </w:rPr>
      </w:pPr>
    </w:p>
    <w:p w14:paraId="5954ABFB" w14:textId="3DC52FCE" w:rsidR="004151F8" w:rsidRPr="004151F8" w:rsidRDefault="004151F8" w:rsidP="004151F8">
      <w:pPr>
        <w:rPr>
          <w:b/>
          <w:bCs/>
          <w:u w:val="single"/>
        </w:rPr>
      </w:pPr>
      <w:r w:rsidRPr="004151F8">
        <w:rPr>
          <w:b/>
          <w:bCs/>
          <w:u w:val="single"/>
        </w:rPr>
        <w:lastRenderedPageBreak/>
        <w:t>REFERENCES</w:t>
      </w:r>
    </w:p>
    <w:p w14:paraId="36D9FDED" w14:textId="6A8D9B92" w:rsidR="004151F8" w:rsidRDefault="0058338C" w:rsidP="004151F8">
      <w:r>
        <w:t xml:space="preserve">Number </w:t>
      </w:r>
      <w:r w:rsidR="004151F8">
        <w:t>1. Argyle, M. (1972). The Psychology of Interpersonal Behaviour. London: Penguin Books.</w:t>
      </w:r>
    </w:p>
    <w:p w14:paraId="6E2ACF3A" w14:textId="7975BDDA" w:rsidR="004151F8" w:rsidRDefault="0058338C" w:rsidP="004151F8">
      <w:r>
        <w:t xml:space="preserve">Number </w:t>
      </w:r>
      <w:r w:rsidR="004151F8">
        <w:t>2. Department of Health and Social Care. (2014). The Care Act 2014: Statutory Guidance. London: The Stationery Office.</w:t>
      </w:r>
    </w:p>
    <w:p w14:paraId="33AB9A40" w14:textId="35015D8A" w:rsidR="004151F8" w:rsidRDefault="0058338C" w:rsidP="004151F8">
      <w:r>
        <w:t xml:space="preserve">Number </w:t>
      </w:r>
      <w:r w:rsidR="004151F8">
        <w:t>3. Department of Health and Social Care. (2018). Data Protection Act 2018 and UK GDPR: Guidance for Health and Social Care. London: DHSC.</w:t>
      </w:r>
    </w:p>
    <w:p w14:paraId="70AD2C8A" w14:textId="106E4F07" w:rsidR="004151F8" w:rsidRDefault="0058338C" w:rsidP="004151F8">
      <w:r>
        <w:t xml:space="preserve">Number </w:t>
      </w:r>
      <w:r w:rsidR="004151F8">
        <w:t>4. Equality and Human Rights Commission. (2010). Equality Act 2010: Health and Social Care Guide. Manchester: EHRC.</w:t>
      </w:r>
    </w:p>
    <w:p w14:paraId="1B5E39D6" w14:textId="72DA757D" w:rsidR="004151F8" w:rsidRDefault="0058338C" w:rsidP="004151F8">
      <w:r>
        <w:t xml:space="preserve">Number </w:t>
      </w:r>
      <w:r w:rsidR="004151F8">
        <w:t>5. National Institute for Health and Care Excellence. (2023). Dementia: Care and Support for People Living with Dementia and their Carers (NG97). London: NICE.</w:t>
      </w:r>
    </w:p>
    <w:p w14:paraId="36B744B6" w14:textId="41DA3439" w:rsidR="004151F8" w:rsidRDefault="0058338C" w:rsidP="004151F8">
      <w:r>
        <w:t xml:space="preserve">Number </w:t>
      </w:r>
      <w:r w:rsidR="004151F8">
        <w:t>6. UK Parliament. (2005). Mental Capacity Act 2005. London: The Stationery Office.</w:t>
      </w:r>
    </w:p>
    <w:p w14:paraId="0C10EA71" w14:textId="23715822" w:rsidR="00591616" w:rsidRDefault="00591616" w:rsidP="004151F8"/>
    <w:sectPr w:rsidR="005916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1F8"/>
    <w:rsid w:val="00074A83"/>
    <w:rsid w:val="00176172"/>
    <w:rsid w:val="00323E19"/>
    <w:rsid w:val="00392B1B"/>
    <w:rsid w:val="003C1B9F"/>
    <w:rsid w:val="0040357D"/>
    <w:rsid w:val="004041EE"/>
    <w:rsid w:val="004151F8"/>
    <w:rsid w:val="00464184"/>
    <w:rsid w:val="004A2D71"/>
    <w:rsid w:val="00517CBC"/>
    <w:rsid w:val="0058338C"/>
    <w:rsid w:val="00591616"/>
    <w:rsid w:val="005F7CA8"/>
    <w:rsid w:val="007238D8"/>
    <w:rsid w:val="007B7591"/>
    <w:rsid w:val="00802B7F"/>
    <w:rsid w:val="008522D9"/>
    <w:rsid w:val="008C40F6"/>
    <w:rsid w:val="00941467"/>
    <w:rsid w:val="009871B9"/>
    <w:rsid w:val="009E3D79"/>
    <w:rsid w:val="00A42128"/>
    <w:rsid w:val="00AA1A37"/>
    <w:rsid w:val="00AF3A44"/>
    <w:rsid w:val="00B26309"/>
    <w:rsid w:val="00BA415D"/>
    <w:rsid w:val="00C204B0"/>
    <w:rsid w:val="00CD7E69"/>
    <w:rsid w:val="00E93734"/>
    <w:rsid w:val="00F170D5"/>
    <w:rsid w:val="00F85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1F1DE"/>
  <w15:chartTrackingRefBased/>
  <w15:docId w15:val="{1EB8B880-B495-421B-8407-6DDAD7767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1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51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1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1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1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1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1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1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1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1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51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1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1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1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1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1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1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1F8"/>
    <w:rPr>
      <w:rFonts w:eastAsiaTheme="majorEastAsia" w:cstheme="majorBidi"/>
      <w:color w:val="272727" w:themeColor="text1" w:themeTint="D8"/>
    </w:rPr>
  </w:style>
  <w:style w:type="paragraph" w:styleId="Title">
    <w:name w:val="Title"/>
    <w:basedOn w:val="Normal"/>
    <w:next w:val="Normal"/>
    <w:link w:val="TitleChar"/>
    <w:uiPriority w:val="10"/>
    <w:qFormat/>
    <w:rsid w:val="004151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1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1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1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1F8"/>
    <w:pPr>
      <w:spacing w:before="160"/>
      <w:jc w:val="center"/>
    </w:pPr>
    <w:rPr>
      <w:i/>
      <w:iCs/>
      <w:color w:val="404040" w:themeColor="text1" w:themeTint="BF"/>
    </w:rPr>
  </w:style>
  <w:style w:type="character" w:customStyle="1" w:styleId="QuoteChar">
    <w:name w:val="Quote Char"/>
    <w:basedOn w:val="DefaultParagraphFont"/>
    <w:link w:val="Quote"/>
    <w:uiPriority w:val="29"/>
    <w:rsid w:val="004151F8"/>
    <w:rPr>
      <w:i/>
      <w:iCs/>
      <w:color w:val="404040" w:themeColor="text1" w:themeTint="BF"/>
    </w:rPr>
  </w:style>
  <w:style w:type="paragraph" w:styleId="ListParagraph">
    <w:name w:val="List Paragraph"/>
    <w:basedOn w:val="Normal"/>
    <w:uiPriority w:val="34"/>
    <w:qFormat/>
    <w:rsid w:val="004151F8"/>
    <w:pPr>
      <w:ind w:left="720"/>
      <w:contextualSpacing/>
    </w:pPr>
  </w:style>
  <w:style w:type="character" w:styleId="IntenseEmphasis">
    <w:name w:val="Intense Emphasis"/>
    <w:basedOn w:val="DefaultParagraphFont"/>
    <w:uiPriority w:val="21"/>
    <w:qFormat/>
    <w:rsid w:val="004151F8"/>
    <w:rPr>
      <w:i/>
      <w:iCs/>
      <w:color w:val="0F4761" w:themeColor="accent1" w:themeShade="BF"/>
    </w:rPr>
  </w:style>
  <w:style w:type="paragraph" w:styleId="IntenseQuote">
    <w:name w:val="Intense Quote"/>
    <w:basedOn w:val="Normal"/>
    <w:next w:val="Normal"/>
    <w:link w:val="IntenseQuoteChar"/>
    <w:uiPriority w:val="30"/>
    <w:qFormat/>
    <w:rsid w:val="004151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1F8"/>
    <w:rPr>
      <w:i/>
      <w:iCs/>
      <w:color w:val="0F4761" w:themeColor="accent1" w:themeShade="BF"/>
    </w:rPr>
  </w:style>
  <w:style w:type="character" w:styleId="IntenseReference">
    <w:name w:val="Intense Reference"/>
    <w:basedOn w:val="DefaultParagraphFont"/>
    <w:uiPriority w:val="32"/>
    <w:qFormat/>
    <w:rsid w:val="004151F8"/>
    <w:rPr>
      <w:b/>
      <w:bCs/>
      <w:smallCaps/>
      <w:color w:val="0F4761" w:themeColor="accent1" w:themeShade="BF"/>
      <w:spacing w:val="5"/>
    </w:rPr>
  </w:style>
  <w:style w:type="character" w:styleId="Hyperlink">
    <w:name w:val="Hyperlink"/>
    <w:basedOn w:val="DefaultParagraphFont"/>
    <w:uiPriority w:val="99"/>
    <w:unhideWhenUsed/>
    <w:rsid w:val="00B26309"/>
    <w:rPr>
      <w:color w:val="467886" w:themeColor="hyperlink"/>
      <w:u w:val="single"/>
    </w:rPr>
  </w:style>
  <w:style w:type="character" w:styleId="UnresolvedMention">
    <w:name w:val="Unresolved Mention"/>
    <w:basedOn w:val="DefaultParagraphFont"/>
    <w:uiPriority w:val="99"/>
    <w:semiHidden/>
    <w:unhideWhenUsed/>
    <w:rsid w:val="00B263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7050A-A010-49DB-94F2-847257A9D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4</Pages>
  <Words>1561</Words>
  <Characters>8900</Characters>
  <Application>Microsoft Office Word</Application>
  <DocSecurity>0</DocSecurity>
  <Lines>74</Lines>
  <Paragraphs>20</Paragraphs>
  <ScaleCrop>false</ScaleCrop>
  <Company/>
  <LinksUpToDate>false</LinksUpToDate>
  <CharactersWithSpaces>10441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Purveen Hussain (2530125)</dc:creator>
  <cp:keywords/>
  <dc:description/>
  <cp:lastModifiedBy>Shazia Purveen Hussain (2530125)</cp:lastModifiedBy>
  <cp:revision>28</cp:revision>
  <dcterms:created xsi:type="dcterms:W3CDTF">2026-07-13T12:26:00Z</dcterms:created>
  <dcterms:modified xsi:type="dcterms:W3CDTF">2026-07-23T22:08:00Z</dcterms:modified>
</cp:coreProperties>
</file>