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12EF" w:rsidRPr="007012EF" w:rsidRDefault="007012EF">
      <w:pPr>
        <w:rPr>
          <w:rFonts w:ascii="Myriad Pro" w:hAnsi="Myriad Pro"/>
        </w:rPr>
      </w:pPr>
      <w:bookmarkStart w:id="0" w:name="_GoBack"/>
      <w:bookmarkEnd w:id="0"/>
    </w:p>
    <w:p w:rsidR="00C23F0F" w:rsidRDefault="00C23F0F" w:rsidP="00C23F0F">
      <w:pPr>
        <w:pStyle w:val="Default"/>
      </w:pPr>
    </w:p>
    <w:p w:rsidR="00C23F0F" w:rsidRPr="003666F1" w:rsidRDefault="00C23F0F" w:rsidP="00C23F0F">
      <w:pPr>
        <w:pStyle w:val="Default"/>
        <w:spacing w:line="360" w:lineRule="auto"/>
        <w:rPr>
          <w:rFonts w:ascii="Myriad Pro" w:hAnsi="Myriad Pro"/>
          <w:b/>
          <w:bCs/>
          <w:u w:val="single"/>
        </w:rPr>
      </w:pPr>
      <w:r>
        <w:t xml:space="preserve"> </w:t>
      </w:r>
      <w:r w:rsidRPr="003666F1">
        <w:rPr>
          <w:rFonts w:ascii="Myriad Pro" w:hAnsi="Myriad Pro"/>
          <w:b/>
          <w:bCs/>
          <w:u w:val="single"/>
        </w:rPr>
        <w:t xml:space="preserve">CIPD EMPLOYMENT LAW MODULE DOCUMENT 1 </w:t>
      </w:r>
    </w:p>
    <w:p w:rsidR="00C23F0F" w:rsidRPr="003666F1" w:rsidRDefault="00C23F0F" w:rsidP="00C23F0F">
      <w:pPr>
        <w:pStyle w:val="Default"/>
        <w:spacing w:line="360" w:lineRule="auto"/>
        <w:rPr>
          <w:rFonts w:ascii="Myriad Pro" w:hAnsi="Myriad Pro"/>
          <w:b/>
          <w:bCs/>
          <w:u w:val="single"/>
        </w:rPr>
      </w:pPr>
      <w:r w:rsidRPr="003666F1">
        <w:rPr>
          <w:rFonts w:ascii="Myriad Pro" w:hAnsi="Myriad Pro"/>
          <w:b/>
          <w:bCs/>
          <w:u w:val="single"/>
        </w:rPr>
        <w:t xml:space="preserve">JUDICIAL PRECEDENT AND THE HIERARCY OF THE COURTS </w:t>
      </w:r>
    </w:p>
    <w:p w:rsidR="003666F1" w:rsidRPr="00C23F0F" w:rsidRDefault="003666F1" w:rsidP="00C23F0F">
      <w:pPr>
        <w:pStyle w:val="Default"/>
        <w:spacing w:line="360" w:lineRule="auto"/>
        <w:rPr>
          <w:rFonts w:ascii="Myriad Pro" w:hAnsi="Myriad Pro"/>
        </w:rPr>
      </w:pPr>
    </w:p>
    <w:p w:rsidR="00BB77C1" w:rsidRDefault="00C23F0F" w:rsidP="00C23F0F">
      <w:pPr>
        <w:pStyle w:val="Default"/>
        <w:spacing w:line="360" w:lineRule="auto"/>
        <w:rPr>
          <w:rFonts w:ascii="Myriad Pro" w:hAnsi="Myriad Pro"/>
        </w:rPr>
      </w:pPr>
      <w:r w:rsidRPr="00C23F0F">
        <w:rPr>
          <w:rFonts w:ascii="Myriad Pro" w:hAnsi="Myriad Pro"/>
        </w:rPr>
        <w:t xml:space="preserve">It is important to understand the court structure in the United Kingdom because of the system of judicial precedent. </w:t>
      </w:r>
    </w:p>
    <w:p w:rsidR="00BB77C1" w:rsidRDefault="00BB77C1" w:rsidP="00C23F0F">
      <w:pPr>
        <w:pStyle w:val="Default"/>
        <w:spacing w:line="360" w:lineRule="auto"/>
        <w:rPr>
          <w:rFonts w:ascii="Myriad Pro" w:hAnsi="Myriad Pro"/>
        </w:rPr>
      </w:pPr>
    </w:p>
    <w:p w:rsidR="003666F1" w:rsidRDefault="00C23F0F" w:rsidP="00C23F0F">
      <w:pPr>
        <w:pStyle w:val="Default"/>
        <w:spacing w:line="360" w:lineRule="auto"/>
        <w:rPr>
          <w:rFonts w:ascii="Myriad Pro" w:hAnsi="Myriad Pro"/>
        </w:rPr>
      </w:pPr>
      <w:r w:rsidRPr="00C23F0F">
        <w:rPr>
          <w:rFonts w:ascii="Myriad Pro" w:hAnsi="Myriad Pro"/>
        </w:rPr>
        <w:t xml:space="preserve">Judicial precedent is the process by which judges follow previously decided cases where the facts are of sufficient similarity. </w:t>
      </w:r>
    </w:p>
    <w:p w:rsidR="003666F1" w:rsidRDefault="003666F1" w:rsidP="00C23F0F">
      <w:pPr>
        <w:pStyle w:val="Default"/>
        <w:spacing w:line="360" w:lineRule="auto"/>
        <w:rPr>
          <w:rFonts w:ascii="Myriad Pro" w:hAnsi="Myriad Pro"/>
        </w:rPr>
      </w:pPr>
    </w:p>
    <w:p w:rsidR="00BB77C1" w:rsidRDefault="00C23F0F" w:rsidP="00C23F0F">
      <w:pPr>
        <w:pStyle w:val="Default"/>
        <w:spacing w:line="360" w:lineRule="auto"/>
        <w:rPr>
          <w:rFonts w:ascii="Myriad Pro" w:hAnsi="Myriad Pro"/>
        </w:rPr>
      </w:pPr>
      <w:r w:rsidRPr="00C23F0F">
        <w:rPr>
          <w:rFonts w:ascii="Myriad Pro" w:hAnsi="Myriad Pro"/>
        </w:rPr>
        <w:t xml:space="preserve">In practice, this means that the decisions of higher courts are binding on the courts below them. </w:t>
      </w:r>
    </w:p>
    <w:p w:rsidR="00BB77C1" w:rsidRDefault="00BB77C1" w:rsidP="00C23F0F">
      <w:pPr>
        <w:pStyle w:val="Default"/>
        <w:spacing w:line="360" w:lineRule="auto"/>
        <w:rPr>
          <w:rFonts w:ascii="Myriad Pro" w:hAnsi="Myriad Pro"/>
        </w:rPr>
      </w:pPr>
    </w:p>
    <w:p w:rsidR="00C23F0F" w:rsidRDefault="00BB77C1" w:rsidP="00C23F0F">
      <w:pPr>
        <w:pStyle w:val="Default"/>
        <w:spacing w:line="360" w:lineRule="auto"/>
        <w:rPr>
          <w:rFonts w:ascii="Myriad Pro" w:hAnsi="Myriad Pro"/>
        </w:rPr>
      </w:pPr>
      <w:r>
        <w:rPr>
          <w:rFonts w:ascii="Myriad Pro" w:hAnsi="Myriad Pro"/>
        </w:rPr>
        <w:t>L</w:t>
      </w:r>
      <w:r w:rsidR="00C23F0F" w:rsidRPr="00C23F0F">
        <w:rPr>
          <w:rFonts w:ascii="Myriad Pro" w:hAnsi="Myriad Pro"/>
        </w:rPr>
        <w:t xml:space="preserve">ower courts must follow the legal principles decided upon by the courts above them in the court structure. </w:t>
      </w:r>
    </w:p>
    <w:p w:rsidR="00BB77C1" w:rsidRPr="00C23F0F" w:rsidRDefault="00BB77C1" w:rsidP="00C23F0F">
      <w:pPr>
        <w:pStyle w:val="Default"/>
        <w:spacing w:line="360" w:lineRule="auto"/>
        <w:rPr>
          <w:rFonts w:ascii="Myriad Pro" w:hAnsi="Myriad Pro"/>
        </w:rPr>
      </w:pPr>
    </w:p>
    <w:p w:rsidR="00BB77C1" w:rsidRDefault="00C23F0F" w:rsidP="00C23F0F">
      <w:pPr>
        <w:pStyle w:val="Default"/>
        <w:spacing w:line="360" w:lineRule="auto"/>
        <w:rPr>
          <w:rFonts w:ascii="Myriad Pro" w:hAnsi="Myriad Pro"/>
        </w:rPr>
      </w:pPr>
      <w:r w:rsidRPr="00C23F0F">
        <w:rPr>
          <w:rFonts w:ascii="Myriad Pro" w:hAnsi="Myriad Pro"/>
        </w:rPr>
        <w:t>England and Wales is a different legal jurisdiction from (a) Scotland and (b) Northern Ireland. Even though their employment laws are similar, there is a different court process. In Northern Ireland, different legislation applies.</w:t>
      </w:r>
    </w:p>
    <w:p w:rsidR="00C23F0F" w:rsidRDefault="00C23F0F" w:rsidP="00C23F0F">
      <w:pPr>
        <w:pStyle w:val="Default"/>
        <w:spacing w:line="360" w:lineRule="auto"/>
        <w:rPr>
          <w:rFonts w:ascii="Myriad Pro" w:hAnsi="Myriad Pro"/>
        </w:rPr>
      </w:pPr>
      <w:r w:rsidRPr="00C23F0F">
        <w:rPr>
          <w:rFonts w:ascii="Myriad Pro" w:hAnsi="Myriad Pro"/>
        </w:rPr>
        <w:t xml:space="preserve"> </w:t>
      </w:r>
    </w:p>
    <w:p w:rsidR="00BB77C1" w:rsidRDefault="00BB77C1" w:rsidP="00C23F0F">
      <w:pPr>
        <w:pStyle w:val="Default"/>
        <w:spacing w:line="360" w:lineRule="auto"/>
        <w:rPr>
          <w:rFonts w:ascii="Myriad Pro" w:hAnsi="Myriad Pro"/>
          <w:b/>
          <w:u w:val="single"/>
        </w:rPr>
      </w:pPr>
      <w:r w:rsidRPr="00BB77C1">
        <w:rPr>
          <w:rFonts w:ascii="Myriad Pro" w:hAnsi="Myriad Pro"/>
          <w:b/>
          <w:u w:val="single"/>
        </w:rPr>
        <w:t>EMPLOYMENT TRIBUNALS</w:t>
      </w:r>
    </w:p>
    <w:p w:rsidR="00BB77C1" w:rsidRPr="00BB77C1" w:rsidRDefault="00BB77C1" w:rsidP="00C23F0F">
      <w:pPr>
        <w:pStyle w:val="Default"/>
        <w:spacing w:line="360" w:lineRule="auto"/>
        <w:rPr>
          <w:rFonts w:ascii="Myriad Pro" w:hAnsi="Myriad Pro"/>
          <w:b/>
          <w:u w:val="single"/>
        </w:rPr>
      </w:pPr>
    </w:p>
    <w:p w:rsidR="00BB77C1" w:rsidRDefault="00C23F0F" w:rsidP="00C23F0F">
      <w:pPr>
        <w:pStyle w:val="Default"/>
        <w:spacing w:line="360" w:lineRule="auto"/>
        <w:rPr>
          <w:rFonts w:ascii="Myriad Pro" w:hAnsi="Myriad Pro"/>
        </w:rPr>
      </w:pPr>
      <w:r w:rsidRPr="00C23F0F">
        <w:rPr>
          <w:rFonts w:ascii="Myriad Pro" w:hAnsi="Myriad Pro"/>
        </w:rPr>
        <w:t xml:space="preserve">Most employment law cases start in the </w:t>
      </w:r>
      <w:r w:rsidRPr="00C23F0F">
        <w:rPr>
          <w:rFonts w:ascii="Myriad Pro" w:hAnsi="Myriad Pro"/>
          <w:b/>
          <w:bCs/>
        </w:rPr>
        <w:t>Employment Tribunal</w:t>
      </w:r>
      <w:r w:rsidRPr="00C23F0F">
        <w:rPr>
          <w:rFonts w:ascii="Myriad Pro" w:hAnsi="Myriad Pro"/>
        </w:rPr>
        <w:t>. There are Employment Tribunal (ET) hearing centres in most large towns and cities. ETs are governed by statute (see the Employment Tribunals Act 1996) and therefore can only hear cases on matters where they have been given jurisdiction by Parliament. Examples of cases that may be brought before ETs are</w:t>
      </w:r>
      <w:r w:rsidR="00BB77C1">
        <w:rPr>
          <w:rFonts w:ascii="Myriad Pro" w:hAnsi="Myriad Pro"/>
        </w:rPr>
        <w:t>:</w:t>
      </w:r>
    </w:p>
    <w:p w:rsidR="00BB77C1" w:rsidRDefault="00BB77C1" w:rsidP="00C23F0F">
      <w:pPr>
        <w:pStyle w:val="Default"/>
        <w:spacing w:line="360" w:lineRule="auto"/>
        <w:rPr>
          <w:rFonts w:ascii="Myriad Pro" w:hAnsi="Myriad Pro"/>
        </w:rPr>
      </w:pPr>
    </w:p>
    <w:p w:rsidR="00BB77C1" w:rsidRDefault="00C23F0F" w:rsidP="00BB77C1">
      <w:pPr>
        <w:pStyle w:val="Default"/>
        <w:numPr>
          <w:ilvl w:val="0"/>
          <w:numId w:val="1"/>
        </w:numPr>
        <w:spacing w:line="360" w:lineRule="auto"/>
        <w:rPr>
          <w:rFonts w:ascii="Myriad Pro" w:hAnsi="Myriad Pro"/>
        </w:rPr>
      </w:pPr>
      <w:r w:rsidRPr="00C23F0F">
        <w:rPr>
          <w:rFonts w:ascii="Myriad Pro" w:hAnsi="Myriad Pro"/>
        </w:rPr>
        <w:t xml:space="preserve">unfair dismissal; </w:t>
      </w:r>
    </w:p>
    <w:p w:rsidR="00BB77C1" w:rsidRDefault="00C23F0F" w:rsidP="00BB77C1">
      <w:pPr>
        <w:pStyle w:val="Default"/>
        <w:numPr>
          <w:ilvl w:val="0"/>
          <w:numId w:val="1"/>
        </w:numPr>
        <w:spacing w:line="360" w:lineRule="auto"/>
        <w:rPr>
          <w:rFonts w:ascii="Myriad Pro" w:hAnsi="Myriad Pro"/>
        </w:rPr>
      </w:pPr>
      <w:r w:rsidRPr="00C23F0F">
        <w:rPr>
          <w:rFonts w:ascii="Myriad Pro" w:hAnsi="Myriad Pro"/>
        </w:rPr>
        <w:t xml:space="preserve">unlawful deductions from wages; </w:t>
      </w:r>
    </w:p>
    <w:p w:rsidR="00BB77C1" w:rsidRDefault="00C23F0F" w:rsidP="00BB77C1">
      <w:pPr>
        <w:pStyle w:val="Default"/>
        <w:numPr>
          <w:ilvl w:val="0"/>
          <w:numId w:val="1"/>
        </w:numPr>
        <w:spacing w:line="360" w:lineRule="auto"/>
        <w:rPr>
          <w:rFonts w:ascii="Myriad Pro" w:hAnsi="Myriad Pro"/>
        </w:rPr>
      </w:pPr>
      <w:r w:rsidRPr="00C23F0F">
        <w:rPr>
          <w:rFonts w:ascii="Myriad Pro" w:hAnsi="Myriad Pro"/>
        </w:rPr>
        <w:t xml:space="preserve">claims for statutory redundancy payments; </w:t>
      </w:r>
    </w:p>
    <w:p w:rsidR="00BB77C1" w:rsidRDefault="00C23F0F" w:rsidP="00BB77C1">
      <w:pPr>
        <w:pStyle w:val="Default"/>
        <w:numPr>
          <w:ilvl w:val="0"/>
          <w:numId w:val="1"/>
        </w:numPr>
        <w:spacing w:line="360" w:lineRule="auto"/>
        <w:rPr>
          <w:rFonts w:ascii="Myriad Pro" w:hAnsi="Myriad Pro"/>
        </w:rPr>
      </w:pPr>
      <w:r w:rsidRPr="00C23F0F">
        <w:rPr>
          <w:rFonts w:ascii="Myriad Pro" w:hAnsi="Myriad Pro"/>
        </w:rPr>
        <w:lastRenderedPageBreak/>
        <w:t xml:space="preserve">discrimination contrary to the Equality Act 2010; </w:t>
      </w:r>
    </w:p>
    <w:p w:rsidR="00BB77C1" w:rsidRDefault="00C23F0F" w:rsidP="00BB77C1">
      <w:pPr>
        <w:pStyle w:val="Default"/>
        <w:numPr>
          <w:ilvl w:val="0"/>
          <w:numId w:val="1"/>
        </w:numPr>
        <w:spacing w:line="360" w:lineRule="auto"/>
        <w:rPr>
          <w:rFonts w:ascii="Myriad Pro" w:hAnsi="Myriad Pro"/>
        </w:rPr>
      </w:pPr>
      <w:r w:rsidRPr="00C23F0F">
        <w:rPr>
          <w:rFonts w:ascii="Myriad Pro" w:hAnsi="Myriad Pro"/>
        </w:rPr>
        <w:t xml:space="preserve">disputes about family-friendly rights (maternity, paternity, parental leave etc). </w:t>
      </w:r>
    </w:p>
    <w:p w:rsidR="00C23F0F" w:rsidRDefault="00C23F0F" w:rsidP="00BB77C1">
      <w:pPr>
        <w:pStyle w:val="Default"/>
        <w:numPr>
          <w:ilvl w:val="0"/>
          <w:numId w:val="1"/>
        </w:numPr>
        <w:spacing w:line="360" w:lineRule="auto"/>
        <w:rPr>
          <w:rFonts w:ascii="Myriad Pro" w:hAnsi="Myriad Pro"/>
        </w:rPr>
      </w:pPr>
      <w:r w:rsidRPr="00C23F0F">
        <w:rPr>
          <w:rFonts w:ascii="Myriad Pro" w:hAnsi="Myriad Pro"/>
        </w:rPr>
        <w:t xml:space="preserve">ETs also have jurisdiction to hear breach of contract claims up to a maximum value of £25,000 </w:t>
      </w:r>
      <w:r w:rsidRPr="00BB77C1">
        <w:rPr>
          <w:rFonts w:ascii="Myriad Pro" w:hAnsi="Myriad Pro"/>
          <w:b/>
        </w:rPr>
        <w:t>where employment has come to an end</w:t>
      </w:r>
      <w:r w:rsidRPr="00C23F0F">
        <w:rPr>
          <w:rFonts w:ascii="Myriad Pro" w:hAnsi="Myriad Pro"/>
        </w:rPr>
        <w:t xml:space="preserve"> (see the Employment Tribunals Extension of Jurisdiction (England and Wales) Order 1994). </w:t>
      </w:r>
    </w:p>
    <w:p w:rsidR="00BB77C1" w:rsidRPr="00C23F0F" w:rsidRDefault="00BB77C1" w:rsidP="00BB77C1">
      <w:pPr>
        <w:pStyle w:val="Default"/>
        <w:spacing w:line="360" w:lineRule="auto"/>
        <w:ind w:left="30"/>
        <w:rPr>
          <w:rFonts w:ascii="Myriad Pro" w:hAnsi="Myriad Pro"/>
        </w:rPr>
      </w:pPr>
    </w:p>
    <w:p w:rsidR="00BB77C1" w:rsidRDefault="00C23F0F" w:rsidP="00C23F0F">
      <w:pPr>
        <w:pStyle w:val="Default"/>
        <w:spacing w:line="360" w:lineRule="auto"/>
        <w:rPr>
          <w:rFonts w:ascii="Myriad Pro" w:hAnsi="Myriad Pro"/>
        </w:rPr>
      </w:pPr>
      <w:r w:rsidRPr="00C23F0F">
        <w:rPr>
          <w:rFonts w:ascii="Myriad Pro" w:hAnsi="Myriad Pro"/>
        </w:rPr>
        <w:t>Note that some cases connected with employment law may not be brought in ETs and therefore must be commenced in the ordinary civil courts. For example</w:t>
      </w:r>
      <w:r w:rsidR="00BB77C1">
        <w:rPr>
          <w:rFonts w:ascii="Myriad Pro" w:hAnsi="Myriad Pro"/>
        </w:rPr>
        <w:t>:</w:t>
      </w:r>
    </w:p>
    <w:p w:rsidR="00BB77C1" w:rsidRDefault="00C23F0F" w:rsidP="00BB77C1">
      <w:pPr>
        <w:pStyle w:val="Default"/>
        <w:numPr>
          <w:ilvl w:val="0"/>
          <w:numId w:val="2"/>
        </w:numPr>
        <w:spacing w:line="360" w:lineRule="auto"/>
        <w:rPr>
          <w:rFonts w:ascii="Myriad Pro" w:hAnsi="Myriad Pro"/>
        </w:rPr>
      </w:pPr>
      <w:r w:rsidRPr="00C23F0F">
        <w:rPr>
          <w:rFonts w:ascii="Myriad Pro" w:hAnsi="Myriad Pro"/>
        </w:rPr>
        <w:t xml:space="preserve">claims for breach of contract where employment is ongoing must be brought in the County Court or High Court. </w:t>
      </w:r>
    </w:p>
    <w:p w:rsidR="00BB77C1" w:rsidRDefault="00C23F0F" w:rsidP="00BB77C1">
      <w:pPr>
        <w:pStyle w:val="Default"/>
        <w:numPr>
          <w:ilvl w:val="0"/>
          <w:numId w:val="2"/>
        </w:numPr>
        <w:spacing w:line="360" w:lineRule="auto"/>
        <w:rPr>
          <w:rFonts w:ascii="Myriad Pro" w:hAnsi="Myriad Pro"/>
        </w:rPr>
      </w:pPr>
      <w:r w:rsidRPr="00C23F0F">
        <w:rPr>
          <w:rFonts w:ascii="Myriad Pro" w:hAnsi="Myriad Pro"/>
        </w:rPr>
        <w:t xml:space="preserve">Breach of contract claims for sums in excess of £25,000 must be brought in the Court/High Court. </w:t>
      </w:r>
    </w:p>
    <w:p w:rsidR="00C23F0F" w:rsidRDefault="00C23F0F" w:rsidP="00BB77C1">
      <w:pPr>
        <w:pStyle w:val="Default"/>
        <w:numPr>
          <w:ilvl w:val="0"/>
          <w:numId w:val="2"/>
        </w:numPr>
        <w:spacing w:line="360" w:lineRule="auto"/>
        <w:rPr>
          <w:rFonts w:ascii="Myriad Pro" w:hAnsi="Myriad Pro"/>
        </w:rPr>
      </w:pPr>
      <w:r w:rsidRPr="00C23F0F">
        <w:rPr>
          <w:rFonts w:ascii="Myriad Pro" w:hAnsi="Myriad Pro"/>
        </w:rPr>
        <w:t xml:space="preserve">Applications for injunctions, for example, to enforce a post-termination restrictive covenant or to restrain industrial action must be brought in the High Court. </w:t>
      </w:r>
    </w:p>
    <w:p w:rsidR="00BB77C1" w:rsidRDefault="00BB77C1" w:rsidP="00BB77C1">
      <w:pPr>
        <w:pStyle w:val="Default"/>
        <w:spacing w:line="360" w:lineRule="auto"/>
        <w:rPr>
          <w:rFonts w:ascii="Myriad Pro" w:hAnsi="Myriad Pro"/>
        </w:rPr>
      </w:pPr>
    </w:p>
    <w:p w:rsidR="00BB77C1" w:rsidRPr="00BB77C1" w:rsidRDefault="00BB77C1" w:rsidP="00BB77C1">
      <w:pPr>
        <w:pStyle w:val="Default"/>
        <w:spacing w:line="360" w:lineRule="auto"/>
        <w:rPr>
          <w:rFonts w:ascii="Myriad Pro" w:hAnsi="Myriad Pro"/>
          <w:b/>
          <w:u w:val="single"/>
        </w:rPr>
      </w:pPr>
      <w:r w:rsidRPr="00BB77C1">
        <w:rPr>
          <w:rFonts w:ascii="Myriad Pro" w:hAnsi="Myriad Pro"/>
          <w:b/>
          <w:u w:val="single"/>
        </w:rPr>
        <w:t>TRIBUNAL CONSTITUTION</w:t>
      </w:r>
    </w:p>
    <w:p w:rsidR="00BB77C1" w:rsidRPr="00C23F0F" w:rsidRDefault="00BB77C1" w:rsidP="00BB77C1">
      <w:pPr>
        <w:pStyle w:val="Default"/>
        <w:spacing w:line="360" w:lineRule="auto"/>
        <w:rPr>
          <w:rFonts w:ascii="Myriad Pro" w:hAnsi="Myriad Pro"/>
        </w:rPr>
      </w:pPr>
    </w:p>
    <w:p w:rsidR="00BB77C1" w:rsidRDefault="00C23F0F" w:rsidP="00C23F0F">
      <w:pPr>
        <w:pStyle w:val="Default"/>
        <w:spacing w:line="360" w:lineRule="auto"/>
        <w:rPr>
          <w:rFonts w:ascii="Myriad Pro" w:hAnsi="Myriad Pro"/>
        </w:rPr>
      </w:pPr>
      <w:r w:rsidRPr="00C23F0F">
        <w:rPr>
          <w:rFonts w:ascii="Myriad Pro" w:hAnsi="Myriad Pro"/>
        </w:rPr>
        <w:t xml:space="preserve">ET cases are usually heard by a three member panel – a legally qualified Employment Judge and two lay members – one who has experience of being an employer’s representative and the other who has experience of being a representative for employees. </w:t>
      </w:r>
    </w:p>
    <w:p w:rsidR="00BB77C1" w:rsidRDefault="00BB77C1" w:rsidP="00C23F0F">
      <w:pPr>
        <w:pStyle w:val="Default"/>
        <w:spacing w:line="360" w:lineRule="auto"/>
        <w:rPr>
          <w:rFonts w:ascii="Myriad Pro" w:hAnsi="Myriad Pro"/>
        </w:rPr>
      </w:pPr>
    </w:p>
    <w:p w:rsidR="00BB77C1" w:rsidRDefault="00C23F0F" w:rsidP="00C23F0F">
      <w:pPr>
        <w:pStyle w:val="Default"/>
        <w:spacing w:line="360" w:lineRule="auto"/>
        <w:rPr>
          <w:rFonts w:ascii="Myriad Pro" w:hAnsi="Myriad Pro"/>
        </w:rPr>
      </w:pPr>
      <w:r w:rsidRPr="00C23F0F">
        <w:rPr>
          <w:rFonts w:ascii="Myriad Pro" w:hAnsi="Myriad Pro"/>
        </w:rPr>
        <w:t>However, in recent years, the law has been amended so that certain cases may be heard by a Judge sitting alone. Examples include</w:t>
      </w:r>
      <w:r w:rsidR="00BB77C1">
        <w:rPr>
          <w:rFonts w:ascii="Myriad Pro" w:hAnsi="Myriad Pro"/>
        </w:rPr>
        <w:t>:</w:t>
      </w:r>
    </w:p>
    <w:p w:rsidR="00BB77C1" w:rsidRDefault="00BB77C1" w:rsidP="00C23F0F">
      <w:pPr>
        <w:pStyle w:val="Default"/>
        <w:spacing w:line="360" w:lineRule="auto"/>
        <w:rPr>
          <w:rFonts w:ascii="Myriad Pro" w:hAnsi="Myriad Pro"/>
        </w:rPr>
      </w:pPr>
    </w:p>
    <w:p w:rsidR="00BB77C1" w:rsidRDefault="00C23F0F" w:rsidP="00BB77C1">
      <w:pPr>
        <w:pStyle w:val="Default"/>
        <w:numPr>
          <w:ilvl w:val="0"/>
          <w:numId w:val="3"/>
        </w:numPr>
        <w:spacing w:line="360" w:lineRule="auto"/>
        <w:rPr>
          <w:rFonts w:ascii="Myriad Pro" w:hAnsi="Myriad Pro"/>
        </w:rPr>
      </w:pPr>
      <w:r w:rsidRPr="00C23F0F">
        <w:rPr>
          <w:rFonts w:ascii="Myriad Pro" w:hAnsi="Myriad Pro"/>
        </w:rPr>
        <w:t xml:space="preserve">claims for statutory redundancy payments </w:t>
      </w:r>
    </w:p>
    <w:p w:rsidR="00BB77C1" w:rsidRDefault="00C23F0F" w:rsidP="00BB77C1">
      <w:pPr>
        <w:pStyle w:val="Default"/>
        <w:numPr>
          <w:ilvl w:val="0"/>
          <w:numId w:val="3"/>
        </w:numPr>
        <w:spacing w:line="360" w:lineRule="auto"/>
        <w:rPr>
          <w:rFonts w:ascii="Myriad Pro" w:hAnsi="Myriad Pro"/>
        </w:rPr>
      </w:pPr>
      <w:r w:rsidRPr="00C23F0F">
        <w:rPr>
          <w:rFonts w:ascii="Myriad Pro" w:hAnsi="Myriad Pro"/>
        </w:rPr>
        <w:t xml:space="preserve">unlawful deduction of wages complaints. </w:t>
      </w:r>
    </w:p>
    <w:p w:rsidR="00BB77C1" w:rsidRDefault="00BB77C1" w:rsidP="00BB77C1">
      <w:pPr>
        <w:pStyle w:val="Default"/>
        <w:spacing w:line="360" w:lineRule="auto"/>
        <w:ind w:left="30"/>
        <w:rPr>
          <w:rFonts w:ascii="Myriad Pro" w:hAnsi="Myriad Pro"/>
        </w:rPr>
      </w:pPr>
    </w:p>
    <w:p w:rsidR="00BB77C1" w:rsidRDefault="00BB77C1" w:rsidP="00BB77C1">
      <w:pPr>
        <w:pStyle w:val="Default"/>
        <w:spacing w:line="360" w:lineRule="auto"/>
        <w:ind w:left="30"/>
        <w:rPr>
          <w:rFonts w:ascii="Myriad Pro" w:hAnsi="Myriad Pro"/>
        </w:rPr>
      </w:pPr>
    </w:p>
    <w:p w:rsidR="00BB77C1" w:rsidRDefault="00BB77C1" w:rsidP="00BB77C1">
      <w:pPr>
        <w:pStyle w:val="Default"/>
        <w:spacing w:line="360" w:lineRule="auto"/>
        <w:ind w:left="30"/>
        <w:rPr>
          <w:rFonts w:ascii="Myriad Pro" w:hAnsi="Myriad Pro"/>
        </w:rPr>
      </w:pPr>
    </w:p>
    <w:p w:rsidR="00BB77C1" w:rsidRDefault="00BB77C1" w:rsidP="00BB77C1">
      <w:pPr>
        <w:pStyle w:val="Default"/>
        <w:spacing w:line="360" w:lineRule="auto"/>
        <w:ind w:left="30"/>
        <w:rPr>
          <w:rFonts w:ascii="Myriad Pro" w:hAnsi="Myriad Pro"/>
        </w:rPr>
      </w:pPr>
    </w:p>
    <w:p w:rsidR="00BB77C1" w:rsidRDefault="00BB77C1" w:rsidP="00BB77C1">
      <w:pPr>
        <w:pStyle w:val="Default"/>
        <w:spacing w:line="360" w:lineRule="auto"/>
        <w:ind w:left="30"/>
        <w:rPr>
          <w:rFonts w:ascii="Myriad Pro" w:hAnsi="Myriad Pro"/>
        </w:rPr>
      </w:pPr>
    </w:p>
    <w:p w:rsidR="00C23F0F" w:rsidRDefault="00C23F0F" w:rsidP="00BB77C1">
      <w:pPr>
        <w:pStyle w:val="Default"/>
        <w:spacing w:line="360" w:lineRule="auto"/>
        <w:ind w:left="30"/>
        <w:rPr>
          <w:rFonts w:ascii="Myriad Pro" w:hAnsi="Myriad Pro"/>
        </w:rPr>
      </w:pPr>
      <w:r w:rsidRPr="00C23F0F">
        <w:rPr>
          <w:rFonts w:ascii="Myriad Pro" w:hAnsi="Myriad Pro"/>
        </w:rPr>
        <w:t xml:space="preserve">With effect from April 2012, the Government changed the law so that unfair dismissal claims will usually be heard by a Judge sitting alone. </w:t>
      </w:r>
    </w:p>
    <w:p w:rsidR="00BB77C1" w:rsidRPr="00C23F0F" w:rsidRDefault="00BB77C1" w:rsidP="00BB77C1">
      <w:pPr>
        <w:pStyle w:val="Default"/>
        <w:spacing w:line="360" w:lineRule="auto"/>
        <w:ind w:left="30"/>
        <w:rPr>
          <w:rFonts w:ascii="Myriad Pro" w:hAnsi="Myriad Pro"/>
        </w:rPr>
      </w:pPr>
    </w:p>
    <w:p w:rsidR="00C23F0F" w:rsidRDefault="00C23F0F" w:rsidP="00C23F0F">
      <w:pPr>
        <w:pStyle w:val="Default"/>
        <w:spacing w:line="360" w:lineRule="auto"/>
        <w:rPr>
          <w:rFonts w:ascii="Myriad Pro" w:hAnsi="Myriad Pro"/>
        </w:rPr>
      </w:pPr>
      <w:r w:rsidRPr="00C23F0F">
        <w:rPr>
          <w:rFonts w:ascii="Myriad Pro" w:hAnsi="Myriad Pro"/>
        </w:rPr>
        <w:t xml:space="preserve">Another body of relevance to employment law is the </w:t>
      </w:r>
      <w:r w:rsidRPr="00C23F0F">
        <w:rPr>
          <w:rFonts w:ascii="Myriad Pro" w:hAnsi="Myriad Pro"/>
          <w:b/>
          <w:bCs/>
        </w:rPr>
        <w:t xml:space="preserve">Central Arbitration Committee </w:t>
      </w:r>
      <w:r w:rsidRPr="00C23F0F">
        <w:rPr>
          <w:rFonts w:ascii="Myriad Pro" w:hAnsi="Myriad Pro"/>
        </w:rPr>
        <w:t xml:space="preserve">(CAC). One of its primary functions is to decide upon applications for statutory recognition for collective bargaining purposes from trade unions. Appeals from the CAC follow the same process as for ETs, as set out below. </w:t>
      </w:r>
    </w:p>
    <w:p w:rsidR="00BB77C1" w:rsidRDefault="00BB77C1" w:rsidP="00C23F0F">
      <w:pPr>
        <w:pStyle w:val="Default"/>
        <w:spacing w:line="360" w:lineRule="auto"/>
        <w:rPr>
          <w:rFonts w:ascii="Myriad Pro" w:hAnsi="Myriad Pro"/>
        </w:rPr>
      </w:pPr>
    </w:p>
    <w:p w:rsidR="00BB77C1" w:rsidRDefault="00BB77C1" w:rsidP="00C23F0F">
      <w:pPr>
        <w:pStyle w:val="Default"/>
        <w:spacing w:line="360" w:lineRule="auto"/>
        <w:rPr>
          <w:rFonts w:ascii="Myriad Pro" w:hAnsi="Myriad Pro"/>
          <w:b/>
          <w:u w:val="single"/>
        </w:rPr>
      </w:pPr>
      <w:r w:rsidRPr="00BB77C1">
        <w:rPr>
          <w:rFonts w:ascii="Myriad Pro" w:hAnsi="Myriad Pro"/>
          <w:b/>
          <w:u w:val="single"/>
        </w:rPr>
        <w:t>APPEALS</w:t>
      </w:r>
    </w:p>
    <w:p w:rsidR="00BB77C1" w:rsidRPr="00BB77C1" w:rsidRDefault="00BB77C1" w:rsidP="00C23F0F">
      <w:pPr>
        <w:pStyle w:val="Default"/>
        <w:spacing w:line="360" w:lineRule="auto"/>
        <w:rPr>
          <w:rFonts w:ascii="Myriad Pro" w:hAnsi="Myriad Pro"/>
          <w:b/>
          <w:u w:val="single"/>
        </w:rPr>
      </w:pPr>
    </w:p>
    <w:p w:rsidR="00BB77C1" w:rsidRDefault="00C23F0F" w:rsidP="00C23F0F">
      <w:pPr>
        <w:pStyle w:val="Default"/>
        <w:spacing w:line="360" w:lineRule="auto"/>
        <w:rPr>
          <w:rFonts w:ascii="Myriad Pro" w:hAnsi="Myriad Pro"/>
        </w:rPr>
      </w:pPr>
      <w:r w:rsidRPr="00C23F0F">
        <w:rPr>
          <w:rFonts w:ascii="Myriad Pro" w:hAnsi="Myriad Pro"/>
        </w:rPr>
        <w:t xml:space="preserve">Appeals from ETs lie to the </w:t>
      </w:r>
      <w:r w:rsidRPr="00C23F0F">
        <w:rPr>
          <w:rFonts w:ascii="Myriad Pro" w:hAnsi="Myriad Pro"/>
          <w:b/>
          <w:bCs/>
        </w:rPr>
        <w:t xml:space="preserve">Employment Appeal Tribunal </w:t>
      </w:r>
      <w:r w:rsidRPr="00C23F0F">
        <w:rPr>
          <w:rFonts w:ascii="Myriad Pro" w:hAnsi="Myriad Pro"/>
        </w:rPr>
        <w:t xml:space="preserve">(EAT). Parties cannot appeal just because they disagree with the ETs decision. </w:t>
      </w:r>
    </w:p>
    <w:p w:rsidR="00BB77C1" w:rsidRDefault="00BB77C1" w:rsidP="00C23F0F">
      <w:pPr>
        <w:pStyle w:val="Default"/>
        <w:spacing w:line="360" w:lineRule="auto"/>
        <w:rPr>
          <w:rFonts w:ascii="Myriad Pro" w:hAnsi="Myriad Pro"/>
        </w:rPr>
      </w:pPr>
    </w:p>
    <w:p w:rsidR="00C23F0F" w:rsidRDefault="00C23F0F" w:rsidP="00C23F0F">
      <w:pPr>
        <w:pStyle w:val="Default"/>
        <w:spacing w:line="360" w:lineRule="auto"/>
        <w:rPr>
          <w:rFonts w:ascii="Myriad Pro" w:hAnsi="Myriad Pro"/>
        </w:rPr>
      </w:pPr>
      <w:r w:rsidRPr="00C23F0F">
        <w:rPr>
          <w:rFonts w:ascii="Myriad Pro" w:hAnsi="Myriad Pro"/>
        </w:rPr>
        <w:t xml:space="preserve">Section 21 of the Employment Tribunals Act 1996 provides that appeals may only be made to the EAT on a question of law. This will include situations where the ET has misapplied or misunderstood the law; failed to give adequate reasons; breached rules of natural justice; delayed excessively in reaching its decision; or has reached a perverse decision i.e. one that no reasonable ET could have reached. </w:t>
      </w:r>
    </w:p>
    <w:p w:rsidR="00BB77C1" w:rsidRPr="00C23F0F" w:rsidRDefault="00BB77C1" w:rsidP="00C23F0F">
      <w:pPr>
        <w:pStyle w:val="Default"/>
        <w:spacing w:line="360" w:lineRule="auto"/>
        <w:rPr>
          <w:rFonts w:ascii="Myriad Pro" w:hAnsi="Myriad Pro"/>
        </w:rPr>
      </w:pPr>
    </w:p>
    <w:p w:rsidR="00BB77C1" w:rsidRDefault="00C23F0F" w:rsidP="00C23F0F">
      <w:pPr>
        <w:pStyle w:val="Default"/>
        <w:spacing w:line="360" w:lineRule="auto"/>
        <w:rPr>
          <w:rFonts w:ascii="Myriad Pro" w:hAnsi="Myriad Pro"/>
        </w:rPr>
      </w:pPr>
      <w:r w:rsidRPr="00C23F0F">
        <w:rPr>
          <w:rFonts w:ascii="Myriad Pro" w:hAnsi="Myriad Pro"/>
        </w:rPr>
        <w:t xml:space="preserve">An appeal must be made within 42 days of the order or decision being appealed against. </w:t>
      </w:r>
    </w:p>
    <w:p w:rsidR="00BB77C1" w:rsidRDefault="00BB77C1" w:rsidP="00C23F0F">
      <w:pPr>
        <w:pStyle w:val="Default"/>
        <w:spacing w:line="360" w:lineRule="auto"/>
        <w:rPr>
          <w:rFonts w:ascii="Myriad Pro" w:hAnsi="Myriad Pro"/>
        </w:rPr>
      </w:pPr>
    </w:p>
    <w:p w:rsidR="00BB77C1" w:rsidRDefault="00C23F0F" w:rsidP="00C23F0F">
      <w:pPr>
        <w:pStyle w:val="Default"/>
        <w:spacing w:line="360" w:lineRule="auto"/>
        <w:rPr>
          <w:rFonts w:ascii="Myriad Pro" w:hAnsi="Myriad Pro"/>
        </w:rPr>
      </w:pPr>
      <w:r w:rsidRPr="00C23F0F">
        <w:rPr>
          <w:rFonts w:ascii="Myriad Pro" w:hAnsi="Myriad Pro"/>
        </w:rPr>
        <w:t xml:space="preserve">The EAT (England and Wales) sits in London. Its Scottish counterpart sits in Edinburgh. Like the ET, it consists of one legally qualified judge (usually a High Court judge) and two lay members. </w:t>
      </w:r>
    </w:p>
    <w:p w:rsidR="00BB77C1" w:rsidRDefault="00BB77C1" w:rsidP="00C23F0F">
      <w:pPr>
        <w:pStyle w:val="Default"/>
        <w:spacing w:line="360" w:lineRule="auto"/>
        <w:rPr>
          <w:rFonts w:ascii="Myriad Pro" w:hAnsi="Myriad Pro"/>
        </w:rPr>
      </w:pPr>
    </w:p>
    <w:p w:rsidR="00C23F0F" w:rsidRDefault="00C23F0F" w:rsidP="00C23F0F">
      <w:pPr>
        <w:pStyle w:val="Default"/>
        <w:spacing w:line="360" w:lineRule="auto"/>
        <w:rPr>
          <w:rFonts w:ascii="Myriad Pro" w:hAnsi="Myriad Pro"/>
        </w:rPr>
      </w:pPr>
      <w:r w:rsidRPr="00C23F0F">
        <w:rPr>
          <w:rFonts w:ascii="Myriad Pro" w:hAnsi="Myriad Pro"/>
        </w:rPr>
        <w:lastRenderedPageBreak/>
        <w:t xml:space="preserve">The EAT is obliged to follow judgments of the </w:t>
      </w:r>
      <w:r w:rsidRPr="00BB77C1">
        <w:rPr>
          <w:rFonts w:ascii="Myriad Pro" w:hAnsi="Myriad Pro"/>
          <w:b/>
        </w:rPr>
        <w:t>Court of Appeal</w:t>
      </w:r>
      <w:r w:rsidRPr="00C23F0F">
        <w:rPr>
          <w:rFonts w:ascii="Myriad Pro" w:hAnsi="Myriad Pro"/>
        </w:rPr>
        <w:t xml:space="preserve"> and the </w:t>
      </w:r>
      <w:r w:rsidRPr="00BB77C1">
        <w:rPr>
          <w:rFonts w:ascii="Myriad Pro" w:hAnsi="Myriad Pro"/>
          <w:b/>
        </w:rPr>
        <w:t>UK Supreme Court</w:t>
      </w:r>
      <w:r w:rsidRPr="00C23F0F">
        <w:rPr>
          <w:rFonts w:ascii="Myriad Pro" w:hAnsi="Myriad Pro"/>
        </w:rPr>
        <w:t xml:space="preserve">. The EAT is obliged to follow previous EAT decisions </w:t>
      </w:r>
      <w:r w:rsidRPr="00BB77C1">
        <w:rPr>
          <w:rFonts w:ascii="Myriad Pro" w:hAnsi="Myriad Pro"/>
          <w:b/>
        </w:rPr>
        <w:t>unless</w:t>
      </w:r>
      <w:r w:rsidRPr="00C23F0F">
        <w:rPr>
          <w:rFonts w:ascii="Myriad Pro" w:hAnsi="Myriad Pro"/>
        </w:rPr>
        <w:t xml:space="preserve"> there are exceptional circumstances or previous inconsistent decisions. </w:t>
      </w:r>
    </w:p>
    <w:p w:rsidR="00BB77C1" w:rsidRPr="00C23F0F" w:rsidRDefault="00BB77C1" w:rsidP="00C23F0F">
      <w:pPr>
        <w:pStyle w:val="Default"/>
        <w:spacing w:line="360" w:lineRule="auto"/>
        <w:rPr>
          <w:rFonts w:ascii="Myriad Pro" w:hAnsi="Myriad Pro"/>
        </w:rPr>
      </w:pPr>
    </w:p>
    <w:p w:rsidR="0086444B" w:rsidRDefault="00C23F0F" w:rsidP="00C23F0F">
      <w:pPr>
        <w:pStyle w:val="Default"/>
        <w:spacing w:line="360" w:lineRule="auto"/>
        <w:rPr>
          <w:rFonts w:ascii="Myriad Pro" w:hAnsi="Myriad Pro"/>
        </w:rPr>
      </w:pPr>
      <w:r w:rsidRPr="00C23F0F">
        <w:rPr>
          <w:rFonts w:ascii="Myriad Pro" w:hAnsi="Myriad Pro"/>
        </w:rPr>
        <w:t xml:space="preserve">From the EAT, appeals lie to the </w:t>
      </w:r>
      <w:r w:rsidRPr="00C23F0F">
        <w:rPr>
          <w:rFonts w:ascii="Myriad Pro" w:hAnsi="Myriad Pro"/>
          <w:b/>
          <w:bCs/>
        </w:rPr>
        <w:t xml:space="preserve">Court of Appeal (Civil Division) </w:t>
      </w:r>
      <w:r w:rsidRPr="00C23F0F">
        <w:rPr>
          <w:rFonts w:ascii="Myriad Pro" w:hAnsi="Myriad Pro"/>
        </w:rPr>
        <w:t xml:space="preserve">in England and Wales or the Court of Session in Scotland. However, a party wishing to appeal must have </w:t>
      </w:r>
      <w:r w:rsidRPr="00BB77C1">
        <w:rPr>
          <w:rFonts w:ascii="Myriad Pro" w:hAnsi="Myriad Pro"/>
          <w:b/>
        </w:rPr>
        <w:t>leave</w:t>
      </w:r>
      <w:r w:rsidRPr="00C23F0F">
        <w:rPr>
          <w:rFonts w:ascii="Myriad Pro" w:hAnsi="Myriad Pro"/>
        </w:rPr>
        <w:t xml:space="preserve"> to appeal (i.e. permission) from either the EAT or the Court of Appeal. </w:t>
      </w:r>
    </w:p>
    <w:p w:rsidR="0086444B" w:rsidRDefault="0086444B" w:rsidP="00C23F0F">
      <w:pPr>
        <w:pStyle w:val="Default"/>
        <w:spacing w:line="360" w:lineRule="auto"/>
        <w:rPr>
          <w:rFonts w:ascii="Myriad Pro" w:hAnsi="Myriad Pro"/>
        </w:rPr>
      </w:pPr>
    </w:p>
    <w:p w:rsidR="0086444B" w:rsidRDefault="00C23F0F" w:rsidP="00C23F0F">
      <w:pPr>
        <w:pStyle w:val="Default"/>
        <w:spacing w:line="360" w:lineRule="auto"/>
        <w:rPr>
          <w:rFonts w:ascii="Myriad Pro" w:hAnsi="Myriad Pro"/>
        </w:rPr>
      </w:pPr>
      <w:r w:rsidRPr="00C23F0F">
        <w:rPr>
          <w:rFonts w:ascii="Myriad Pro" w:hAnsi="Myriad Pro"/>
        </w:rPr>
        <w:t xml:space="preserve">Again, appeals can only proceed on a question of law. </w:t>
      </w:r>
    </w:p>
    <w:p w:rsidR="0086444B" w:rsidRDefault="0086444B" w:rsidP="00C23F0F">
      <w:pPr>
        <w:pStyle w:val="Default"/>
        <w:spacing w:line="360" w:lineRule="auto"/>
        <w:rPr>
          <w:rFonts w:ascii="Myriad Pro" w:hAnsi="Myriad Pro"/>
        </w:rPr>
      </w:pPr>
    </w:p>
    <w:p w:rsidR="00C23F0F" w:rsidRDefault="00C23F0F" w:rsidP="00C23F0F">
      <w:pPr>
        <w:pStyle w:val="Default"/>
        <w:spacing w:line="360" w:lineRule="auto"/>
        <w:rPr>
          <w:rFonts w:ascii="Myriad Pro" w:hAnsi="Myriad Pro"/>
        </w:rPr>
      </w:pPr>
      <w:r w:rsidRPr="00C23F0F">
        <w:rPr>
          <w:rFonts w:ascii="Myriad Pro" w:hAnsi="Myriad Pro"/>
        </w:rPr>
        <w:t xml:space="preserve">The Court of Appeal consists of three judges known as Lord or Lady Justices of Appeal. The Court of Appeal is bound by its own previous decisions subject to some exceptions, for example, where there are two previous Court of Appeal decisions which conflict; where a previous decision has been made per incuriam (i.e. through an error – usually because some relevant legislation or previous case was not brought to the Court’s attention) or where the previous decision in question conflicts with a ruling of the European courts. </w:t>
      </w:r>
    </w:p>
    <w:p w:rsidR="0086444B" w:rsidRDefault="0086444B" w:rsidP="00C23F0F">
      <w:pPr>
        <w:pStyle w:val="Default"/>
        <w:spacing w:line="360" w:lineRule="auto"/>
        <w:rPr>
          <w:rFonts w:ascii="Myriad Pro" w:hAnsi="Myriad Pro"/>
        </w:rPr>
      </w:pPr>
    </w:p>
    <w:p w:rsidR="0086444B" w:rsidRPr="00C23F0F" w:rsidRDefault="0086444B" w:rsidP="00C23F0F">
      <w:pPr>
        <w:pStyle w:val="Default"/>
        <w:spacing w:line="360" w:lineRule="auto"/>
        <w:rPr>
          <w:rFonts w:ascii="Myriad Pro" w:hAnsi="Myriad Pro"/>
        </w:rPr>
      </w:pPr>
    </w:p>
    <w:p w:rsidR="00C23F0F" w:rsidRPr="00C23F0F" w:rsidRDefault="00C23F0F" w:rsidP="003666F1">
      <w:pPr>
        <w:pStyle w:val="Default"/>
        <w:spacing w:line="360" w:lineRule="auto"/>
        <w:rPr>
          <w:rFonts w:ascii="Myriad Pro" w:hAnsi="Myriad Pro"/>
        </w:rPr>
      </w:pPr>
      <w:r w:rsidRPr="00C23F0F">
        <w:rPr>
          <w:rFonts w:ascii="Myriad Pro" w:hAnsi="Myriad Pro"/>
        </w:rPr>
        <w:t xml:space="preserve">Parties dissatisfied with a decision of the Court of Appeal may appeal to the </w:t>
      </w:r>
      <w:r w:rsidRPr="00C23F0F">
        <w:rPr>
          <w:rFonts w:ascii="Myriad Pro" w:hAnsi="Myriad Pro"/>
          <w:b/>
          <w:bCs/>
        </w:rPr>
        <w:t xml:space="preserve">UK Supreme Court </w:t>
      </w:r>
      <w:r w:rsidRPr="00C23F0F">
        <w:rPr>
          <w:rFonts w:ascii="Myriad Pro" w:hAnsi="Myriad Pro"/>
        </w:rPr>
        <w:t xml:space="preserve">(formerly known as the House of Lords) but in practice the cost of such action makes Supreme Court appeals relatively rare in employment law cases. Appeals must again involve a question of law and leave to appeal from either the Court of Appeal or the UK Supreme Court itself is necessary. In practice, permission is only usually granted in cases where the legal point to be addressed is of general public importance. Cases in the UK Supreme Court are heard by at least five judges. It is the final appellate court in the UK which hears appeals from the Court of Appeal in England and Wales, the Northern Ireland Court of Appeal and the Scottish Court of Session. Its members are known as Supreme Court Justices. The individual judges are known by their full title, for example, Lord Phillips of Worth Matravers; Baroness Hale of Richmond. The UK Supreme Court is not bound by its own previous decisions. </w:t>
      </w:r>
    </w:p>
    <w:p w:rsidR="0086444B" w:rsidRDefault="0086444B" w:rsidP="00C23F0F">
      <w:pPr>
        <w:pStyle w:val="Default"/>
        <w:spacing w:line="360" w:lineRule="auto"/>
        <w:rPr>
          <w:rFonts w:ascii="Myriad Pro" w:hAnsi="Myriad Pro"/>
        </w:rPr>
      </w:pPr>
    </w:p>
    <w:p w:rsidR="0086444B" w:rsidRPr="0086444B" w:rsidRDefault="0086444B" w:rsidP="00C23F0F">
      <w:pPr>
        <w:pStyle w:val="Default"/>
        <w:spacing w:line="360" w:lineRule="auto"/>
        <w:rPr>
          <w:rFonts w:ascii="Myriad Pro" w:hAnsi="Myriad Pro"/>
          <w:b/>
          <w:u w:val="single"/>
        </w:rPr>
      </w:pPr>
      <w:r w:rsidRPr="0086444B">
        <w:rPr>
          <w:rFonts w:ascii="Myriad Pro" w:hAnsi="Myriad Pro"/>
          <w:b/>
          <w:u w:val="single"/>
        </w:rPr>
        <w:t>UK LAW AND EU LAW</w:t>
      </w:r>
    </w:p>
    <w:p w:rsidR="0086444B" w:rsidRDefault="0086444B" w:rsidP="00C23F0F">
      <w:pPr>
        <w:pStyle w:val="Default"/>
        <w:spacing w:line="360" w:lineRule="auto"/>
        <w:rPr>
          <w:rFonts w:ascii="Myriad Pro" w:hAnsi="Myriad Pro"/>
        </w:rPr>
      </w:pPr>
    </w:p>
    <w:p w:rsidR="0086444B" w:rsidRDefault="00C23F0F" w:rsidP="00C23F0F">
      <w:pPr>
        <w:pStyle w:val="Default"/>
        <w:spacing w:line="360" w:lineRule="auto"/>
        <w:rPr>
          <w:rFonts w:ascii="Myriad Pro" w:hAnsi="Myriad Pro"/>
        </w:rPr>
      </w:pPr>
      <w:r w:rsidRPr="00C23F0F">
        <w:rPr>
          <w:rFonts w:ascii="Myriad Pro" w:hAnsi="Myriad Pro"/>
        </w:rPr>
        <w:t xml:space="preserve">It is an accepted principle that where EU and UK law conflict, EU law takes precedence. </w:t>
      </w:r>
    </w:p>
    <w:p w:rsidR="0086444B" w:rsidRDefault="0086444B" w:rsidP="00C23F0F">
      <w:pPr>
        <w:pStyle w:val="Default"/>
        <w:spacing w:line="360" w:lineRule="auto"/>
        <w:rPr>
          <w:rFonts w:ascii="Myriad Pro" w:hAnsi="Myriad Pro"/>
        </w:rPr>
      </w:pPr>
    </w:p>
    <w:p w:rsidR="00C23F0F" w:rsidRDefault="00C23F0F" w:rsidP="00C23F0F">
      <w:pPr>
        <w:pStyle w:val="Default"/>
        <w:spacing w:line="360" w:lineRule="auto"/>
        <w:rPr>
          <w:rFonts w:ascii="Myriad Pro" w:hAnsi="Myriad Pro"/>
        </w:rPr>
      </w:pPr>
      <w:r w:rsidRPr="00C23F0F">
        <w:rPr>
          <w:rFonts w:ascii="Myriad Pro" w:hAnsi="Myriad Pro"/>
        </w:rPr>
        <w:t xml:space="preserve">Where the outcome of a case depends on resolving a question of EU law, the answer to which is not clear, the ET, EAT or Court of Appeal may make a reference to the </w:t>
      </w:r>
      <w:r w:rsidRPr="00C23F0F">
        <w:rPr>
          <w:rFonts w:ascii="Myriad Pro" w:hAnsi="Myriad Pro"/>
          <w:b/>
          <w:bCs/>
        </w:rPr>
        <w:t xml:space="preserve">Court of Justice of the European Union </w:t>
      </w:r>
      <w:r w:rsidRPr="00C23F0F">
        <w:rPr>
          <w:rFonts w:ascii="Myriad Pro" w:hAnsi="Myriad Pro"/>
        </w:rPr>
        <w:t xml:space="preserve">(CJEU) under Article 267 of the Treaty on the Functioning of the EU. Where the court is a final appeal court (i.e. the UK Supreme Court) it must make a reference to the CJEU in such circumstances. Note that the CJEU used to be known as the European Court of Justice (ECJ). Some text books will still refer to the ECJ. </w:t>
      </w:r>
    </w:p>
    <w:p w:rsidR="003666F1" w:rsidRPr="00C23F0F" w:rsidRDefault="003666F1" w:rsidP="00C23F0F">
      <w:pPr>
        <w:pStyle w:val="Default"/>
        <w:spacing w:line="360" w:lineRule="auto"/>
        <w:rPr>
          <w:rFonts w:ascii="Myriad Pro" w:hAnsi="Myriad Pro"/>
        </w:rPr>
      </w:pPr>
    </w:p>
    <w:p w:rsidR="00C23F0F" w:rsidRDefault="00C23F0F" w:rsidP="00C23F0F">
      <w:pPr>
        <w:pStyle w:val="Default"/>
        <w:spacing w:line="360" w:lineRule="auto"/>
        <w:rPr>
          <w:rFonts w:ascii="Myriad Pro" w:hAnsi="Myriad Pro"/>
        </w:rPr>
      </w:pPr>
      <w:r w:rsidRPr="00C23F0F">
        <w:rPr>
          <w:rFonts w:ascii="Myriad Pro" w:hAnsi="Myriad Pro"/>
        </w:rPr>
        <w:t xml:space="preserve">In practice, it is rare for the ET to make a CJEU reference but not wholly unheard of. For example in </w:t>
      </w:r>
      <w:r w:rsidRPr="00C23F0F">
        <w:rPr>
          <w:rFonts w:ascii="Myriad Pro" w:hAnsi="Myriad Pro"/>
          <w:i/>
          <w:iCs/>
        </w:rPr>
        <w:t xml:space="preserve">P &amp; S </w:t>
      </w:r>
      <w:r w:rsidRPr="00C23F0F">
        <w:rPr>
          <w:rFonts w:ascii="Myriad Pro" w:hAnsi="Myriad Pro"/>
        </w:rPr>
        <w:t xml:space="preserve">v </w:t>
      </w:r>
      <w:r w:rsidRPr="00C23F0F">
        <w:rPr>
          <w:rFonts w:ascii="Myriad Pro" w:hAnsi="Myriad Pro"/>
          <w:i/>
          <w:iCs/>
        </w:rPr>
        <w:t xml:space="preserve">Cornwall County Council (1996) </w:t>
      </w:r>
      <w:r w:rsidRPr="00C23F0F">
        <w:rPr>
          <w:rFonts w:ascii="Myriad Pro" w:hAnsi="Myriad Pro"/>
        </w:rPr>
        <w:t>the ET made a reference to seek guidance on whether the EU Equal Treatment Directive outlawed discrimination on grounds of gender reassignment. In 2008 an ET made a reference to ask whether the EU Framework Directive required UK disability discrimination legislation to be interpreted so as to outlaw discrimination against those who are associated with disabled persons but are not themselves disabled (</w:t>
      </w:r>
      <w:r w:rsidRPr="00C23F0F">
        <w:rPr>
          <w:rFonts w:ascii="Myriad Pro" w:hAnsi="Myriad Pro"/>
          <w:i/>
          <w:iCs/>
        </w:rPr>
        <w:t xml:space="preserve">Attridge Law </w:t>
      </w:r>
      <w:r w:rsidRPr="00C23F0F">
        <w:rPr>
          <w:rFonts w:ascii="Myriad Pro" w:hAnsi="Myriad Pro"/>
        </w:rPr>
        <w:t xml:space="preserve">v </w:t>
      </w:r>
      <w:r w:rsidRPr="00C23F0F">
        <w:rPr>
          <w:rFonts w:ascii="Myriad Pro" w:hAnsi="Myriad Pro"/>
          <w:i/>
          <w:iCs/>
        </w:rPr>
        <w:t>Coleman (2008)</w:t>
      </w:r>
      <w:r w:rsidRPr="00C23F0F">
        <w:rPr>
          <w:rFonts w:ascii="Myriad Pro" w:hAnsi="Myriad Pro"/>
        </w:rPr>
        <w:t xml:space="preserve">). </w:t>
      </w:r>
    </w:p>
    <w:p w:rsidR="003666F1" w:rsidRPr="00C23F0F" w:rsidRDefault="003666F1" w:rsidP="00C23F0F">
      <w:pPr>
        <w:pStyle w:val="Default"/>
        <w:spacing w:line="360" w:lineRule="auto"/>
        <w:rPr>
          <w:rFonts w:ascii="Myriad Pro" w:hAnsi="Myriad Pro"/>
        </w:rPr>
      </w:pPr>
    </w:p>
    <w:p w:rsidR="00C23F0F" w:rsidRDefault="00C23F0F" w:rsidP="00C23F0F">
      <w:pPr>
        <w:pStyle w:val="Default"/>
        <w:spacing w:line="360" w:lineRule="auto"/>
        <w:rPr>
          <w:rFonts w:ascii="Myriad Pro" w:hAnsi="Myriad Pro"/>
        </w:rPr>
      </w:pPr>
      <w:r w:rsidRPr="00C23F0F">
        <w:rPr>
          <w:rFonts w:ascii="Myriad Pro" w:hAnsi="Myriad Pro"/>
        </w:rPr>
        <w:t>The UK Supreme Court made a reference to the CJEU on the issue of whether the EU Working Time Directive requires employees to accrue holiday pay during periods of sickness absence (</w:t>
      </w:r>
      <w:r w:rsidRPr="00C23F0F">
        <w:rPr>
          <w:rFonts w:ascii="Myriad Pro" w:hAnsi="Myriad Pro"/>
          <w:i/>
          <w:iCs/>
        </w:rPr>
        <w:t>Stringer v HMRC (2009)</w:t>
      </w:r>
      <w:r w:rsidRPr="00C23F0F">
        <w:rPr>
          <w:rFonts w:ascii="Myriad Pro" w:hAnsi="Myriad Pro"/>
        </w:rPr>
        <w:t xml:space="preserve">). </w:t>
      </w:r>
    </w:p>
    <w:p w:rsidR="0086444B" w:rsidRPr="00C23F0F" w:rsidRDefault="0086444B" w:rsidP="00C23F0F">
      <w:pPr>
        <w:pStyle w:val="Default"/>
        <w:spacing w:line="360" w:lineRule="auto"/>
        <w:rPr>
          <w:rFonts w:ascii="Myriad Pro" w:hAnsi="Myriad Pro"/>
        </w:rPr>
      </w:pPr>
    </w:p>
    <w:p w:rsidR="00C23F0F" w:rsidRPr="00C23F0F" w:rsidRDefault="00C23F0F" w:rsidP="00C23F0F">
      <w:pPr>
        <w:pStyle w:val="Default"/>
        <w:spacing w:line="360" w:lineRule="auto"/>
        <w:rPr>
          <w:rFonts w:ascii="Myriad Pro" w:hAnsi="Myriad Pro"/>
        </w:rPr>
      </w:pPr>
      <w:r w:rsidRPr="00C23F0F">
        <w:rPr>
          <w:rFonts w:ascii="Myriad Pro" w:hAnsi="Myriad Pro"/>
        </w:rPr>
        <w:t xml:space="preserve">Obviously, no reference to the CJEU can be made where the outcome of a case does not depend on resolving a question of EU law. </w:t>
      </w:r>
    </w:p>
    <w:p w:rsidR="00C23F0F" w:rsidRDefault="00C23F0F" w:rsidP="00C23F0F">
      <w:pPr>
        <w:pStyle w:val="Default"/>
        <w:spacing w:line="360" w:lineRule="auto"/>
        <w:rPr>
          <w:rFonts w:ascii="Myriad Pro" w:hAnsi="Myriad Pro"/>
        </w:rPr>
      </w:pPr>
      <w:r w:rsidRPr="00C23F0F">
        <w:rPr>
          <w:rFonts w:ascii="Myriad Pro" w:hAnsi="Myriad Pro"/>
        </w:rPr>
        <w:t xml:space="preserve">The CJEU consists of fifteen judges. It is based in Luxembourg. Its decisions will be preceded by an opinion from the Court’s Advocate General (AG). The AG assists the Court by providing an opinion on the way that he or she would decide the case. The </w:t>
      </w:r>
      <w:r w:rsidRPr="00C23F0F">
        <w:rPr>
          <w:rFonts w:ascii="Myriad Pro" w:hAnsi="Myriad Pro"/>
        </w:rPr>
        <w:lastRenderedPageBreak/>
        <w:t xml:space="preserve">AG’s opinion is not binding on the CJEU. The CJEU is not bound by its own previous decisions. </w:t>
      </w:r>
    </w:p>
    <w:p w:rsidR="0086444B" w:rsidRPr="00C23F0F" w:rsidRDefault="0086444B" w:rsidP="00C23F0F">
      <w:pPr>
        <w:pStyle w:val="Default"/>
        <w:spacing w:line="360" w:lineRule="auto"/>
        <w:rPr>
          <w:rFonts w:ascii="Myriad Pro" w:hAnsi="Myriad Pro"/>
        </w:rPr>
      </w:pPr>
    </w:p>
    <w:p w:rsidR="0086444B" w:rsidRDefault="00C23F0F" w:rsidP="0086444B">
      <w:pPr>
        <w:pStyle w:val="Default"/>
        <w:spacing w:line="360" w:lineRule="auto"/>
        <w:rPr>
          <w:rFonts w:ascii="Myriad Pro" w:hAnsi="Myriad Pro"/>
        </w:rPr>
      </w:pPr>
      <w:r w:rsidRPr="00C23F0F">
        <w:rPr>
          <w:rFonts w:ascii="Myriad Pro" w:hAnsi="Myriad Pro"/>
        </w:rPr>
        <w:t xml:space="preserve">Where a case has been started in the County Court or High Court, appeals lie to the Court of Appeal and UK Supreme Court. Courts can make a reference to the CJEU where EU law is involved. </w:t>
      </w:r>
    </w:p>
    <w:p w:rsidR="0086444B" w:rsidRDefault="0086444B" w:rsidP="0086444B">
      <w:pPr>
        <w:pStyle w:val="Default"/>
        <w:spacing w:line="360" w:lineRule="auto"/>
        <w:rPr>
          <w:rFonts w:ascii="Myriad Pro" w:hAnsi="Myriad Pro"/>
        </w:rPr>
      </w:pPr>
    </w:p>
    <w:p w:rsidR="0086444B" w:rsidRDefault="00C23F0F" w:rsidP="0086444B">
      <w:pPr>
        <w:pStyle w:val="Default"/>
        <w:spacing w:line="360" w:lineRule="auto"/>
      </w:pPr>
      <w:r w:rsidRPr="0086444B">
        <w:t xml:space="preserve">Where a party complains that his or her rights under the European Convention of Human Rights (implemented in the UK by the Human Rights Act 1998) have been infringed then he or she may petition the </w:t>
      </w:r>
      <w:r w:rsidRPr="0086444B">
        <w:rPr>
          <w:b/>
          <w:bCs/>
        </w:rPr>
        <w:t xml:space="preserve">European Court of Human Rights </w:t>
      </w:r>
      <w:r w:rsidRPr="0086444B">
        <w:t xml:space="preserve">(ECtHR) in Strasbourg but only after exhausting all domestic remedies in the UK court process. </w:t>
      </w:r>
    </w:p>
    <w:p w:rsidR="0086444B" w:rsidRDefault="0086444B" w:rsidP="0086444B">
      <w:pPr>
        <w:pStyle w:val="Default"/>
        <w:spacing w:line="360" w:lineRule="auto"/>
      </w:pPr>
    </w:p>
    <w:p w:rsidR="00C23F0F" w:rsidRDefault="00C23F0F" w:rsidP="0086444B">
      <w:pPr>
        <w:pStyle w:val="Default"/>
        <w:spacing w:line="360" w:lineRule="auto"/>
      </w:pPr>
      <w:r w:rsidRPr="0086444B">
        <w:t xml:space="preserve">Do not confuse the ECtHR with the CJEU. They are two entirely different courts. The CJEU is the court of the European Union. The ECtHR was established in 1959 by the Council of Europe to police the Human Rights Convention whose signatory countries include but also extend beyond the EU e.g. Turkey. The media (whether accidentally or deliberately) often confuse the two. Cases can be brought in the ECtHR where it is alleged that a signatory has breached a Convention right and only after the domestic appeals process has been exhausted (i.e. the Claimant has lost his or her case in the UK Supreme Court). We will look at examples later in the course in the context of privacy rights at work. </w:t>
      </w:r>
    </w:p>
    <w:p w:rsidR="0086444B" w:rsidRPr="0086444B" w:rsidRDefault="0086444B" w:rsidP="0086444B">
      <w:pPr>
        <w:pStyle w:val="Default"/>
        <w:spacing w:line="360" w:lineRule="auto"/>
      </w:pPr>
    </w:p>
    <w:p w:rsidR="0086444B" w:rsidRPr="003666F1" w:rsidRDefault="0086444B" w:rsidP="00C23F0F">
      <w:pPr>
        <w:pStyle w:val="Default"/>
        <w:rPr>
          <w:rFonts w:ascii="Myriad Pro" w:hAnsi="Myriad Pro"/>
          <w:b/>
          <w:u w:val="single"/>
        </w:rPr>
      </w:pPr>
      <w:r w:rsidRPr="003666F1">
        <w:rPr>
          <w:rFonts w:ascii="Myriad Pro" w:hAnsi="Myriad Pro"/>
          <w:b/>
          <w:u w:val="single"/>
        </w:rPr>
        <w:t>BREXIT &amp; EMPLOYMENT LAW: HOUSE OF COMMONS BRIEFING</w:t>
      </w:r>
    </w:p>
    <w:p w:rsidR="0086444B" w:rsidRPr="003666F1" w:rsidRDefault="0086444B" w:rsidP="00C23F0F">
      <w:pPr>
        <w:pStyle w:val="Default"/>
        <w:rPr>
          <w:rFonts w:ascii="Myriad Pro" w:hAnsi="Myriad Pro"/>
          <w:b/>
          <w:u w:val="single"/>
        </w:rPr>
      </w:pPr>
    </w:p>
    <w:p w:rsidR="0086444B" w:rsidRPr="003666F1" w:rsidRDefault="0086444B" w:rsidP="00C23F0F">
      <w:pPr>
        <w:pStyle w:val="Default"/>
        <w:rPr>
          <w:b/>
          <w:u w:val="single"/>
        </w:rPr>
      </w:pPr>
    </w:p>
    <w:p w:rsidR="0086444B" w:rsidRPr="003666F1" w:rsidRDefault="00F67DBF" w:rsidP="00C23F0F">
      <w:pPr>
        <w:pStyle w:val="Default"/>
      </w:pPr>
      <w:r w:rsidRPr="003666F1">
        <w:t xml:space="preserve">The House of Commons has recenetly produced a short briefing paper </w:t>
      </w:r>
      <w:r w:rsidRPr="003666F1">
        <w:rPr>
          <w:i/>
        </w:rPr>
        <w:t>(Number CBP 7732, 12 October 2016)</w:t>
      </w:r>
      <w:r w:rsidRPr="003666F1">
        <w:t xml:space="preserve"> on the current position of the interface between UK &amp; EU law and the Government’s position moving forward.</w:t>
      </w:r>
    </w:p>
    <w:p w:rsidR="00F67DBF" w:rsidRPr="003666F1" w:rsidRDefault="00F67DBF" w:rsidP="00C23F0F">
      <w:pPr>
        <w:pStyle w:val="Default"/>
      </w:pPr>
    </w:p>
    <w:p w:rsidR="00F67DBF" w:rsidRPr="003666F1" w:rsidRDefault="00F67DBF" w:rsidP="00C23F0F">
      <w:pPr>
        <w:pStyle w:val="Default"/>
      </w:pPr>
      <w:r w:rsidRPr="003666F1">
        <w:t>The paper also deals with what it describes as the “somewhat thornier – and important – question concerning the status of the European Court of Justice (ECJ) case law.</w:t>
      </w:r>
    </w:p>
    <w:p w:rsidR="00F67DBF" w:rsidRPr="003666F1" w:rsidRDefault="00F67DBF" w:rsidP="00C23F0F">
      <w:pPr>
        <w:pStyle w:val="Default"/>
      </w:pPr>
    </w:p>
    <w:p w:rsidR="00F67DBF" w:rsidRPr="003666F1" w:rsidRDefault="00F67DBF" w:rsidP="00C23F0F">
      <w:pPr>
        <w:pStyle w:val="Default"/>
      </w:pPr>
      <w:r w:rsidRPr="003666F1">
        <w:lastRenderedPageBreak/>
        <w:t>A large amount of UK employment law has its foundations in EU law</w:t>
      </w:r>
      <w:r w:rsidR="0016691D" w:rsidRPr="003666F1">
        <w:t xml:space="preserve"> – and EU employment law where it exists in those circumstances provides a minimum standard below which our dmoestic employment law must not fall.</w:t>
      </w:r>
    </w:p>
    <w:p w:rsidR="0016691D" w:rsidRPr="003666F1" w:rsidRDefault="0016691D" w:rsidP="00C23F0F">
      <w:pPr>
        <w:pStyle w:val="Default"/>
      </w:pPr>
    </w:p>
    <w:p w:rsidR="0016691D" w:rsidRPr="003666F1" w:rsidRDefault="0016691D" w:rsidP="00C23F0F">
      <w:pPr>
        <w:pStyle w:val="Default"/>
      </w:pPr>
      <w:r w:rsidRPr="003666F1">
        <w:t>Some EU law established international principles which already existed at our domestic level, for example:</w:t>
      </w:r>
    </w:p>
    <w:p w:rsidR="0016691D" w:rsidRPr="003666F1" w:rsidRDefault="0016691D" w:rsidP="00C23F0F">
      <w:pPr>
        <w:pStyle w:val="Default"/>
      </w:pPr>
    </w:p>
    <w:p w:rsidR="0016691D" w:rsidRPr="003666F1" w:rsidRDefault="0016691D" w:rsidP="0016691D">
      <w:pPr>
        <w:pStyle w:val="Default"/>
        <w:numPr>
          <w:ilvl w:val="0"/>
          <w:numId w:val="4"/>
        </w:numPr>
      </w:pPr>
      <w:r w:rsidRPr="003666F1">
        <w:t>discrimantion rights</w:t>
      </w:r>
    </w:p>
    <w:p w:rsidR="0016691D" w:rsidRPr="003666F1" w:rsidRDefault="0016691D" w:rsidP="0016691D">
      <w:pPr>
        <w:pStyle w:val="Default"/>
        <w:numPr>
          <w:ilvl w:val="0"/>
          <w:numId w:val="4"/>
        </w:numPr>
      </w:pPr>
      <w:r w:rsidRPr="003666F1">
        <w:t>matenity rights</w:t>
      </w:r>
    </w:p>
    <w:p w:rsidR="0016691D" w:rsidRPr="003666F1" w:rsidRDefault="0016691D" w:rsidP="0016691D">
      <w:pPr>
        <w:pStyle w:val="Default"/>
      </w:pPr>
    </w:p>
    <w:p w:rsidR="0016691D" w:rsidRPr="003666F1" w:rsidRDefault="0016691D" w:rsidP="0016691D">
      <w:pPr>
        <w:pStyle w:val="Default"/>
      </w:pPr>
      <w:r w:rsidRPr="003666F1">
        <w:t>In other scenarios EU law led to new catgories of rights being introduced to doemstic law – in order that the UK could comply with EU obligations, for example:</w:t>
      </w:r>
    </w:p>
    <w:p w:rsidR="0016691D" w:rsidRPr="003666F1" w:rsidRDefault="0016691D" w:rsidP="0016691D">
      <w:pPr>
        <w:pStyle w:val="Default"/>
      </w:pPr>
    </w:p>
    <w:p w:rsidR="0016691D" w:rsidRPr="003666F1" w:rsidRDefault="0016691D" w:rsidP="0016691D">
      <w:pPr>
        <w:pStyle w:val="Default"/>
        <w:numPr>
          <w:ilvl w:val="0"/>
          <w:numId w:val="5"/>
        </w:numPr>
      </w:pPr>
      <w:r w:rsidRPr="003666F1">
        <w:t>agency workers rights</w:t>
      </w:r>
    </w:p>
    <w:p w:rsidR="0016691D" w:rsidRPr="003666F1" w:rsidRDefault="0016691D" w:rsidP="0016691D">
      <w:pPr>
        <w:pStyle w:val="Default"/>
        <w:numPr>
          <w:ilvl w:val="0"/>
          <w:numId w:val="5"/>
        </w:numPr>
      </w:pPr>
      <w:r w:rsidRPr="003666F1">
        <w:t>limitations on working time</w:t>
      </w:r>
    </w:p>
    <w:p w:rsidR="0016691D" w:rsidRPr="003666F1" w:rsidRDefault="0016691D" w:rsidP="0016691D">
      <w:pPr>
        <w:pStyle w:val="Default"/>
        <w:numPr>
          <w:ilvl w:val="0"/>
          <w:numId w:val="5"/>
        </w:numPr>
      </w:pPr>
      <w:r w:rsidRPr="003666F1">
        <w:t>regulations relating to transfers of undertakings</w:t>
      </w:r>
    </w:p>
    <w:p w:rsidR="0016691D" w:rsidRPr="003666F1" w:rsidRDefault="0016691D" w:rsidP="0016691D">
      <w:pPr>
        <w:pStyle w:val="Default"/>
      </w:pPr>
    </w:p>
    <w:p w:rsidR="0016691D" w:rsidRPr="003666F1" w:rsidRDefault="0016691D" w:rsidP="0016691D">
      <w:pPr>
        <w:pStyle w:val="Default"/>
      </w:pPr>
      <w:r w:rsidRPr="003666F1">
        <w:t>Withdrawal from the EU would mean that UK employment rights currently guaranteed by EU law would no longer be so guaranteed – and as such, and post Brexit, the government could seek to amend or remove any of these.</w:t>
      </w:r>
    </w:p>
    <w:p w:rsidR="0016691D" w:rsidRPr="003666F1" w:rsidRDefault="0016691D" w:rsidP="0016691D">
      <w:pPr>
        <w:pStyle w:val="Default"/>
      </w:pPr>
    </w:p>
    <w:p w:rsidR="0016691D" w:rsidRPr="003666F1" w:rsidRDefault="0016691D" w:rsidP="0016691D">
      <w:pPr>
        <w:pStyle w:val="Default"/>
      </w:pPr>
      <w:r w:rsidRPr="003666F1">
        <w:t>To understand how these changes may be effected we need to consider the source of the right in question:</w:t>
      </w:r>
    </w:p>
    <w:p w:rsidR="0016691D" w:rsidRPr="003666F1" w:rsidRDefault="0016691D" w:rsidP="0016691D">
      <w:pPr>
        <w:pStyle w:val="Default"/>
      </w:pPr>
    </w:p>
    <w:p w:rsidR="0016691D" w:rsidRPr="003666F1" w:rsidRDefault="0016691D" w:rsidP="0016691D">
      <w:pPr>
        <w:pStyle w:val="Default"/>
        <w:numPr>
          <w:ilvl w:val="0"/>
          <w:numId w:val="6"/>
        </w:numPr>
      </w:pPr>
      <w:r w:rsidRPr="003666F1">
        <w:t>rights that are enshrined in primary legisaltion would only be alterable by primary legilsation – e.g. equality rights under Equality Act 2010</w:t>
      </w:r>
    </w:p>
    <w:p w:rsidR="0016691D" w:rsidRPr="003666F1" w:rsidRDefault="0016691D" w:rsidP="0016691D">
      <w:pPr>
        <w:pStyle w:val="Default"/>
        <w:numPr>
          <w:ilvl w:val="0"/>
          <w:numId w:val="6"/>
        </w:numPr>
      </w:pPr>
      <w:r w:rsidRPr="003666F1">
        <w:t>rights located in secondary legislation could be revoked by secondary legislation – e.g. agency worker and working time rights</w:t>
      </w:r>
    </w:p>
    <w:p w:rsidR="0016691D" w:rsidRPr="003666F1" w:rsidRDefault="00692CF0" w:rsidP="0016691D">
      <w:pPr>
        <w:pStyle w:val="Default"/>
        <w:numPr>
          <w:ilvl w:val="0"/>
          <w:numId w:val="6"/>
        </w:numPr>
      </w:pPr>
      <w:r w:rsidRPr="003666F1">
        <w:t xml:space="preserve">some EU rights have </w:t>
      </w:r>
      <w:r w:rsidRPr="003666F1">
        <w:rPr>
          <w:i/>
        </w:rPr>
        <w:t>direct effect –</w:t>
      </w:r>
      <w:r w:rsidRPr="003666F1">
        <w:t xml:space="preserve"> which means that an individual can rely directly on the EU law – e.g. the right to equal pay – these rights would automatically cease to apply upon exit from the EU – unless for example the Government introduced new domestic legislation to save them.</w:t>
      </w:r>
    </w:p>
    <w:p w:rsidR="00692CF0" w:rsidRPr="003666F1" w:rsidRDefault="00692CF0" w:rsidP="00692CF0">
      <w:pPr>
        <w:pStyle w:val="Default"/>
      </w:pPr>
    </w:p>
    <w:p w:rsidR="00692CF0" w:rsidRPr="003666F1" w:rsidRDefault="00692CF0" w:rsidP="00692CF0">
      <w:pPr>
        <w:pStyle w:val="Default"/>
      </w:pPr>
      <w:r w:rsidRPr="003666F1">
        <w:t>The Commns paper suggests that the main point to note is that EU derived employment law which are enshirned in priomary legislation would be relatively “...insulated...” from the effects of EU exit.</w:t>
      </w:r>
    </w:p>
    <w:p w:rsidR="00692CF0" w:rsidRPr="003666F1" w:rsidRDefault="00692CF0" w:rsidP="00692CF0">
      <w:pPr>
        <w:pStyle w:val="Default"/>
      </w:pPr>
    </w:p>
    <w:p w:rsidR="00692CF0" w:rsidRPr="003666F1" w:rsidRDefault="00692CF0" w:rsidP="00692CF0">
      <w:pPr>
        <w:pStyle w:val="Default"/>
      </w:pPr>
      <w:r w:rsidRPr="003666F1">
        <w:t xml:space="preserve">As far as employment law rights in secondary legislation are concerned, the impact of Brexit would differ depnding on how the legislation was made – if it was implemented via the </w:t>
      </w:r>
      <w:r w:rsidRPr="003666F1">
        <w:rPr>
          <w:i/>
        </w:rPr>
        <w:t xml:space="preserve">European Communties Act 1972 </w:t>
      </w:r>
      <w:r w:rsidRPr="003666F1">
        <w:t>its likely that this legislation would need to be saved before we leave the EU – if it wasnt then it wouldnt have effect going forward.</w:t>
      </w:r>
    </w:p>
    <w:p w:rsidR="00692CF0" w:rsidRPr="003666F1" w:rsidRDefault="00692CF0" w:rsidP="00692CF0">
      <w:pPr>
        <w:pStyle w:val="Default"/>
      </w:pPr>
    </w:p>
    <w:p w:rsidR="00692CF0" w:rsidRPr="003666F1" w:rsidRDefault="00692CF0" w:rsidP="00692CF0">
      <w:pPr>
        <w:pStyle w:val="Default"/>
        <w:rPr>
          <w:i/>
          <w:u w:val="single"/>
        </w:rPr>
      </w:pPr>
      <w:r w:rsidRPr="003666F1">
        <w:rPr>
          <w:i/>
          <w:u w:val="single"/>
        </w:rPr>
        <w:t>EU Case Law</w:t>
      </w:r>
    </w:p>
    <w:p w:rsidR="00692CF0" w:rsidRPr="003666F1" w:rsidRDefault="00692CF0" w:rsidP="00692CF0">
      <w:pPr>
        <w:pStyle w:val="Default"/>
        <w:rPr>
          <w:i/>
          <w:u w:val="single"/>
        </w:rPr>
      </w:pPr>
    </w:p>
    <w:p w:rsidR="00692CF0" w:rsidRPr="003666F1" w:rsidRDefault="004125E4" w:rsidP="00692CF0">
      <w:pPr>
        <w:pStyle w:val="Default"/>
      </w:pPr>
      <w:r w:rsidRPr="003666F1">
        <w:t>There is a vast body of ECJ case law interpreting EU employment rights, which doemstic courts are bound to follow.</w:t>
      </w:r>
    </w:p>
    <w:p w:rsidR="004125E4" w:rsidRPr="003666F1" w:rsidRDefault="004125E4" w:rsidP="00692CF0">
      <w:pPr>
        <w:pStyle w:val="Default"/>
      </w:pPr>
    </w:p>
    <w:p w:rsidR="004125E4" w:rsidRPr="003666F1" w:rsidRDefault="004125E4" w:rsidP="00692CF0">
      <w:pPr>
        <w:pStyle w:val="Default"/>
      </w:pPr>
      <w:r w:rsidRPr="003666F1">
        <w:lastRenderedPageBreak/>
        <w:t>Post Brexit, UK courts would no lnger be bound to follow exisiting and future ECJ decisions – they may regard them as of persuasive effect only.</w:t>
      </w:r>
    </w:p>
    <w:p w:rsidR="004125E4" w:rsidRPr="003666F1" w:rsidRDefault="004125E4" w:rsidP="00692CF0">
      <w:pPr>
        <w:pStyle w:val="Default"/>
      </w:pPr>
    </w:p>
    <w:p w:rsidR="004125E4" w:rsidRPr="003666F1" w:rsidRDefault="004125E4" w:rsidP="00692CF0">
      <w:pPr>
        <w:pStyle w:val="Default"/>
      </w:pPr>
      <w:r w:rsidRPr="003666F1">
        <w:t>The Commns paper points out that this could lead to the re-litigation of controversial decisions – e.g. recent rulings on the calculation of holiday pay.</w:t>
      </w:r>
    </w:p>
    <w:p w:rsidR="004125E4" w:rsidRPr="003666F1" w:rsidRDefault="004125E4" w:rsidP="00692CF0">
      <w:pPr>
        <w:pStyle w:val="Default"/>
      </w:pPr>
    </w:p>
    <w:p w:rsidR="004125E4" w:rsidRPr="003666F1" w:rsidRDefault="004125E4" w:rsidP="00692CF0">
      <w:pPr>
        <w:pStyle w:val="Default"/>
      </w:pPr>
      <w:r w:rsidRPr="003666F1">
        <w:t>Further</w:t>
      </w:r>
      <w:r w:rsidR="003666F1" w:rsidRPr="003666F1">
        <w:t>, once</w:t>
      </w:r>
      <w:r w:rsidRPr="003666F1">
        <w:t xml:space="preserve"> the UK leaves the EU it will no longer be required to transpose new EU law into domestic law (the paper points out however that this would be subject to the terms of any future legal relationship between the UK and the EU).</w:t>
      </w:r>
    </w:p>
    <w:p w:rsidR="004125E4" w:rsidRPr="003666F1" w:rsidRDefault="004125E4" w:rsidP="00692CF0">
      <w:pPr>
        <w:pStyle w:val="Default"/>
      </w:pPr>
    </w:p>
    <w:p w:rsidR="004125E4" w:rsidRPr="003666F1" w:rsidRDefault="004125E4" w:rsidP="00692CF0">
      <w:pPr>
        <w:pStyle w:val="Default"/>
      </w:pPr>
      <w:r w:rsidRPr="003666F1">
        <w:t>The effect would be twofold:</w:t>
      </w:r>
    </w:p>
    <w:p w:rsidR="004125E4" w:rsidRPr="003666F1" w:rsidRDefault="004125E4" w:rsidP="00692CF0">
      <w:pPr>
        <w:pStyle w:val="Default"/>
      </w:pPr>
    </w:p>
    <w:p w:rsidR="004125E4" w:rsidRPr="003666F1" w:rsidRDefault="004125E4" w:rsidP="004125E4">
      <w:pPr>
        <w:pStyle w:val="Default"/>
        <w:numPr>
          <w:ilvl w:val="0"/>
          <w:numId w:val="7"/>
        </w:numPr>
      </w:pPr>
      <w:r w:rsidRPr="003666F1">
        <w:t>the UK wouldnt be required to implement new EU laws into the employment sphere.</w:t>
      </w:r>
    </w:p>
    <w:p w:rsidR="004125E4" w:rsidRPr="003666F1" w:rsidRDefault="004125E4" w:rsidP="004125E4">
      <w:pPr>
        <w:pStyle w:val="Default"/>
        <w:numPr>
          <w:ilvl w:val="0"/>
          <w:numId w:val="7"/>
        </w:numPr>
      </w:pPr>
      <w:r w:rsidRPr="003666F1">
        <w:t>ECJ decisions interpreting Directives that have already been implemented in the UK would have no automatic binding effect in UK law.</w:t>
      </w:r>
    </w:p>
    <w:p w:rsidR="004125E4" w:rsidRPr="003666F1" w:rsidRDefault="004125E4" w:rsidP="00692CF0">
      <w:pPr>
        <w:pStyle w:val="Default"/>
        <w:rPr>
          <w:sz w:val="20"/>
          <w:szCs w:val="20"/>
        </w:rPr>
      </w:pPr>
    </w:p>
    <w:p w:rsidR="004125E4" w:rsidRPr="003666F1" w:rsidRDefault="004125E4" w:rsidP="00692CF0">
      <w:pPr>
        <w:pStyle w:val="Default"/>
        <w:rPr>
          <w:sz w:val="20"/>
          <w:szCs w:val="20"/>
        </w:rPr>
      </w:pPr>
    </w:p>
    <w:p w:rsidR="0016691D" w:rsidRPr="003666F1" w:rsidRDefault="0016691D" w:rsidP="0016691D">
      <w:pPr>
        <w:pStyle w:val="Default"/>
        <w:rPr>
          <w:i/>
          <w:sz w:val="20"/>
          <w:szCs w:val="20"/>
        </w:rPr>
      </w:pPr>
    </w:p>
    <w:p w:rsidR="0016691D" w:rsidRPr="003666F1" w:rsidRDefault="0016691D" w:rsidP="0016691D">
      <w:pPr>
        <w:pStyle w:val="Default"/>
        <w:rPr>
          <w:sz w:val="20"/>
          <w:szCs w:val="20"/>
        </w:rPr>
      </w:pPr>
    </w:p>
    <w:p w:rsidR="0086444B" w:rsidRPr="003666F1" w:rsidRDefault="0086444B" w:rsidP="00C23F0F">
      <w:pPr>
        <w:pStyle w:val="Default"/>
        <w:rPr>
          <w:b/>
          <w:sz w:val="20"/>
          <w:szCs w:val="20"/>
          <w:u w:val="single"/>
        </w:rPr>
      </w:pPr>
    </w:p>
    <w:p w:rsidR="0086444B" w:rsidRPr="003666F1" w:rsidRDefault="0086444B" w:rsidP="00C23F0F">
      <w:pPr>
        <w:pStyle w:val="Default"/>
        <w:rPr>
          <w:b/>
          <w:sz w:val="20"/>
          <w:szCs w:val="20"/>
          <w:u w:val="single"/>
        </w:rPr>
      </w:pPr>
    </w:p>
    <w:sectPr w:rsidR="0086444B" w:rsidRPr="003666F1" w:rsidSect="009B7FD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yriad Pro">
    <w:altName w:val="Corbel"/>
    <w:panose1 w:val="00000000000000000000"/>
    <w:charset w:val="00"/>
    <w:family w:val="swiss"/>
    <w:notTrueType/>
    <w:pitch w:val="variable"/>
    <w:sig w:usb0="00000001"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14AA6"/>
    <w:multiLevelType w:val="hybridMultilevel"/>
    <w:tmpl w:val="2884A7FA"/>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 w15:restartNumberingAfterBreak="0">
    <w:nsid w:val="0EE2139D"/>
    <w:multiLevelType w:val="hybridMultilevel"/>
    <w:tmpl w:val="205602CE"/>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 w15:restartNumberingAfterBreak="0">
    <w:nsid w:val="21D64B1A"/>
    <w:multiLevelType w:val="hybridMultilevel"/>
    <w:tmpl w:val="B2389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97521C"/>
    <w:multiLevelType w:val="hybridMultilevel"/>
    <w:tmpl w:val="705E4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387897"/>
    <w:multiLevelType w:val="hybridMultilevel"/>
    <w:tmpl w:val="2ECA7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B45B76"/>
    <w:multiLevelType w:val="hybridMultilevel"/>
    <w:tmpl w:val="2A7E9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EF1B87"/>
    <w:multiLevelType w:val="hybridMultilevel"/>
    <w:tmpl w:val="63788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5"/>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orceOverwriteVersion" w:val="False"/>
  </w:docVars>
  <w:rsids>
    <w:rsidRoot w:val="00C23F0F"/>
    <w:rsid w:val="000A2C31"/>
    <w:rsid w:val="000D3BC2"/>
    <w:rsid w:val="000D5D1F"/>
    <w:rsid w:val="000E4C3A"/>
    <w:rsid w:val="0016691D"/>
    <w:rsid w:val="001776D0"/>
    <w:rsid w:val="00191321"/>
    <w:rsid w:val="001C3DD3"/>
    <w:rsid w:val="00222799"/>
    <w:rsid w:val="002474D8"/>
    <w:rsid w:val="00274DBD"/>
    <w:rsid w:val="002A143D"/>
    <w:rsid w:val="00363203"/>
    <w:rsid w:val="003666F1"/>
    <w:rsid w:val="003744DD"/>
    <w:rsid w:val="003E0BD1"/>
    <w:rsid w:val="004125E4"/>
    <w:rsid w:val="006654D5"/>
    <w:rsid w:val="00692CF0"/>
    <w:rsid w:val="006D69B4"/>
    <w:rsid w:val="007012EF"/>
    <w:rsid w:val="007B50D9"/>
    <w:rsid w:val="007C6380"/>
    <w:rsid w:val="007D52E6"/>
    <w:rsid w:val="007F6D1D"/>
    <w:rsid w:val="008521F7"/>
    <w:rsid w:val="0086444B"/>
    <w:rsid w:val="009B7FD2"/>
    <w:rsid w:val="009C06F6"/>
    <w:rsid w:val="009C627C"/>
    <w:rsid w:val="00A37342"/>
    <w:rsid w:val="00A42682"/>
    <w:rsid w:val="00A651FA"/>
    <w:rsid w:val="00AD46D0"/>
    <w:rsid w:val="00B85FF9"/>
    <w:rsid w:val="00BB77C1"/>
    <w:rsid w:val="00BC7671"/>
    <w:rsid w:val="00BD3B05"/>
    <w:rsid w:val="00C23F0F"/>
    <w:rsid w:val="00C307E5"/>
    <w:rsid w:val="00C41911"/>
    <w:rsid w:val="00C54C22"/>
    <w:rsid w:val="00CF7E95"/>
    <w:rsid w:val="00D30A28"/>
    <w:rsid w:val="00D451FE"/>
    <w:rsid w:val="00DB61BE"/>
    <w:rsid w:val="00E459B1"/>
    <w:rsid w:val="00F24B45"/>
    <w:rsid w:val="00F67DBF"/>
    <w:rsid w:val="00F83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BF2FFB0-68A6-4219-B3AB-2EA1ACF7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FD2"/>
    <w:rPr>
      <w:rFonts w:ascii="Arial" w:hAnsi="Arial"/>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23F0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1862</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JCP Solicitors</Company>
  <LinksUpToDate>false</LinksUpToDate>
  <CharactersWithSpaces>12458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Paul.Shuttleworth</dc:creator>
  <cp:lastModifiedBy>Julie Potter</cp:lastModifiedBy>
  <cp:revision>2</cp:revision>
  <cp:lastPrinted>2016-10-17T07:07:00Z</cp:lastPrinted>
  <dcterms:created xsi:type="dcterms:W3CDTF">2017-09-20T12:53:00Z</dcterms:created>
  <dcterms:modified xsi:type="dcterms:W3CDTF">2017-09-20T12:53:00Z</dcterms:modified>
</cp:coreProperties>
</file>