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16F00" w:rsidRDefault="008C05DD">
      <w:pPr>
        <w:spacing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NEGLIGENCE</w:t>
      </w:r>
    </w:p>
    <w:p w14:paraId="00000002" w14:textId="6BD7879E" w:rsidR="00316F00" w:rsidRDefault="008C05DD">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w:t>
      </w:r>
      <w:r w:rsidR="00D71E6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proofErr w:type="spellStart"/>
      <w:r w:rsidR="00D71E63">
        <w:rPr>
          <w:rFonts w:ascii="Times New Roman" w:eastAsia="Times New Roman" w:hAnsi="Times New Roman" w:cs="Times New Roman"/>
          <w:color w:val="000000"/>
          <w:sz w:val="24"/>
          <w:szCs w:val="24"/>
        </w:rPr>
        <w:t>Forida</w:t>
      </w:r>
      <w:proofErr w:type="spellEnd"/>
      <w:r w:rsidR="00D71E63">
        <w:rPr>
          <w:rFonts w:ascii="Times New Roman" w:eastAsia="Times New Roman" w:hAnsi="Times New Roman" w:cs="Times New Roman"/>
          <w:color w:val="000000"/>
          <w:sz w:val="24"/>
          <w:szCs w:val="24"/>
        </w:rPr>
        <w:t xml:space="preserve"> </w:t>
      </w:r>
      <w:proofErr w:type="spellStart"/>
      <w:r w:rsidR="00D71E63">
        <w:rPr>
          <w:rFonts w:ascii="Times New Roman" w:eastAsia="Times New Roman" w:hAnsi="Times New Roman" w:cs="Times New Roman"/>
          <w:color w:val="000000"/>
          <w:sz w:val="24"/>
          <w:szCs w:val="24"/>
        </w:rPr>
        <w:t>Yeasmin</w:t>
      </w:r>
      <w:proofErr w:type="spellEnd"/>
      <w:r>
        <w:rPr>
          <w:rFonts w:ascii="Times New Roman" w:eastAsia="Times New Roman" w:hAnsi="Times New Roman" w:cs="Times New Roman"/>
          <w:color w:val="000000"/>
          <w:sz w:val="24"/>
          <w:szCs w:val="24"/>
        </w:rPr>
        <w:t>)</w:t>
      </w:r>
    </w:p>
    <w:p w14:paraId="00000003" w14:textId="77777777" w:rsidR="00316F00" w:rsidRDefault="00316F00">
      <w:pPr>
        <w:spacing w:line="480" w:lineRule="auto"/>
        <w:jc w:val="center"/>
        <w:rPr>
          <w:rFonts w:ascii="Times New Roman" w:eastAsia="Times New Roman" w:hAnsi="Times New Roman" w:cs="Times New Roman"/>
          <w:color w:val="000000"/>
          <w:sz w:val="24"/>
          <w:szCs w:val="24"/>
        </w:rPr>
      </w:pPr>
    </w:p>
    <w:p w14:paraId="00000004" w14:textId="77777777" w:rsidR="00316F00" w:rsidRDefault="00316F00">
      <w:pPr>
        <w:spacing w:line="480" w:lineRule="auto"/>
        <w:jc w:val="center"/>
        <w:rPr>
          <w:rFonts w:ascii="Times New Roman" w:eastAsia="Times New Roman" w:hAnsi="Times New Roman" w:cs="Times New Roman"/>
          <w:color w:val="000000"/>
          <w:sz w:val="24"/>
          <w:szCs w:val="24"/>
        </w:rPr>
      </w:pPr>
    </w:p>
    <w:p w14:paraId="00000005" w14:textId="77777777" w:rsidR="00316F00" w:rsidRDefault="00316F00">
      <w:pPr>
        <w:spacing w:line="480" w:lineRule="auto"/>
        <w:jc w:val="center"/>
        <w:rPr>
          <w:rFonts w:ascii="Times New Roman" w:eastAsia="Times New Roman" w:hAnsi="Times New Roman" w:cs="Times New Roman"/>
          <w:color w:val="000000"/>
          <w:sz w:val="24"/>
          <w:szCs w:val="24"/>
        </w:rPr>
      </w:pPr>
    </w:p>
    <w:p w14:paraId="00000006" w14:textId="77777777" w:rsidR="00316F00" w:rsidRDefault="00316F00">
      <w:pPr>
        <w:spacing w:line="480" w:lineRule="auto"/>
        <w:jc w:val="center"/>
        <w:rPr>
          <w:rFonts w:ascii="Times New Roman" w:eastAsia="Times New Roman" w:hAnsi="Times New Roman" w:cs="Times New Roman"/>
          <w:color w:val="000000"/>
          <w:sz w:val="24"/>
          <w:szCs w:val="24"/>
        </w:rPr>
      </w:pPr>
    </w:p>
    <w:p w14:paraId="00000007" w14:textId="77777777" w:rsidR="00316F00" w:rsidRDefault="00316F00">
      <w:pPr>
        <w:spacing w:line="480" w:lineRule="auto"/>
        <w:jc w:val="center"/>
        <w:rPr>
          <w:rFonts w:ascii="Times New Roman" w:eastAsia="Times New Roman" w:hAnsi="Times New Roman" w:cs="Times New Roman"/>
          <w:color w:val="000000"/>
          <w:sz w:val="24"/>
          <w:szCs w:val="24"/>
        </w:rPr>
      </w:pPr>
    </w:p>
    <w:p w14:paraId="00000008" w14:textId="77777777" w:rsidR="00316F00" w:rsidRDefault="00316F00">
      <w:pPr>
        <w:spacing w:line="480" w:lineRule="auto"/>
        <w:rPr>
          <w:rFonts w:ascii="Times New Roman" w:eastAsia="Times New Roman" w:hAnsi="Times New Roman" w:cs="Times New Roman"/>
          <w:color w:val="000000"/>
          <w:sz w:val="24"/>
          <w:szCs w:val="24"/>
        </w:rPr>
      </w:pPr>
    </w:p>
    <w:p w14:paraId="00000009" w14:textId="77777777" w:rsidR="00316F00" w:rsidRDefault="008C05DD">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Tort Law (BMLW5008)</w:t>
      </w:r>
    </w:p>
    <w:p w14:paraId="0000000A" w14:textId="0B24BD56" w:rsidR="00316F00" w:rsidRDefault="00A745A7">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 of the Professor/Tutor</w:t>
      </w:r>
      <w:bookmarkStart w:id="0" w:name="_GoBack"/>
      <w:bookmarkEnd w:id="0"/>
      <w:r w:rsidR="00BA4546">
        <w:rPr>
          <w:rFonts w:ascii="Times New Roman" w:eastAsia="Times New Roman" w:hAnsi="Times New Roman" w:cs="Times New Roman"/>
          <w:color w:val="000000"/>
          <w:sz w:val="24"/>
          <w:szCs w:val="24"/>
        </w:rPr>
        <w:t xml:space="preserve"> (Louise Holmes)</w:t>
      </w:r>
    </w:p>
    <w:p w14:paraId="0000000B" w14:textId="775F8C21" w:rsidR="00316F00" w:rsidRDefault="008C05DD">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 of the University/School</w:t>
      </w:r>
      <w:r w:rsidR="00BA4546">
        <w:rPr>
          <w:rFonts w:ascii="Times New Roman" w:eastAsia="Times New Roman" w:hAnsi="Times New Roman" w:cs="Times New Roman"/>
          <w:color w:val="000000"/>
          <w:sz w:val="24"/>
          <w:szCs w:val="24"/>
        </w:rPr>
        <w:t xml:space="preserve"> (UWTSD)</w:t>
      </w:r>
    </w:p>
    <w:p w14:paraId="0000000D" w14:textId="22684A3B" w:rsidR="00316F00" w:rsidRDefault="00316F00" w:rsidP="00A745A7">
      <w:pPr>
        <w:spacing w:line="480" w:lineRule="auto"/>
        <w:jc w:val="center"/>
        <w:rPr>
          <w:rFonts w:ascii="Times New Roman" w:eastAsia="Times New Roman" w:hAnsi="Times New Roman" w:cs="Times New Roman"/>
          <w:color w:val="000000"/>
          <w:sz w:val="24"/>
          <w:szCs w:val="24"/>
        </w:rPr>
      </w:pPr>
    </w:p>
    <w:p w14:paraId="0000000E" w14:textId="77777777" w:rsidR="00316F00" w:rsidRDefault="008C05DD">
      <w:pPr>
        <w:rPr>
          <w:rFonts w:ascii="Times New Roman" w:eastAsia="Times New Roman" w:hAnsi="Times New Roman" w:cs="Times New Roman"/>
          <w:b/>
          <w:i/>
          <w:color w:val="000000"/>
          <w:sz w:val="24"/>
          <w:szCs w:val="24"/>
        </w:rPr>
      </w:pPr>
      <w:r>
        <w:br w:type="page"/>
      </w:r>
    </w:p>
    <w:p w14:paraId="0000000F" w14:textId="77777777" w:rsidR="00316F00" w:rsidRDefault="008C05DD">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Table of Contents </w:t>
      </w:r>
    </w:p>
    <w:p w14:paraId="00000010" w14:textId="77777777" w:rsidR="00316F00" w:rsidRDefault="00316F00">
      <w:pPr>
        <w:keepNext/>
        <w:keepLines/>
        <w:pBdr>
          <w:top w:val="nil"/>
          <w:left w:val="nil"/>
          <w:bottom w:val="nil"/>
          <w:right w:val="nil"/>
          <w:between w:val="nil"/>
        </w:pBdr>
        <w:spacing w:before="240" w:after="0"/>
        <w:rPr>
          <w:color w:val="2F5496"/>
          <w:sz w:val="32"/>
          <w:szCs w:val="32"/>
        </w:rPr>
      </w:pPr>
      <w:bookmarkStart w:id="1" w:name="_heading=h.gjdgxs" w:colFirst="0" w:colLast="0"/>
      <w:bookmarkEnd w:id="1"/>
    </w:p>
    <w:sdt>
      <w:sdtPr>
        <w:id w:val="-1432274258"/>
        <w:docPartObj>
          <w:docPartGallery w:val="Table of Contents"/>
          <w:docPartUnique/>
        </w:docPartObj>
      </w:sdtPr>
      <w:sdtEndPr/>
      <w:sdtContent>
        <w:p w14:paraId="00000011" w14:textId="77777777" w:rsidR="00316F00" w:rsidRDefault="008C05DD">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30j0zll">
            <w:r>
              <w:rPr>
                <w:rFonts w:ascii="Times New Roman" w:eastAsia="Times New Roman" w:hAnsi="Times New Roman" w:cs="Times New Roman"/>
                <w:color w:val="000000"/>
                <w:sz w:val="24"/>
                <w:szCs w:val="24"/>
              </w:rPr>
              <w:t>Breach of the Duty and the Standard of the Care</w:t>
            </w:r>
            <w:r>
              <w:rPr>
                <w:rFonts w:ascii="Times New Roman" w:eastAsia="Times New Roman" w:hAnsi="Times New Roman" w:cs="Times New Roman"/>
                <w:color w:val="000000"/>
                <w:sz w:val="24"/>
                <w:szCs w:val="24"/>
              </w:rPr>
              <w:tab/>
              <w:t>3</w:t>
            </w:r>
          </w:hyperlink>
        </w:p>
        <w:p w14:paraId="00000012" w14:textId="77777777" w:rsidR="00316F00" w:rsidRDefault="00FD4503">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color w:val="000000"/>
              <w:sz w:val="24"/>
              <w:szCs w:val="24"/>
            </w:rPr>
          </w:pPr>
          <w:hyperlink w:anchor="_heading=h.3znysh7">
            <w:r w:rsidR="008C05DD">
              <w:rPr>
                <w:rFonts w:ascii="Times New Roman" w:eastAsia="Times New Roman" w:hAnsi="Times New Roman" w:cs="Times New Roman"/>
                <w:color w:val="000000"/>
                <w:sz w:val="24"/>
                <w:szCs w:val="24"/>
              </w:rPr>
              <w:t>Determining the Normal of Care for Dissimilar Perpetrators</w:t>
            </w:r>
            <w:r w:rsidR="008C05DD">
              <w:rPr>
                <w:rFonts w:ascii="Times New Roman" w:eastAsia="Times New Roman" w:hAnsi="Times New Roman" w:cs="Times New Roman"/>
                <w:color w:val="000000"/>
                <w:sz w:val="24"/>
                <w:szCs w:val="24"/>
              </w:rPr>
              <w:tab/>
              <w:t>4</w:t>
            </w:r>
          </w:hyperlink>
        </w:p>
        <w:p w14:paraId="00000013" w14:textId="77777777" w:rsidR="00316F00" w:rsidRDefault="00FD4503">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color w:val="000000"/>
              <w:sz w:val="24"/>
              <w:szCs w:val="24"/>
            </w:rPr>
          </w:pPr>
          <w:hyperlink w:anchor="_heading=h.2et92p0">
            <w:r w:rsidR="008C05DD">
              <w:rPr>
                <w:rFonts w:ascii="Times New Roman" w:eastAsia="Times New Roman" w:hAnsi="Times New Roman" w:cs="Times New Roman"/>
                <w:color w:val="000000"/>
                <w:sz w:val="24"/>
                <w:szCs w:val="24"/>
              </w:rPr>
              <w:t>Factors that provides the breach of the standard of care:</w:t>
            </w:r>
            <w:r w:rsidR="008C05DD">
              <w:rPr>
                <w:rFonts w:ascii="Times New Roman" w:eastAsia="Times New Roman" w:hAnsi="Times New Roman" w:cs="Times New Roman"/>
                <w:color w:val="000000"/>
                <w:sz w:val="24"/>
                <w:szCs w:val="24"/>
              </w:rPr>
              <w:tab/>
              <w:t>6</w:t>
            </w:r>
          </w:hyperlink>
        </w:p>
        <w:p w14:paraId="00000014" w14:textId="77777777" w:rsidR="00316F00" w:rsidRDefault="00FD4503">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tyjcwt">
            <w:r w:rsidR="008C05DD">
              <w:rPr>
                <w:rFonts w:ascii="Times New Roman" w:eastAsia="Times New Roman" w:hAnsi="Times New Roman" w:cs="Times New Roman"/>
                <w:color w:val="000000"/>
                <w:sz w:val="24"/>
                <w:szCs w:val="24"/>
              </w:rPr>
              <w:t>Magnitude of Risk</w:t>
            </w:r>
            <w:r w:rsidR="008C05DD">
              <w:rPr>
                <w:rFonts w:ascii="Times New Roman" w:eastAsia="Times New Roman" w:hAnsi="Times New Roman" w:cs="Times New Roman"/>
                <w:color w:val="000000"/>
                <w:sz w:val="24"/>
                <w:szCs w:val="24"/>
              </w:rPr>
              <w:tab/>
              <w:t>6</w:t>
            </w:r>
          </w:hyperlink>
        </w:p>
        <w:p w14:paraId="00000015" w14:textId="77777777" w:rsidR="00316F00" w:rsidRDefault="00FD4503">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3dy6vkm">
            <w:r w:rsidR="008C05DD">
              <w:rPr>
                <w:rFonts w:ascii="Times New Roman" w:eastAsia="Times New Roman" w:hAnsi="Times New Roman" w:cs="Times New Roman"/>
                <w:color w:val="000000"/>
                <w:sz w:val="24"/>
                <w:szCs w:val="24"/>
              </w:rPr>
              <w:t>Protection Cost</w:t>
            </w:r>
            <w:r w:rsidR="008C05DD">
              <w:rPr>
                <w:rFonts w:ascii="Times New Roman" w:eastAsia="Times New Roman" w:hAnsi="Times New Roman" w:cs="Times New Roman"/>
                <w:color w:val="000000"/>
                <w:sz w:val="24"/>
                <w:szCs w:val="24"/>
              </w:rPr>
              <w:tab/>
              <w:t>7</w:t>
            </w:r>
          </w:hyperlink>
        </w:p>
        <w:p w14:paraId="00000016" w14:textId="77777777" w:rsidR="00316F00" w:rsidRDefault="00FD4503">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color w:val="000000"/>
              <w:sz w:val="24"/>
              <w:szCs w:val="24"/>
            </w:rPr>
          </w:pPr>
          <w:hyperlink w:anchor="_heading=h.1t3h5sf">
            <w:r w:rsidR="008C05DD">
              <w:rPr>
                <w:rFonts w:ascii="Times New Roman" w:eastAsia="Times New Roman" w:hAnsi="Times New Roman" w:cs="Times New Roman"/>
                <w:color w:val="000000"/>
                <w:sz w:val="24"/>
                <w:szCs w:val="24"/>
              </w:rPr>
              <w:t>Sporting Events</w:t>
            </w:r>
            <w:r w:rsidR="008C05DD">
              <w:rPr>
                <w:rFonts w:ascii="Times New Roman" w:eastAsia="Times New Roman" w:hAnsi="Times New Roman" w:cs="Times New Roman"/>
                <w:color w:val="000000"/>
                <w:sz w:val="24"/>
                <w:szCs w:val="24"/>
              </w:rPr>
              <w:tab/>
              <w:t>8</w:t>
            </w:r>
          </w:hyperlink>
        </w:p>
        <w:p w14:paraId="00000017" w14:textId="77777777" w:rsidR="00316F00" w:rsidRDefault="00FD4503">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color w:val="000000"/>
              <w:sz w:val="24"/>
              <w:szCs w:val="24"/>
            </w:rPr>
          </w:pPr>
          <w:hyperlink w:anchor="_heading=h.4d34og8">
            <w:r w:rsidR="008C05DD">
              <w:rPr>
                <w:rFonts w:ascii="Times New Roman" w:eastAsia="Times New Roman" w:hAnsi="Times New Roman" w:cs="Times New Roman"/>
                <w:color w:val="000000"/>
                <w:sz w:val="24"/>
                <w:szCs w:val="24"/>
              </w:rPr>
              <w:t>Horseplay</w:t>
            </w:r>
            <w:r w:rsidR="008C05DD">
              <w:rPr>
                <w:rFonts w:ascii="Times New Roman" w:eastAsia="Times New Roman" w:hAnsi="Times New Roman" w:cs="Times New Roman"/>
                <w:color w:val="000000"/>
                <w:sz w:val="24"/>
                <w:szCs w:val="24"/>
              </w:rPr>
              <w:tab/>
              <w:t>9</w:t>
            </w:r>
          </w:hyperlink>
        </w:p>
        <w:p w14:paraId="00000018" w14:textId="77777777" w:rsidR="00316F00" w:rsidRDefault="00FD4503">
          <w:pPr>
            <w:pBdr>
              <w:top w:val="nil"/>
              <w:left w:val="nil"/>
              <w:bottom w:val="nil"/>
              <w:right w:val="nil"/>
              <w:between w:val="nil"/>
            </w:pBdr>
            <w:tabs>
              <w:tab w:val="right" w:pos="9350"/>
            </w:tabs>
            <w:spacing w:after="100" w:line="480" w:lineRule="auto"/>
            <w:jc w:val="center"/>
            <w:rPr>
              <w:rFonts w:ascii="Times New Roman" w:eastAsia="Times New Roman" w:hAnsi="Times New Roman" w:cs="Times New Roman"/>
              <w:color w:val="000000"/>
              <w:sz w:val="24"/>
              <w:szCs w:val="24"/>
            </w:rPr>
          </w:pPr>
          <w:hyperlink w:anchor="_heading=h.2s8eyo1">
            <w:r w:rsidR="008C05DD">
              <w:rPr>
                <w:rFonts w:ascii="Times New Roman" w:eastAsia="Times New Roman" w:hAnsi="Times New Roman" w:cs="Times New Roman"/>
                <w:color w:val="000000"/>
                <w:sz w:val="24"/>
                <w:szCs w:val="24"/>
              </w:rPr>
              <w:t>Bibliography</w:t>
            </w:r>
            <w:r w:rsidR="008C05DD">
              <w:rPr>
                <w:rFonts w:ascii="Times New Roman" w:eastAsia="Times New Roman" w:hAnsi="Times New Roman" w:cs="Times New Roman"/>
                <w:color w:val="000000"/>
                <w:sz w:val="24"/>
                <w:szCs w:val="24"/>
              </w:rPr>
              <w:tab/>
              <w:t>12</w:t>
            </w:r>
          </w:hyperlink>
        </w:p>
        <w:p w14:paraId="00000019" w14:textId="77777777" w:rsidR="00316F00" w:rsidRDefault="00FD4503">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17dp8vu">
            <w:r w:rsidR="008C05DD">
              <w:rPr>
                <w:rFonts w:ascii="Times New Roman" w:eastAsia="Times New Roman" w:hAnsi="Times New Roman" w:cs="Times New Roman"/>
                <w:color w:val="000000"/>
                <w:sz w:val="24"/>
                <w:szCs w:val="24"/>
              </w:rPr>
              <w:t>References</w:t>
            </w:r>
            <w:r w:rsidR="008C05DD">
              <w:rPr>
                <w:rFonts w:ascii="Times New Roman" w:eastAsia="Times New Roman" w:hAnsi="Times New Roman" w:cs="Times New Roman"/>
                <w:color w:val="000000"/>
                <w:sz w:val="24"/>
                <w:szCs w:val="24"/>
              </w:rPr>
              <w:tab/>
              <w:t>12</w:t>
            </w:r>
          </w:hyperlink>
        </w:p>
        <w:p w14:paraId="0000001A" w14:textId="77777777" w:rsidR="00316F00" w:rsidRDefault="00FD4503">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heading=h.lnxbz9">
            <w:r w:rsidR="008C05DD">
              <w:rPr>
                <w:rFonts w:ascii="Times New Roman" w:eastAsia="Times New Roman" w:hAnsi="Times New Roman" w:cs="Times New Roman"/>
                <w:color w:val="000000"/>
                <w:sz w:val="24"/>
                <w:szCs w:val="24"/>
              </w:rPr>
              <w:t>Act/Case Law</w:t>
            </w:r>
            <w:r w:rsidR="008C05DD">
              <w:rPr>
                <w:rFonts w:ascii="Times New Roman" w:eastAsia="Times New Roman" w:hAnsi="Times New Roman" w:cs="Times New Roman"/>
                <w:color w:val="000000"/>
                <w:sz w:val="24"/>
                <w:szCs w:val="24"/>
              </w:rPr>
              <w:tab/>
              <w:t>13</w:t>
            </w:r>
          </w:hyperlink>
        </w:p>
        <w:p w14:paraId="0000001B" w14:textId="77777777" w:rsidR="00316F00" w:rsidRDefault="008C05DD">
          <w:r>
            <w:fldChar w:fldCharType="end"/>
          </w:r>
        </w:p>
      </w:sdtContent>
    </w:sdt>
    <w:p w14:paraId="0000001C" w14:textId="77777777" w:rsidR="00316F00" w:rsidRDefault="00316F00">
      <w:pPr>
        <w:pStyle w:val="Heading1"/>
        <w:spacing w:line="480" w:lineRule="auto"/>
        <w:jc w:val="both"/>
        <w:rPr>
          <w:rFonts w:ascii="Times New Roman" w:eastAsia="Times New Roman" w:hAnsi="Times New Roman" w:cs="Times New Roman"/>
          <w:color w:val="000000"/>
          <w:sz w:val="24"/>
          <w:szCs w:val="24"/>
        </w:rPr>
      </w:pPr>
    </w:p>
    <w:p w14:paraId="0000001D" w14:textId="77777777" w:rsidR="00316F00" w:rsidRDefault="008C05DD">
      <w:pPr>
        <w:rPr>
          <w:rFonts w:ascii="Times New Roman" w:eastAsia="Times New Roman" w:hAnsi="Times New Roman" w:cs="Times New Roman"/>
          <w:color w:val="000000"/>
          <w:sz w:val="24"/>
          <w:szCs w:val="24"/>
        </w:rPr>
      </w:pPr>
      <w:r>
        <w:br w:type="page"/>
      </w:r>
    </w:p>
    <w:p w14:paraId="0000001E" w14:textId="77777777" w:rsidR="00316F00" w:rsidRDefault="008C05DD">
      <w:pPr>
        <w:pStyle w:val="Heading1"/>
        <w:spacing w:line="480" w:lineRule="auto"/>
        <w:jc w:val="both"/>
        <w:rPr>
          <w:rFonts w:ascii="Times New Roman" w:eastAsia="Times New Roman" w:hAnsi="Times New Roman" w:cs="Times New Roman"/>
          <w:b/>
          <w:i/>
          <w:color w:val="000000"/>
          <w:sz w:val="24"/>
          <w:szCs w:val="24"/>
        </w:rPr>
      </w:pPr>
      <w:bookmarkStart w:id="2" w:name="_heading=h.30j0zll" w:colFirst="0" w:colLast="0"/>
      <w:bookmarkEnd w:id="2"/>
      <w:r>
        <w:rPr>
          <w:rFonts w:ascii="Times New Roman" w:eastAsia="Times New Roman" w:hAnsi="Times New Roman" w:cs="Times New Roman"/>
          <w:b/>
          <w:i/>
          <w:color w:val="000000"/>
          <w:sz w:val="24"/>
          <w:szCs w:val="24"/>
        </w:rPr>
        <w:lastRenderedPageBreak/>
        <w:t>Breach of the Duty and the Standard of the Care</w:t>
      </w:r>
    </w:p>
    <w:p w14:paraId="0000001F"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duty of care is defined as the legal obligation in order to take the steps that are reasonable not to cause foreseeable harm towards another person or their property. In addition to this, the duty </w:t>
      </w:r>
      <w:r>
        <w:rPr>
          <w:rFonts w:ascii="Times New Roman" w:eastAsia="Times New Roman" w:hAnsi="Times New Roman" w:cs="Times New Roman"/>
          <w:sz w:val="24"/>
          <w:szCs w:val="24"/>
        </w:rPr>
        <w:t>of care</w:t>
      </w:r>
      <w:r>
        <w:rPr>
          <w:rFonts w:ascii="Times New Roman" w:eastAsia="Times New Roman" w:hAnsi="Times New Roman" w:cs="Times New Roman"/>
          <w:color w:val="000000"/>
          <w:sz w:val="24"/>
          <w:szCs w:val="24"/>
        </w:rPr>
        <w:t xml:space="preserve"> is breached when someone </w:t>
      </w:r>
      <w:r>
        <w:rPr>
          <w:rFonts w:ascii="Times New Roman" w:eastAsia="Times New Roman" w:hAnsi="Times New Roman" w:cs="Times New Roman"/>
          <w:sz w:val="24"/>
          <w:szCs w:val="24"/>
        </w:rPr>
        <w:t>has</w:t>
      </w:r>
      <w:r>
        <w:rPr>
          <w:rFonts w:ascii="Times New Roman" w:eastAsia="Times New Roman" w:hAnsi="Times New Roman" w:cs="Times New Roman"/>
          <w:color w:val="000000"/>
          <w:sz w:val="24"/>
          <w:szCs w:val="24"/>
        </w:rPr>
        <w:t xml:space="preserve"> an injury for the reason of the action of another person at the point when it was reasonably predictable that the action could be causing injury and the person </w:t>
      </w:r>
      <w:r>
        <w:rPr>
          <w:rFonts w:ascii="Times New Roman" w:eastAsia="Times New Roman" w:hAnsi="Times New Roman" w:cs="Times New Roman"/>
          <w:sz w:val="24"/>
          <w:szCs w:val="24"/>
        </w:rPr>
        <w:t>reasonably</w:t>
      </w:r>
      <w:r>
        <w:rPr>
          <w:rFonts w:ascii="Times New Roman" w:eastAsia="Times New Roman" w:hAnsi="Times New Roman" w:cs="Times New Roman"/>
          <w:color w:val="000000"/>
          <w:sz w:val="24"/>
          <w:szCs w:val="24"/>
        </w:rPr>
        <w:t xml:space="preserve"> in the same position would not have been acting in that similar way. </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Once the duty of the care has been originating out, it is essential to </w:t>
      </w:r>
      <w:r>
        <w:rPr>
          <w:rFonts w:ascii="Times New Roman" w:eastAsia="Times New Roman" w:hAnsi="Times New Roman" w:cs="Times New Roman"/>
          <w:sz w:val="24"/>
          <w:szCs w:val="24"/>
        </w:rPr>
        <w:t>inquire whether</w:t>
      </w:r>
      <w:r>
        <w:rPr>
          <w:rFonts w:ascii="Times New Roman" w:eastAsia="Times New Roman" w:hAnsi="Times New Roman" w:cs="Times New Roman"/>
          <w:color w:val="000000"/>
          <w:sz w:val="24"/>
          <w:szCs w:val="24"/>
        </w:rPr>
        <w:t xml:space="preserve"> the perpetrator has been acting similarly as it to have penetrated that duty of the care. At the time, when it is completed, it is similarly essential in order to inspect the movements of the defendants in order to understand that they have underlined little of this ordinary. </w:t>
      </w:r>
    </w:p>
    <w:p w14:paraId="00000020"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bookmarkStart w:id="3" w:name="_heading=h.1fob9te" w:colFirst="0" w:colLast="0"/>
      <w:bookmarkEnd w:id="3"/>
      <w:r>
        <w:rPr>
          <w:rFonts w:ascii="Times New Roman" w:eastAsia="Times New Roman" w:hAnsi="Times New Roman" w:cs="Times New Roman"/>
          <w:sz w:val="24"/>
          <w:szCs w:val="24"/>
        </w:rPr>
        <w:t>Beforehand</w:t>
      </w:r>
      <w:r>
        <w:rPr>
          <w:rFonts w:ascii="Times New Roman" w:eastAsia="Times New Roman" w:hAnsi="Times New Roman" w:cs="Times New Roman"/>
          <w:color w:val="000000"/>
          <w:sz w:val="24"/>
          <w:szCs w:val="24"/>
        </w:rPr>
        <w:t xml:space="preserve">, it must be taken into accordance that the care of the standard is </w:t>
      </w:r>
      <w:r>
        <w:rPr>
          <w:rFonts w:ascii="Times New Roman" w:eastAsia="Times New Roman" w:hAnsi="Times New Roman" w:cs="Times New Roman"/>
          <w:sz w:val="24"/>
          <w:szCs w:val="24"/>
        </w:rPr>
        <w:t>continuously grounded</w:t>
      </w:r>
      <w:r>
        <w:rPr>
          <w:rFonts w:ascii="Times New Roman" w:eastAsia="Times New Roman" w:hAnsi="Times New Roman" w:cs="Times New Roman"/>
          <w:color w:val="000000"/>
          <w:sz w:val="24"/>
          <w:szCs w:val="24"/>
        </w:rPr>
        <w:t xml:space="preserve"> on the reason in a </w:t>
      </w:r>
      <w:r>
        <w:rPr>
          <w:rFonts w:ascii="Times New Roman" w:eastAsia="Times New Roman" w:hAnsi="Times New Roman" w:cs="Times New Roman"/>
          <w:sz w:val="24"/>
          <w:szCs w:val="24"/>
        </w:rPr>
        <w:t>forceful</w:t>
      </w:r>
      <w:r>
        <w:rPr>
          <w:rFonts w:ascii="Times New Roman" w:eastAsia="Times New Roman" w:hAnsi="Times New Roman" w:cs="Times New Roman"/>
          <w:color w:val="000000"/>
          <w:sz w:val="24"/>
          <w:szCs w:val="24"/>
        </w:rPr>
        <w:t xml:space="preserve"> manner. </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Additionally, this means that the benches are not going to </w:t>
      </w:r>
      <w:r>
        <w:rPr>
          <w:rFonts w:ascii="Times New Roman" w:eastAsia="Times New Roman" w:hAnsi="Times New Roman" w:cs="Times New Roman"/>
          <w:sz w:val="24"/>
          <w:szCs w:val="24"/>
        </w:rPr>
        <w:t>enquire to the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defendants whether</w:t>
      </w:r>
      <w:r>
        <w:rPr>
          <w:rFonts w:ascii="Times New Roman" w:eastAsia="Times New Roman" w:hAnsi="Times New Roman" w:cs="Times New Roman"/>
          <w:color w:val="000000"/>
          <w:sz w:val="24"/>
          <w:szCs w:val="24"/>
        </w:rPr>
        <w:t xml:space="preserve"> they have predicted a sure consequence or not, but </w:t>
      </w:r>
      <w:r>
        <w:rPr>
          <w:rFonts w:ascii="Times New Roman" w:eastAsia="Times New Roman" w:hAnsi="Times New Roman" w:cs="Times New Roman"/>
          <w:sz w:val="24"/>
          <w:szCs w:val="24"/>
        </w:rPr>
        <w:t>rather</w:t>
      </w:r>
      <w:r>
        <w:rPr>
          <w:rFonts w:ascii="Times New Roman" w:eastAsia="Times New Roman" w:hAnsi="Times New Roman" w:cs="Times New Roman"/>
          <w:color w:val="000000"/>
          <w:sz w:val="24"/>
          <w:szCs w:val="24"/>
        </w:rPr>
        <w:t xml:space="preserve"> they are going to pursue out the effort that the </w:t>
      </w:r>
      <w:r>
        <w:rPr>
          <w:rFonts w:ascii="Times New Roman" w:eastAsia="Times New Roman" w:hAnsi="Times New Roman" w:cs="Times New Roman"/>
          <w:sz w:val="24"/>
          <w:szCs w:val="24"/>
        </w:rPr>
        <w:t>perpetrator must</w:t>
      </w:r>
      <w:r>
        <w:rPr>
          <w:rFonts w:ascii="Times New Roman" w:eastAsia="Times New Roman" w:hAnsi="Times New Roman" w:cs="Times New Roman"/>
          <w:color w:val="000000"/>
          <w:sz w:val="24"/>
          <w:szCs w:val="24"/>
        </w:rPr>
        <w:t xml:space="preserve"> have predicted. This, however, </w:t>
      </w:r>
      <w:r>
        <w:rPr>
          <w:rFonts w:ascii="Times New Roman" w:eastAsia="Times New Roman" w:hAnsi="Times New Roman" w:cs="Times New Roman"/>
          <w:sz w:val="24"/>
          <w:szCs w:val="24"/>
        </w:rPr>
        <w:t>the income</w:t>
      </w:r>
      <w:r>
        <w:rPr>
          <w:rFonts w:ascii="Times New Roman" w:eastAsia="Times New Roman" w:hAnsi="Times New Roman" w:cs="Times New Roman"/>
          <w:color w:val="000000"/>
          <w:sz w:val="24"/>
          <w:szCs w:val="24"/>
        </w:rPr>
        <w:t xml:space="preserve"> that the bags that are involved extremely have improbable consequences are not probable to be fruitful. Additionally, the case of the </w:t>
      </w:r>
      <w:proofErr w:type="spellStart"/>
      <w:r>
        <w:rPr>
          <w:rFonts w:ascii="Times New Roman" w:eastAsia="Times New Roman" w:hAnsi="Times New Roman" w:cs="Times New Roman"/>
          <w:color w:val="000000"/>
          <w:sz w:val="24"/>
          <w:szCs w:val="24"/>
        </w:rPr>
        <w:t>Fardon</w:t>
      </w:r>
      <w:proofErr w:type="spellEnd"/>
      <w:r>
        <w:rPr>
          <w:rFonts w:ascii="Times New Roman" w:eastAsia="Times New Roman" w:hAnsi="Times New Roman" w:cs="Times New Roman"/>
          <w:color w:val="000000"/>
          <w:sz w:val="24"/>
          <w:szCs w:val="24"/>
        </w:rPr>
        <w:t xml:space="preserve"> V Harcourt </w:t>
      </w:r>
      <w:proofErr w:type="spellStart"/>
      <w:r>
        <w:rPr>
          <w:rFonts w:ascii="Times New Roman" w:eastAsia="Times New Roman" w:hAnsi="Times New Roman" w:cs="Times New Roman"/>
          <w:color w:val="000000"/>
          <w:sz w:val="24"/>
          <w:szCs w:val="24"/>
        </w:rPr>
        <w:t>Rivington</w:t>
      </w:r>
      <w:proofErr w:type="spellEnd"/>
      <w:r>
        <w:rPr>
          <w:rFonts w:ascii="Times New Roman" w:eastAsia="Times New Roman" w:hAnsi="Times New Roman" w:cs="Times New Roman"/>
          <w:color w:val="000000"/>
          <w:sz w:val="24"/>
          <w:szCs w:val="24"/>
        </w:rPr>
        <w:t xml:space="preserve"> [1932].</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In this case, the dog of the defendant, which is typically docile, was left in the care of the defendant. In the premises of the care, the dog started to jump around and start to bark as well and meanwhile doing so; the dog has smashed a window that produces the outcome in the entering of the glass in the eye of the claimants. In addition to this, the court ruled with the outcome saying that it is a </w:t>
      </w:r>
      <w:r>
        <w:rPr>
          <w:rFonts w:ascii="Times New Roman" w:eastAsia="Times New Roman" w:hAnsi="Times New Roman" w:cs="Times New Roman"/>
          <w:color w:val="000000"/>
          <w:sz w:val="24"/>
          <w:szCs w:val="24"/>
        </w:rPr>
        <w:lastRenderedPageBreak/>
        <w:t xml:space="preserve">fantastic possibility and therefore, it cannot be predicted. Concurrently, the perpetrator was only grateful in order to evade the rational likelihoods. So, previously commerce with the bizarre option or the sensible likelihood. If the response to this query is found to be formed, then the benches are dubious in order to the law that the responsibility of the upkeep was unfortunately broken. </w:t>
      </w:r>
    </w:p>
    <w:p w14:paraId="00000021" w14:textId="77777777" w:rsidR="00316F00" w:rsidRDefault="008C05DD">
      <w:pPr>
        <w:pStyle w:val="Heading1"/>
        <w:spacing w:line="480" w:lineRule="auto"/>
        <w:jc w:val="both"/>
        <w:rPr>
          <w:rFonts w:ascii="Times New Roman" w:eastAsia="Times New Roman" w:hAnsi="Times New Roman" w:cs="Times New Roman"/>
          <w:b/>
          <w:i/>
          <w:color w:val="000000"/>
          <w:sz w:val="24"/>
          <w:szCs w:val="24"/>
        </w:rPr>
      </w:pPr>
      <w:bookmarkStart w:id="4" w:name="_heading=h.3znysh7" w:colFirst="0" w:colLast="0"/>
      <w:bookmarkEnd w:id="4"/>
      <w:r>
        <w:rPr>
          <w:rFonts w:ascii="Times New Roman" w:eastAsia="Times New Roman" w:hAnsi="Times New Roman" w:cs="Times New Roman"/>
          <w:b/>
          <w:i/>
          <w:color w:val="000000"/>
          <w:sz w:val="24"/>
          <w:szCs w:val="24"/>
        </w:rPr>
        <w:t>Determining the Normal of Care for Dissimilar Perpetrators</w:t>
      </w:r>
    </w:p>
    <w:p w14:paraId="00000022"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life of the responsibility of overhaul has not been </w:t>
      </w:r>
      <w:r>
        <w:rPr>
          <w:rFonts w:ascii="Times New Roman" w:eastAsia="Times New Roman" w:hAnsi="Times New Roman" w:cs="Times New Roman"/>
          <w:sz w:val="24"/>
          <w:szCs w:val="24"/>
        </w:rPr>
        <w:t>mandated by faultless</w:t>
      </w:r>
      <w:r>
        <w:rPr>
          <w:rFonts w:ascii="Times New Roman" w:eastAsia="Times New Roman" w:hAnsi="Times New Roman" w:cs="Times New Roman"/>
          <w:color w:val="000000"/>
          <w:sz w:val="24"/>
          <w:szCs w:val="24"/>
        </w:rPr>
        <w:t xml:space="preserve"> performance. At the same time, there is particularly the duty </w:t>
      </w:r>
      <w:r>
        <w:rPr>
          <w:rFonts w:ascii="Times New Roman" w:eastAsia="Times New Roman" w:hAnsi="Times New Roman" w:cs="Times New Roman"/>
          <w:sz w:val="24"/>
          <w:szCs w:val="24"/>
        </w:rPr>
        <w:t>of care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amid</w:t>
      </w:r>
      <w:r>
        <w:rPr>
          <w:rFonts w:ascii="Times New Roman" w:eastAsia="Times New Roman" w:hAnsi="Times New Roman" w:cs="Times New Roman"/>
          <w:color w:val="000000"/>
          <w:sz w:val="24"/>
          <w:szCs w:val="24"/>
        </w:rPr>
        <w:t xml:space="preserve"> the motorists and the additional workers of the road, in addition to this </w:t>
      </w:r>
      <w:r>
        <w:rPr>
          <w:rFonts w:ascii="Times New Roman" w:eastAsia="Times New Roman" w:hAnsi="Times New Roman" w:cs="Times New Roman"/>
          <w:sz w:val="24"/>
          <w:szCs w:val="24"/>
        </w:rPr>
        <w:t>duty not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mandating</w:t>
      </w:r>
      <w:r>
        <w:rPr>
          <w:rFonts w:ascii="Times New Roman" w:eastAsia="Times New Roman" w:hAnsi="Times New Roman" w:cs="Times New Roman"/>
          <w:color w:val="000000"/>
          <w:sz w:val="24"/>
          <w:szCs w:val="24"/>
        </w:rPr>
        <w:t xml:space="preserve"> that every driver must be perfectly driving. Despite this, the law has struck a balance amid providing compensation at the time when the failure has been usually outstandingly bad, and at the time when the accident is </w:t>
      </w:r>
      <w:r>
        <w:rPr>
          <w:rFonts w:ascii="Times New Roman" w:eastAsia="Times New Roman" w:hAnsi="Times New Roman" w:cs="Times New Roman"/>
          <w:sz w:val="24"/>
          <w:szCs w:val="24"/>
        </w:rPr>
        <w:t>genuine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The case, namely the Donoghue vs Stevenson,</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had held that the defendants towards the normal of the sensible guy. </w:t>
      </w:r>
    </w:p>
    <w:p w14:paraId="00000023"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Meanwhile, if the perpetrator has been acting in a reasonable way that they will not have been breaching the responsibility of the upkeep and vice versa, though, this has been apparently suggesting that the perpetrators are continuously arbitrated in contrary to be against the standards of the objective at the place where it does not exist some sort of possibility to change the examination that is dependent on the defendant physiognomies. The overall law is that perpetrators tend to be predictable to performance in a way that is a sensible equal of the ability that is present in the action which is undertaken by them. </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The best consideration to understand is the case of </w:t>
      </w:r>
      <w:proofErr w:type="spellStart"/>
      <w:r>
        <w:rPr>
          <w:rFonts w:ascii="Times New Roman" w:eastAsia="Times New Roman" w:hAnsi="Times New Roman" w:cs="Times New Roman"/>
          <w:color w:val="000000"/>
          <w:sz w:val="24"/>
          <w:szCs w:val="24"/>
        </w:rPr>
        <w:lastRenderedPageBreak/>
        <w:t>Nettleship</w:t>
      </w:r>
      <w:proofErr w:type="spellEnd"/>
      <w:r>
        <w:rPr>
          <w:rFonts w:ascii="Times New Roman" w:eastAsia="Times New Roman" w:hAnsi="Times New Roman" w:cs="Times New Roman"/>
          <w:color w:val="000000"/>
          <w:sz w:val="24"/>
          <w:szCs w:val="24"/>
        </w:rPr>
        <w:t xml:space="preserve"> Vs Watson. </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In this case, the defendant was the learned driver and taking the classes from the friend, which is the applicant. Previously, approving to inculcate her, the applicant has checked in order to understand if the offender's cover is covering the travellers. After the rotating of the bend, the applicant has inquired to the perpetrator to flatten up the manoeuvre. At this moment, she got </w:t>
      </w:r>
      <w:r>
        <w:rPr>
          <w:rFonts w:ascii="Times New Roman" w:eastAsia="Times New Roman" w:hAnsi="Times New Roman" w:cs="Times New Roman"/>
          <w:sz w:val="24"/>
          <w:szCs w:val="24"/>
        </w:rPr>
        <w:t>freaked out</w:t>
      </w:r>
      <w:r>
        <w:rPr>
          <w:rFonts w:ascii="Times New Roman" w:eastAsia="Times New Roman" w:hAnsi="Times New Roman" w:cs="Times New Roman"/>
          <w:color w:val="000000"/>
          <w:sz w:val="24"/>
          <w:szCs w:val="24"/>
        </w:rPr>
        <w:t xml:space="preserve">, and at the time when the applicant was going to clutch the manoeuvre, the car went down and stopped at the streetlight. </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The outcome of this that came forward was that the claimant's arm got fractured. In doing so, the defendant has argued on the two points. The very first one is that the learner driver should be judged in the contradiction of the inferior normal of the care and short her movements have not breached the customary of the care </w:t>
      </w:r>
      <w:r>
        <w:rPr>
          <w:rFonts w:ascii="Times New Roman" w:eastAsia="Times New Roman" w:hAnsi="Times New Roman" w:cs="Times New Roman"/>
          <w:sz w:val="24"/>
          <w:szCs w:val="24"/>
        </w:rPr>
        <w:t>of</w:t>
      </w:r>
      <w:r>
        <w:rPr>
          <w:rFonts w:ascii="Times New Roman" w:eastAsia="Times New Roman" w:hAnsi="Times New Roman" w:cs="Times New Roman"/>
          <w:color w:val="000000"/>
          <w:sz w:val="24"/>
          <w:szCs w:val="24"/>
        </w:rPr>
        <w:t xml:space="preserve"> the beginner motorist. And the second point is that since the applicant has decided in order to get into the carriage with the beginner, protection of the unpaid taking of the danger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practical. </w:t>
      </w:r>
    </w:p>
    <w:p w14:paraId="00000024"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Eventually, both of these urgings were unsuccessful, and the judges apprehended that somebody who is undertaking the job shall be arbitrated in the contradiction of the standard of the sensibly fit and the capable being that is undertaking the task. Moreover, the additional quarrel was unsuccessful for the reason that the plaintiff does not surrender the privileges that are being established by him when he is checking the insurance of the motorist. </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Thus, the courts have not distinguished the scheme of the capability at </w:t>
      </w:r>
      <w:r>
        <w:rPr>
          <w:rFonts w:ascii="Times New Roman" w:eastAsia="Times New Roman" w:hAnsi="Times New Roman" w:cs="Times New Roman"/>
          <w:sz w:val="24"/>
          <w:szCs w:val="24"/>
        </w:rPr>
        <w:t>least</w:t>
      </w:r>
      <w:r>
        <w:rPr>
          <w:rFonts w:ascii="Times New Roman" w:eastAsia="Times New Roman" w:hAnsi="Times New Roman" w:cs="Times New Roman"/>
          <w:color w:val="000000"/>
          <w:sz w:val="24"/>
          <w:szCs w:val="24"/>
        </w:rPr>
        <w:t xml:space="preserve"> as distant as that knowledge a novel sort of ability is taken into </w:t>
      </w:r>
      <w:r>
        <w:rPr>
          <w:rFonts w:ascii="Times New Roman" w:eastAsia="Times New Roman" w:hAnsi="Times New Roman" w:cs="Times New Roman"/>
          <w:sz w:val="24"/>
          <w:szCs w:val="24"/>
        </w:rPr>
        <w:t>accordance with</w:t>
      </w:r>
      <w:r>
        <w:rPr>
          <w:rFonts w:ascii="Times New Roman" w:eastAsia="Times New Roman" w:hAnsi="Times New Roman" w:cs="Times New Roman"/>
          <w:color w:val="000000"/>
          <w:sz w:val="24"/>
          <w:szCs w:val="24"/>
        </w:rPr>
        <w:t xml:space="preserve">. So, in short, the standard of care is predictable. For example, a coyer who is amateur is similar as the standard of care is predictable for the reasonable archer that is competent as well. Overall, this means that the defendant could not </w:t>
      </w:r>
      <w:r>
        <w:rPr>
          <w:rFonts w:ascii="Times New Roman" w:eastAsia="Times New Roman" w:hAnsi="Times New Roman" w:cs="Times New Roman"/>
          <w:sz w:val="24"/>
          <w:szCs w:val="24"/>
        </w:rPr>
        <w:t>trust their</w:t>
      </w:r>
      <w:r>
        <w:rPr>
          <w:rFonts w:ascii="Times New Roman" w:eastAsia="Times New Roman" w:hAnsi="Times New Roman" w:cs="Times New Roman"/>
          <w:color w:val="000000"/>
          <w:sz w:val="24"/>
          <w:szCs w:val="24"/>
        </w:rPr>
        <w:t xml:space="preserve"> absence of </w:t>
      </w:r>
      <w:r>
        <w:rPr>
          <w:rFonts w:ascii="Times New Roman" w:eastAsia="Times New Roman" w:hAnsi="Times New Roman" w:cs="Times New Roman"/>
          <w:color w:val="000000"/>
          <w:sz w:val="24"/>
          <w:szCs w:val="24"/>
        </w:rPr>
        <w:lastRenderedPageBreak/>
        <w:t xml:space="preserve">ability or the information of the protection. And the greatest vital overall code is related to the breach and is, therefore, it is specified that the appropriate normal of the upkeep is defined as that of the sensibly capable being that is </w:t>
      </w:r>
      <w:r>
        <w:rPr>
          <w:rFonts w:ascii="Times New Roman" w:eastAsia="Times New Roman" w:hAnsi="Times New Roman" w:cs="Times New Roman"/>
          <w:sz w:val="24"/>
          <w:szCs w:val="24"/>
        </w:rPr>
        <w:t>responsible for</w:t>
      </w:r>
      <w:r>
        <w:rPr>
          <w:rFonts w:ascii="Times New Roman" w:eastAsia="Times New Roman" w:hAnsi="Times New Roman" w:cs="Times New Roman"/>
          <w:color w:val="000000"/>
          <w:sz w:val="24"/>
          <w:szCs w:val="24"/>
        </w:rPr>
        <w:t xml:space="preserve"> that particular action. </w:t>
      </w:r>
    </w:p>
    <w:p w14:paraId="00000025" w14:textId="77777777" w:rsidR="00316F00" w:rsidRDefault="008C05DD">
      <w:pPr>
        <w:pStyle w:val="Heading1"/>
        <w:spacing w:line="480" w:lineRule="auto"/>
        <w:jc w:val="both"/>
        <w:rPr>
          <w:rFonts w:ascii="Times New Roman" w:eastAsia="Times New Roman" w:hAnsi="Times New Roman" w:cs="Times New Roman"/>
          <w:b/>
          <w:i/>
          <w:color w:val="000000"/>
          <w:sz w:val="24"/>
          <w:szCs w:val="24"/>
        </w:rPr>
      </w:pPr>
      <w:bookmarkStart w:id="5" w:name="_heading=h.2et92p0" w:colFirst="0" w:colLast="0"/>
      <w:bookmarkEnd w:id="5"/>
      <w:r>
        <w:rPr>
          <w:rFonts w:ascii="Times New Roman" w:eastAsia="Times New Roman" w:hAnsi="Times New Roman" w:cs="Times New Roman"/>
          <w:b/>
          <w:i/>
          <w:color w:val="000000"/>
          <w:sz w:val="24"/>
          <w:szCs w:val="24"/>
        </w:rPr>
        <w:t xml:space="preserve">Factors that provides the breach of the standard of care: </w:t>
      </w:r>
    </w:p>
    <w:p w14:paraId="00000026" w14:textId="77777777" w:rsidR="00316F00" w:rsidRDefault="008C05DD">
      <w:pPr>
        <w:spacing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courts, however, are going to </w:t>
      </w:r>
      <w:r>
        <w:rPr>
          <w:rFonts w:ascii="Times New Roman" w:eastAsia="Times New Roman" w:hAnsi="Times New Roman" w:cs="Times New Roman"/>
          <w:sz w:val="24"/>
          <w:szCs w:val="24"/>
        </w:rPr>
        <w:t>look at</w:t>
      </w:r>
      <w:r>
        <w:rPr>
          <w:rFonts w:ascii="Times New Roman" w:eastAsia="Times New Roman" w:hAnsi="Times New Roman" w:cs="Times New Roman"/>
          <w:color w:val="000000"/>
          <w:sz w:val="24"/>
          <w:szCs w:val="24"/>
        </w:rPr>
        <w:t xml:space="preserve"> the novel situation, which tends to defy the abrupt and rapid orientation to the being in terms of their sole conditions and the facts.</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In short, for this reason, the court has created a framework that is being dealt with the factors and the reasons that surround the given incidence </w:t>
      </w:r>
      <w:r>
        <w:rPr>
          <w:rFonts w:ascii="Times New Roman" w:eastAsia="Times New Roman" w:hAnsi="Times New Roman" w:cs="Times New Roman"/>
          <w:sz w:val="24"/>
          <w:szCs w:val="24"/>
        </w:rPr>
        <w:t>of negligence</w:t>
      </w:r>
      <w:r>
        <w:rPr>
          <w:rFonts w:ascii="Times New Roman" w:eastAsia="Times New Roman" w:hAnsi="Times New Roman" w:cs="Times New Roman"/>
          <w:color w:val="000000"/>
          <w:sz w:val="24"/>
          <w:szCs w:val="24"/>
        </w:rPr>
        <w:t xml:space="preserve">.  </w:t>
      </w:r>
    </w:p>
    <w:p w14:paraId="00000027" w14:textId="77777777" w:rsidR="00316F00" w:rsidRDefault="008C05DD">
      <w:pPr>
        <w:pStyle w:val="Heading2"/>
        <w:spacing w:line="480" w:lineRule="auto"/>
        <w:jc w:val="both"/>
        <w:rPr>
          <w:rFonts w:ascii="Times New Roman" w:eastAsia="Times New Roman" w:hAnsi="Times New Roman" w:cs="Times New Roman"/>
          <w:i/>
          <w:color w:val="000000"/>
          <w:sz w:val="24"/>
          <w:szCs w:val="24"/>
        </w:rPr>
      </w:pPr>
      <w:bookmarkStart w:id="6" w:name="_heading=h.tyjcwt" w:colFirst="0" w:colLast="0"/>
      <w:bookmarkEnd w:id="6"/>
      <w:r>
        <w:rPr>
          <w:rFonts w:ascii="Times New Roman" w:eastAsia="Times New Roman" w:hAnsi="Times New Roman" w:cs="Times New Roman"/>
          <w:i/>
          <w:color w:val="000000"/>
          <w:sz w:val="24"/>
          <w:szCs w:val="24"/>
        </w:rPr>
        <w:t>Magnitude of Risk</w:t>
      </w:r>
    </w:p>
    <w:p w14:paraId="00000028" w14:textId="77777777" w:rsidR="00316F00" w:rsidRDefault="008C05DD">
      <w:pPr>
        <w:spacing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two methods, or it can be said as the ways through which the greatness of the danger is affecting the standard of the care. The first amongst </w:t>
      </w:r>
      <w:r>
        <w:rPr>
          <w:rFonts w:ascii="Times New Roman" w:eastAsia="Times New Roman" w:hAnsi="Times New Roman" w:cs="Times New Roman"/>
          <w:sz w:val="24"/>
          <w:szCs w:val="24"/>
        </w:rPr>
        <w:t>these</w:t>
      </w:r>
      <w:r>
        <w:rPr>
          <w:rFonts w:ascii="Times New Roman" w:eastAsia="Times New Roman" w:hAnsi="Times New Roman" w:cs="Times New Roman"/>
          <w:color w:val="000000"/>
          <w:sz w:val="24"/>
          <w:szCs w:val="24"/>
        </w:rPr>
        <w:t xml:space="preserve"> is the likelihood of the occurrence of the danger, and the additional one is the importance of the danger that is tortuous. For instance, if the risk is pronounced chiefly, then there will be anticipation that the sensible being will be acting in order to prevent the occurrence of the risk. In the case of Bolton Vs Stone and Miller Vs Jackson, both of the cases involve the damages that are caused by the errant balls that are used in cricket. In accordance with this, in the previous incident, it was evident that the cricket balls have infrequently absented the crushed of the cricket; therefore, the jeopardy of the injury was a little less. </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On the </w:t>
      </w:r>
      <w:r>
        <w:rPr>
          <w:rFonts w:ascii="Times New Roman" w:eastAsia="Times New Roman" w:hAnsi="Times New Roman" w:cs="Times New Roman"/>
          <w:sz w:val="24"/>
          <w:szCs w:val="24"/>
        </w:rPr>
        <w:t>other hand</w:t>
      </w:r>
      <w:r>
        <w:rPr>
          <w:rFonts w:ascii="Times New Roman" w:eastAsia="Times New Roman" w:hAnsi="Times New Roman" w:cs="Times New Roman"/>
          <w:color w:val="000000"/>
          <w:sz w:val="24"/>
          <w:szCs w:val="24"/>
        </w:rPr>
        <w:t xml:space="preserve">, in the concluding case, the cricket balls have left the ground quite a lot of times every season, which points to the risk of the reoccurrence. Nevertheless, the </w:t>
      </w:r>
      <w:r>
        <w:rPr>
          <w:rFonts w:ascii="Times New Roman" w:eastAsia="Times New Roman" w:hAnsi="Times New Roman" w:cs="Times New Roman"/>
          <w:color w:val="000000"/>
          <w:sz w:val="24"/>
          <w:szCs w:val="24"/>
        </w:rPr>
        <w:lastRenderedPageBreak/>
        <w:t xml:space="preserve">damage in both of the cases was similar, and the negligence was evident in the latter case </w:t>
      </w:r>
      <w:r>
        <w:rPr>
          <w:rFonts w:ascii="Times New Roman" w:eastAsia="Times New Roman" w:hAnsi="Times New Roman" w:cs="Times New Roman"/>
          <w:sz w:val="24"/>
          <w:szCs w:val="24"/>
        </w:rPr>
        <w:t>as the</w:t>
      </w:r>
      <w:r>
        <w:rPr>
          <w:rFonts w:ascii="Times New Roman" w:eastAsia="Times New Roman" w:hAnsi="Times New Roman" w:cs="Times New Roman"/>
          <w:color w:val="000000"/>
          <w:sz w:val="24"/>
          <w:szCs w:val="24"/>
        </w:rPr>
        <w:t xml:space="preserve"> likelihood of the injury was higher, so this applied to the breach of the standard of care. </w:t>
      </w:r>
      <w:r>
        <w:rPr>
          <w:rFonts w:ascii="Times New Roman" w:eastAsia="Times New Roman" w:hAnsi="Times New Roman" w:cs="Times New Roman"/>
          <w:color w:val="000000"/>
          <w:sz w:val="24"/>
          <w:szCs w:val="24"/>
          <w:vertAlign w:val="superscript"/>
        </w:rPr>
        <w:footnoteReference w:id="12"/>
      </w:r>
    </w:p>
    <w:p w14:paraId="00000029" w14:textId="77777777" w:rsidR="00316F00" w:rsidRDefault="008C05DD">
      <w:pPr>
        <w:pStyle w:val="Heading2"/>
        <w:spacing w:line="480" w:lineRule="auto"/>
        <w:jc w:val="both"/>
        <w:rPr>
          <w:rFonts w:ascii="Times New Roman" w:eastAsia="Times New Roman" w:hAnsi="Times New Roman" w:cs="Times New Roman"/>
          <w:i/>
          <w:color w:val="000000"/>
          <w:sz w:val="24"/>
          <w:szCs w:val="24"/>
        </w:rPr>
      </w:pPr>
      <w:bookmarkStart w:id="7" w:name="_heading=h.3dy6vkm" w:colFirst="0" w:colLast="0"/>
      <w:bookmarkEnd w:id="7"/>
      <w:r>
        <w:rPr>
          <w:rFonts w:ascii="Times New Roman" w:eastAsia="Times New Roman" w:hAnsi="Times New Roman" w:cs="Times New Roman"/>
          <w:i/>
          <w:color w:val="000000"/>
          <w:sz w:val="24"/>
          <w:szCs w:val="24"/>
        </w:rPr>
        <w:t>Protection Cost</w:t>
      </w:r>
    </w:p>
    <w:p w14:paraId="0000002A"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protection of the cost tends to be considered by the court when it applies to the standard of care. In short, the inferior the price of the protection, the more sensible it is going to </w:t>
      </w:r>
      <w:r>
        <w:rPr>
          <w:rFonts w:ascii="Times New Roman" w:eastAsia="Times New Roman" w:hAnsi="Times New Roman" w:cs="Times New Roman"/>
          <w:sz w:val="24"/>
          <w:szCs w:val="24"/>
        </w:rPr>
        <w:t>be for</w:t>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sz w:val="24"/>
          <w:szCs w:val="24"/>
        </w:rPr>
        <w:t>perpetrator to</w:t>
      </w:r>
      <w:r>
        <w:rPr>
          <w:rFonts w:ascii="Times New Roman" w:eastAsia="Times New Roman" w:hAnsi="Times New Roman" w:cs="Times New Roman"/>
          <w:color w:val="000000"/>
          <w:sz w:val="24"/>
          <w:szCs w:val="24"/>
        </w:rPr>
        <w:t xml:space="preserve"> be </w:t>
      </w:r>
      <w:r>
        <w:rPr>
          <w:rFonts w:ascii="Times New Roman" w:eastAsia="Times New Roman" w:hAnsi="Times New Roman" w:cs="Times New Roman"/>
          <w:sz w:val="24"/>
          <w:szCs w:val="24"/>
        </w:rPr>
        <w:t>detained</w:t>
      </w:r>
      <w:r>
        <w:rPr>
          <w:rFonts w:ascii="Times New Roman" w:eastAsia="Times New Roman" w:hAnsi="Times New Roman" w:cs="Times New Roman"/>
          <w:color w:val="000000"/>
          <w:sz w:val="24"/>
          <w:szCs w:val="24"/>
        </w:rPr>
        <w:t xml:space="preserve">. Moreover, the case of Latimer Vs AEC Ltd is the best explanation for this. In addition to this, the claimant was employed in the factory that became flooded after the occurrence of the weighty gale. </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Consequently, the rainwater was varied up with the oil-based chilling cause is utilised in the sweatshop and this has left an oily movie on the ground of the factory after the aquatic was exhausted out. At the same time, the perpetrators have feasted the sawdust over the majority of the base since they do not have sufficient sawdust in order to shelter the total of it. However, the applicant suffered from the injury when he slipped on the floor that was uncovered.</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 xml:space="preserve"> In terms of that, the right thought was unsuccessful. The possible and the only method to prevent the danger would have been to shut off the pretentious share of the shop pending it has been completely drained off, and this was detained to be a </w:t>
      </w:r>
      <w:r>
        <w:rPr>
          <w:rFonts w:ascii="Times New Roman" w:eastAsia="Times New Roman" w:hAnsi="Times New Roman" w:cs="Times New Roman"/>
          <w:sz w:val="24"/>
          <w:szCs w:val="24"/>
        </w:rPr>
        <w:t>disproportionately</w:t>
      </w:r>
      <w:r>
        <w:rPr>
          <w:rFonts w:ascii="Times New Roman" w:eastAsia="Times New Roman" w:hAnsi="Times New Roman" w:cs="Times New Roman"/>
          <w:color w:val="000000"/>
          <w:sz w:val="24"/>
          <w:szCs w:val="24"/>
        </w:rPr>
        <w:t xml:space="preserve"> luxurious step to be occupied. As such, not the final of the affected unit of the sweatshop does not open the sensible standard </w:t>
      </w:r>
      <w:r>
        <w:rPr>
          <w:rFonts w:ascii="Times New Roman" w:eastAsia="Times New Roman" w:hAnsi="Times New Roman" w:cs="Times New Roman"/>
          <w:sz w:val="24"/>
          <w:szCs w:val="24"/>
        </w:rPr>
        <w:t>of care</w:t>
      </w:r>
      <w:r>
        <w:rPr>
          <w:rFonts w:ascii="Times New Roman" w:eastAsia="Times New Roman" w:hAnsi="Times New Roman" w:cs="Times New Roman"/>
          <w:color w:val="000000"/>
          <w:sz w:val="24"/>
          <w:szCs w:val="24"/>
        </w:rPr>
        <w:t xml:space="preserve">, and the right was initially botched. </w:t>
      </w:r>
    </w:p>
    <w:p w14:paraId="0000002B" w14:textId="77777777" w:rsidR="00316F00" w:rsidRDefault="008C05DD">
      <w:pPr>
        <w:pStyle w:val="Heading1"/>
        <w:spacing w:line="480" w:lineRule="auto"/>
        <w:jc w:val="both"/>
        <w:rPr>
          <w:rFonts w:ascii="Times New Roman" w:eastAsia="Times New Roman" w:hAnsi="Times New Roman" w:cs="Times New Roman"/>
          <w:b/>
          <w:i/>
          <w:color w:val="000000"/>
          <w:sz w:val="24"/>
          <w:szCs w:val="24"/>
        </w:rPr>
      </w:pPr>
      <w:bookmarkStart w:id="8" w:name="_heading=h.1t3h5sf" w:colFirst="0" w:colLast="0"/>
      <w:bookmarkEnd w:id="8"/>
      <w:r>
        <w:rPr>
          <w:rFonts w:ascii="Times New Roman" w:eastAsia="Times New Roman" w:hAnsi="Times New Roman" w:cs="Times New Roman"/>
          <w:b/>
          <w:i/>
          <w:color w:val="000000"/>
          <w:sz w:val="24"/>
          <w:szCs w:val="24"/>
        </w:rPr>
        <w:lastRenderedPageBreak/>
        <w:t>Sporting Events</w:t>
      </w:r>
    </w:p>
    <w:p w14:paraId="0000002C" w14:textId="77777777" w:rsidR="00316F00" w:rsidRDefault="008C05DD">
      <w:pPr>
        <w:pBdr>
          <w:top w:val="nil"/>
          <w:left w:val="nil"/>
          <w:bottom w:val="nil"/>
          <w:right w:val="nil"/>
          <w:between w:val="nil"/>
        </w:pBdr>
        <w:shd w:val="clear" w:color="auto" w:fill="FFFFFF"/>
        <w:spacing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benches will likewise smear an alternate norm of upkeep to those partaking in games than it normally would. This is shown in </w:t>
      </w:r>
      <w:r>
        <w:rPr>
          <w:rFonts w:ascii="Times New Roman" w:eastAsia="Times New Roman" w:hAnsi="Times New Roman" w:cs="Times New Roman"/>
          <w:sz w:val="24"/>
          <w:szCs w:val="24"/>
        </w:rPr>
        <w:t>Wooldridge</w:t>
      </w:r>
      <w:r>
        <w:rPr>
          <w:rFonts w:ascii="Times New Roman" w:eastAsia="Times New Roman" w:hAnsi="Times New Roman" w:cs="Times New Roman"/>
          <w:color w:val="000000"/>
          <w:sz w:val="24"/>
          <w:szCs w:val="24"/>
        </w:rPr>
        <w:t xml:space="preserve"> v Sumner [1963] 2 QB 43</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The litigant was partaking in a riding occasion when his pony ran wild, left-hand the pathway and harmed a watching picture taker. It was held that there was no carelessness concerning the proviso, somewhat an essential mistake of judgment (which may sensibly be complete by a member.) </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The basis behind such a choice is additionally inferred upon by </w:t>
      </w:r>
      <w:proofErr w:type="spellStart"/>
      <w:r>
        <w:rPr>
          <w:rFonts w:ascii="Times New Roman" w:eastAsia="Times New Roman" w:hAnsi="Times New Roman" w:cs="Times New Roman"/>
          <w:color w:val="000000"/>
          <w:sz w:val="24"/>
          <w:szCs w:val="24"/>
        </w:rPr>
        <w:t>Diplock</w:t>
      </w:r>
      <w:proofErr w:type="spellEnd"/>
      <w:r>
        <w:rPr>
          <w:rFonts w:ascii="Times New Roman" w:eastAsia="Times New Roman" w:hAnsi="Times New Roman" w:cs="Times New Roman"/>
          <w:color w:val="000000"/>
          <w:sz w:val="24"/>
          <w:szCs w:val="24"/>
        </w:rPr>
        <w:t xml:space="preserve"> LJ at 67: "A sensible onlooker going too </w:t>
      </w:r>
      <w:r>
        <w:rPr>
          <w:rFonts w:ascii="Times New Roman" w:eastAsia="Times New Roman" w:hAnsi="Times New Roman" w:cs="Times New Roman"/>
          <w:sz w:val="24"/>
          <w:szCs w:val="24"/>
        </w:rPr>
        <w:t>deliberately to observe</w:t>
      </w:r>
      <w:r>
        <w:rPr>
          <w:rFonts w:ascii="Times New Roman" w:eastAsia="Times New Roman" w:hAnsi="Times New Roman" w:cs="Times New Roman"/>
          <w:color w:val="000000"/>
          <w:sz w:val="24"/>
          <w:szCs w:val="24"/>
        </w:rPr>
        <w:t xml:space="preserve"> any game or contest knows and wants that a sensible member will focus his endeavours on winning. If the member does as such focus his </w:t>
      </w:r>
      <w:r>
        <w:rPr>
          <w:rFonts w:ascii="Times New Roman" w:eastAsia="Times New Roman" w:hAnsi="Times New Roman" w:cs="Times New Roman"/>
          <w:sz w:val="24"/>
          <w:szCs w:val="24"/>
        </w:rPr>
        <w:t>consideration on whether</w:t>
      </w:r>
      <w:r>
        <w:rPr>
          <w:rFonts w:ascii="Times New Roman" w:eastAsia="Times New Roman" w:hAnsi="Times New Roman" w:cs="Times New Roman"/>
          <w:color w:val="000000"/>
          <w:sz w:val="24"/>
          <w:szCs w:val="24"/>
        </w:rPr>
        <w:t xml:space="preserve"> or not any slip-up he makes </w:t>
      </w:r>
      <w:r>
        <w:rPr>
          <w:rFonts w:ascii="Times New Roman" w:eastAsia="Times New Roman" w:hAnsi="Times New Roman" w:cs="Times New Roman"/>
          <w:sz w:val="24"/>
          <w:szCs w:val="24"/>
        </w:rPr>
        <w:t>adds</w:t>
      </w:r>
      <w:r>
        <w:rPr>
          <w:rFonts w:ascii="Times New Roman" w:eastAsia="Times New Roman" w:hAnsi="Times New Roman" w:cs="Times New Roman"/>
          <w:color w:val="000000"/>
          <w:sz w:val="24"/>
          <w:szCs w:val="24"/>
        </w:rPr>
        <w:t xml:space="preserve"> up to a break of obligation to take sensible consideration should assess these </w:t>
      </w:r>
      <w:r>
        <w:rPr>
          <w:rFonts w:ascii="Times New Roman" w:eastAsia="Times New Roman" w:hAnsi="Times New Roman" w:cs="Times New Roman"/>
          <w:sz w:val="24"/>
          <w:szCs w:val="24"/>
        </w:rPr>
        <w:t>conditions' '</w:t>
      </w:r>
      <w:r>
        <w:rPr>
          <w:rFonts w:ascii="Times New Roman" w:eastAsia="Times New Roman" w:hAnsi="Times New Roman" w:cs="Times New Roman"/>
          <w:color w:val="000000"/>
          <w:sz w:val="24"/>
          <w:szCs w:val="24"/>
        </w:rPr>
        <w:t xml:space="preserve">. Basically, </w:t>
      </w:r>
      <w:proofErr w:type="spellStart"/>
      <w:r>
        <w:rPr>
          <w:rFonts w:ascii="Times New Roman" w:eastAsia="Times New Roman" w:hAnsi="Times New Roman" w:cs="Times New Roman"/>
          <w:color w:val="000000"/>
          <w:sz w:val="24"/>
          <w:szCs w:val="24"/>
        </w:rPr>
        <w:t>Diplock</w:t>
      </w:r>
      <w:proofErr w:type="spellEnd"/>
      <w:r>
        <w:rPr>
          <w:rFonts w:ascii="Times New Roman" w:eastAsia="Times New Roman" w:hAnsi="Times New Roman" w:cs="Times New Roman"/>
          <w:color w:val="000000"/>
          <w:sz w:val="24"/>
          <w:szCs w:val="24"/>
        </w:rPr>
        <w:t xml:space="preserve"> LJ takes note of the inborn dangers implied in tiring movements - they often contain poignant faster or extra </w:t>
      </w:r>
      <w:r>
        <w:rPr>
          <w:rFonts w:ascii="Times New Roman" w:eastAsia="Times New Roman" w:hAnsi="Times New Roman" w:cs="Times New Roman"/>
          <w:sz w:val="24"/>
          <w:szCs w:val="24"/>
        </w:rPr>
        <w:t>unrestrained less</w:t>
      </w:r>
      <w:r>
        <w:rPr>
          <w:rFonts w:ascii="Times New Roman" w:eastAsia="Times New Roman" w:hAnsi="Times New Roman" w:cs="Times New Roman"/>
          <w:color w:val="000000"/>
          <w:sz w:val="24"/>
          <w:szCs w:val="24"/>
        </w:rPr>
        <w:t xml:space="preserve"> than would conventionally be required from a person. </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Consider the distinction between somebody driving out and about and somebody driving on a race track - while the action is comparative, the normal norm of conduct contrasts significantly. This is considered by the law.</w:t>
      </w:r>
    </w:p>
    <w:p w14:paraId="0000002D" w14:textId="77777777" w:rsidR="00316F00" w:rsidRDefault="008C05DD">
      <w:pPr>
        <w:spacing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Nonetheless, it is valuable as a primary concern that members in donning exercises should, in any case, act in a way sensibly expected of somebody playing that game. This is displayed in Caldwell v Maguire [2001] EWCA </w:t>
      </w:r>
      <w:proofErr w:type="spellStart"/>
      <w:r>
        <w:rPr>
          <w:rFonts w:ascii="Times New Roman" w:eastAsia="Times New Roman" w:hAnsi="Times New Roman" w:cs="Times New Roman"/>
          <w:color w:val="000000"/>
          <w:sz w:val="24"/>
          <w:szCs w:val="24"/>
        </w:rPr>
        <w:t>Civ</w:t>
      </w:r>
      <w:proofErr w:type="spellEnd"/>
      <w:r>
        <w:rPr>
          <w:rFonts w:ascii="Times New Roman" w:eastAsia="Times New Roman" w:hAnsi="Times New Roman" w:cs="Times New Roman"/>
          <w:color w:val="000000"/>
          <w:sz w:val="24"/>
          <w:szCs w:val="24"/>
        </w:rPr>
        <w:t xml:space="preserve"> 1054 - the inquirer was harmed when he tumbled off his pony during a race. It was presented that two other racers had embraced a perilous move, causing the descent</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xml:space="preserve">. In inspecting the case, the courts noticed that while the principles of conduct that </w:t>
      </w:r>
      <w:r>
        <w:rPr>
          <w:rFonts w:ascii="Times New Roman" w:eastAsia="Times New Roman" w:hAnsi="Times New Roman" w:cs="Times New Roman"/>
          <w:color w:val="000000"/>
          <w:sz w:val="24"/>
          <w:szCs w:val="24"/>
        </w:rPr>
        <w:lastRenderedPageBreak/>
        <w:t>apply in wearing circumstances are lower than those which may apply in daily existence, this doesn't imply that guidelines don't exist in the donning domain by any means. All things considered, brandishing contenders are as yet expected to act sensibly - both as far as adhering to the guidelines of a game and as far as acting with ability and fitness</w:t>
      </w:r>
    </w:p>
    <w:p w14:paraId="0000002E" w14:textId="77777777" w:rsidR="00316F00" w:rsidRDefault="008C05DD">
      <w:pPr>
        <w:pStyle w:val="Heading1"/>
        <w:spacing w:line="480" w:lineRule="auto"/>
        <w:jc w:val="both"/>
        <w:rPr>
          <w:rFonts w:ascii="Times New Roman" w:eastAsia="Times New Roman" w:hAnsi="Times New Roman" w:cs="Times New Roman"/>
          <w:b/>
          <w:i/>
          <w:color w:val="000000"/>
          <w:sz w:val="24"/>
          <w:szCs w:val="24"/>
        </w:rPr>
      </w:pPr>
      <w:bookmarkStart w:id="9" w:name="_heading=h.4d34og8" w:colFirst="0" w:colLast="0"/>
      <w:bookmarkEnd w:id="9"/>
      <w:r>
        <w:rPr>
          <w:rFonts w:ascii="Times New Roman" w:eastAsia="Times New Roman" w:hAnsi="Times New Roman" w:cs="Times New Roman"/>
          <w:b/>
          <w:i/>
          <w:color w:val="000000"/>
          <w:sz w:val="24"/>
          <w:szCs w:val="24"/>
        </w:rPr>
        <w:t xml:space="preserve">Horseplay </w:t>
      </w:r>
    </w:p>
    <w:p w14:paraId="0000002F" w14:textId="77777777" w:rsidR="00316F00" w:rsidRDefault="008C05DD">
      <w:pPr>
        <w:pBdr>
          <w:top w:val="nil"/>
          <w:left w:val="nil"/>
          <w:bottom w:val="nil"/>
          <w:right w:val="nil"/>
          <w:between w:val="nil"/>
        </w:pBdr>
        <w:shd w:val="clear" w:color="auto" w:fill="FFFFFF"/>
        <w:spacing w:after="24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Everybody realises that youngsters need to mess around and enjoy horseplay. In any case, when crude playing prompts injury and cases are brought, presence of mind directs that appropriate respect must be assumed to the idea of the exercises frolicked and the assent that members get with their association with the movement. With the continuous dread of a US-style pay ethos never a long way from the people's brain, or possibly from the well-known press' plan, it stays as significant as could be expected to figure out where the commandment defines the boundary amid remuneration existence recoverable, and the harmed gathering actuality passed on to tolerate the grievous misfortune short of review</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Two Court of Appeal cases best bring into the centre the mind-boggling law around here, Blake v Galloway [2004] 3 All ER 315 ('Blake')</w:t>
      </w:r>
      <w:r>
        <w:rPr>
          <w:rFonts w:ascii="Times New Roman" w:eastAsia="Times New Roman" w:hAnsi="Times New Roman" w:cs="Times New Roman"/>
          <w:color w:val="000000"/>
          <w:sz w:val="24"/>
          <w:szCs w:val="24"/>
          <w:vertAlign w:val="superscript"/>
        </w:rPr>
        <w:footnoteReference w:id="20"/>
      </w:r>
      <w:r>
        <w:rPr>
          <w:rFonts w:ascii="Times New Roman" w:eastAsia="Times New Roman" w:hAnsi="Times New Roman" w:cs="Times New Roman"/>
          <w:color w:val="000000"/>
          <w:sz w:val="24"/>
          <w:szCs w:val="24"/>
        </w:rPr>
        <w:t xml:space="preserve"> and Orchard v Lee [2009] EWCA </w:t>
      </w:r>
      <w:proofErr w:type="spellStart"/>
      <w:r>
        <w:rPr>
          <w:rFonts w:ascii="Times New Roman" w:eastAsia="Times New Roman" w:hAnsi="Times New Roman" w:cs="Times New Roman"/>
          <w:color w:val="000000"/>
          <w:sz w:val="24"/>
          <w:szCs w:val="24"/>
        </w:rPr>
        <w:t>Civ</w:t>
      </w:r>
      <w:proofErr w:type="spellEnd"/>
      <w:r>
        <w:rPr>
          <w:rFonts w:ascii="Times New Roman" w:eastAsia="Times New Roman" w:hAnsi="Times New Roman" w:cs="Times New Roman"/>
          <w:color w:val="000000"/>
          <w:sz w:val="24"/>
          <w:szCs w:val="24"/>
        </w:rPr>
        <w:t xml:space="preserve"> 295, [2009] P.I.Q.R. P16 ('Orchard')</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000"/>
          <w:sz w:val="24"/>
          <w:szCs w:val="24"/>
        </w:rPr>
        <w:t xml:space="preserve">. Both include claims that a kid had acted carelessly, and in both, a central point of contention was whether there had been a break of the customary law obligation of care. In Blake, the suit was between the two </w:t>
      </w:r>
      <w:r>
        <w:rPr>
          <w:rFonts w:ascii="Times New Roman" w:eastAsia="Times New Roman" w:hAnsi="Times New Roman" w:cs="Times New Roman"/>
          <w:sz w:val="24"/>
          <w:szCs w:val="24"/>
        </w:rPr>
        <w:t>members joking</w:t>
      </w:r>
      <w:r>
        <w:rPr>
          <w:rFonts w:ascii="Times New Roman" w:eastAsia="Times New Roman" w:hAnsi="Times New Roman" w:cs="Times New Roman"/>
          <w:color w:val="000000"/>
          <w:sz w:val="24"/>
          <w:szCs w:val="24"/>
        </w:rPr>
        <w:t xml:space="preserve"> around; in Orchard, just the litigant was a member; the harmed petitioner was a school noon associate regulating the kids. It was not questioned that, as a rule, an obligation of care exists between members in sports and games. </w:t>
      </w:r>
    </w:p>
    <w:p w14:paraId="00000030" w14:textId="77777777" w:rsidR="00316F00" w:rsidRDefault="008C05DD">
      <w:pPr>
        <w:pBdr>
          <w:top w:val="nil"/>
          <w:left w:val="nil"/>
          <w:bottom w:val="nil"/>
          <w:right w:val="nil"/>
          <w:between w:val="nil"/>
        </w:pBdr>
        <w:shd w:val="clear" w:color="auto" w:fill="FFFFFF"/>
        <w:spacing w:after="24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Considerably more troublesome is whether there has been a break of obligation on the specific realities. Since no specialists were referred to under the watchful eye of the court which managed carelessness according to injury caused throughout clowning around (this is to some degree astonishing as Mullin v Richards [1998] 1 WLR 1304</w:t>
      </w:r>
      <w:r>
        <w:rPr>
          <w:rFonts w:ascii="Times New Roman" w:eastAsia="Times New Roman" w:hAnsi="Times New Roman" w:cs="Times New Roman"/>
          <w:color w:val="000000"/>
          <w:sz w:val="24"/>
          <w:szCs w:val="24"/>
          <w:vertAlign w:val="superscript"/>
        </w:rPr>
        <w:footnoteReference w:id="22"/>
      </w:r>
      <w:r>
        <w:rPr>
          <w:rFonts w:ascii="Times New Roman" w:eastAsia="Times New Roman" w:hAnsi="Times New Roman" w:cs="Times New Roman"/>
          <w:color w:val="000000"/>
          <w:sz w:val="24"/>
          <w:szCs w:val="24"/>
        </w:rPr>
        <w:t xml:space="preserve"> considers the issue comparable to a student being harmed in a homeroom ruler battle), the court turned for help to situations where individuals have been harmed in more directed games and games, for example, </w:t>
      </w:r>
      <w:r>
        <w:rPr>
          <w:rFonts w:ascii="Times New Roman" w:eastAsia="Times New Roman" w:hAnsi="Times New Roman" w:cs="Times New Roman"/>
          <w:sz w:val="24"/>
          <w:szCs w:val="24"/>
        </w:rPr>
        <w:t>horse racing</w:t>
      </w:r>
      <w:r>
        <w:rPr>
          <w:rFonts w:ascii="Times New Roman" w:eastAsia="Times New Roman" w:hAnsi="Times New Roman" w:cs="Times New Roman"/>
          <w:color w:val="000000"/>
          <w:sz w:val="24"/>
          <w:szCs w:val="24"/>
        </w:rPr>
        <w:t xml:space="preserve"> (Wooldridge v Sumner [1963] 2 QB 43</w:t>
      </w:r>
      <w:r>
        <w:rPr>
          <w:rFonts w:ascii="Times New Roman" w:eastAsia="Times New Roman" w:hAnsi="Times New Roman" w:cs="Times New Roman"/>
          <w:color w:val="000000"/>
          <w:sz w:val="24"/>
          <w:szCs w:val="24"/>
          <w:vertAlign w:val="superscript"/>
        </w:rPr>
        <w:footnoteReference w:id="23"/>
      </w:r>
      <w:r>
        <w:rPr>
          <w:rFonts w:ascii="Times New Roman" w:eastAsia="Times New Roman" w:hAnsi="Times New Roman" w:cs="Times New Roman"/>
          <w:color w:val="000000"/>
          <w:sz w:val="24"/>
          <w:szCs w:val="24"/>
        </w:rPr>
        <w:t>; Caldwell v Maguire [2002] PIQR P45), football (</w:t>
      </w:r>
      <w:proofErr w:type="spellStart"/>
      <w:r>
        <w:rPr>
          <w:rFonts w:ascii="Times New Roman" w:eastAsia="Times New Roman" w:hAnsi="Times New Roman" w:cs="Times New Roman"/>
          <w:color w:val="000000"/>
          <w:sz w:val="24"/>
          <w:szCs w:val="24"/>
        </w:rPr>
        <w:t>Condron</w:t>
      </w:r>
      <w:proofErr w:type="spellEnd"/>
      <w:r>
        <w:rPr>
          <w:rFonts w:ascii="Times New Roman" w:eastAsia="Times New Roman" w:hAnsi="Times New Roman" w:cs="Times New Roman"/>
          <w:color w:val="000000"/>
          <w:sz w:val="24"/>
          <w:szCs w:val="24"/>
        </w:rPr>
        <w:t xml:space="preserve"> v </w:t>
      </w:r>
      <w:proofErr w:type="spellStart"/>
      <w:r>
        <w:rPr>
          <w:rFonts w:ascii="Times New Roman" w:eastAsia="Times New Roman" w:hAnsi="Times New Roman" w:cs="Times New Roman"/>
          <w:color w:val="000000"/>
          <w:sz w:val="24"/>
          <w:szCs w:val="24"/>
        </w:rPr>
        <w:t>Basi</w:t>
      </w:r>
      <w:proofErr w:type="spellEnd"/>
      <w:r>
        <w:rPr>
          <w:rFonts w:ascii="Times New Roman" w:eastAsia="Times New Roman" w:hAnsi="Times New Roman" w:cs="Times New Roman"/>
          <w:color w:val="000000"/>
          <w:sz w:val="24"/>
          <w:szCs w:val="24"/>
        </w:rPr>
        <w:t xml:space="preserve"> [1985] 2 All ER 453)</w:t>
      </w:r>
      <w:r>
        <w:rPr>
          <w:rFonts w:ascii="Times New Roman" w:eastAsia="Times New Roman" w:hAnsi="Times New Roman" w:cs="Times New Roman"/>
          <w:color w:val="000000"/>
          <w:sz w:val="24"/>
          <w:szCs w:val="24"/>
          <w:vertAlign w:val="superscript"/>
        </w:rPr>
        <w:footnoteReference w:id="24"/>
      </w:r>
      <w:r>
        <w:rPr>
          <w:rFonts w:ascii="Times New Roman" w:eastAsia="Times New Roman" w:hAnsi="Times New Roman" w:cs="Times New Roman"/>
          <w:color w:val="000000"/>
          <w:sz w:val="24"/>
          <w:szCs w:val="24"/>
        </w:rPr>
        <w:t xml:space="preserve"> and water-skiing (</w:t>
      </w:r>
      <w:proofErr w:type="spellStart"/>
      <w:r>
        <w:rPr>
          <w:rFonts w:ascii="Times New Roman" w:eastAsia="Times New Roman" w:hAnsi="Times New Roman" w:cs="Times New Roman"/>
          <w:color w:val="000000"/>
          <w:sz w:val="24"/>
          <w:szCs w:val="24"/>
        </w:rPr>
        <w:t>Rootes</w:t>
      </w:r>
      <w:proofErr w:type="spellEnd"/>
      <w:r>
        <w:rPr>
          <w:rFonts w:ascii="Times New Roman" w:eastAsia="Times New Roman" w:hAnsi="Times New Roman" w:cs="Times New Roman"/>
          <w:color w:val="000000"/>
          <w:sz w:val="24"/>
          <w:szCs w:val="24"/>
        </w:rPr>
        <w:t xml:space="preserve"> v Shelton [1968] ALR 33)</w:t>
      </w:r>
      <w:r>
        <w:rPr>
          <w:rFonts w:ascii="Times New Roman" w:eastAsia="Times New Roman" w:hAnsi="Times New Roman" w:cs="Times New Roman"/>
          <w:color w:val="000000"/>
          <w:sz w:val="24"/>
          <w:szCs w:val="24"/>
          <w:vertAlign w:val="superscript"/>
        </w:rPr>
        <w:footnoteReference w:id="25"/>
      </w:r>
      <w:r>
        <w:rPr>
          <w:rFonts w:ascii="Times New Roman" w:eastAsia="Times New Roman" w:hAnsi="Times New Roman" w:cs="Times New Roman"/>
          <w:color w:val="000000"/>
          <w:sz w:val="24"/>
          <w:szCs w:val="24"/>
        </w:rPr>
        <w:t>, as a matter of fact, a game is just softly controlled.</w:t>
      </w:r>
    </w:p>
    <w:p w14:paraId="00000031" w14:textId="77777777" w:rsidR="00316F00" w:rsidRDefault="008C05DD">
      <w:pPr>
        <w:pBdr>
          <w:top w:val="nil"/>
          <w:left w:val="nil"/>
          <w:bottom w:val="nil"/>
          <w:right w:val="nil"/>
          <w:between w:val="nil"/>
        </w:pBdr>
        <w:shd w:val="clear" w:color="auto" w:fill="FFFFFF"/>
        <w:spacing w:before="280" w:after="28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these cases, the court considered the standards which empower the court to set up what is expected of members by the norm of care</w:t>
      </w:r>
      <w:r>
        <w:rPr>
          <w:rFonts w:ascii="Times New Roman" w:eastAsia="Times New Roman" w:hAnsi="Times New Roman" w:cs="Times New Roman"/>
          <w:color w:val="000000"/>
          <w:sz w:val="24"/>
          <w:szCs w:val="24"/>
          <w:vertAlign w:val="superscript"/>
        </w:rPr>
        <w:footnoteReference w:id="26"/>
      </w:r>
      <w:r>
        <w:rPr>
          <w:rFonts w:ascii="Times New Roman" w:eastAsia="Times New Roman" w:hAnsi="Times New Roman" w:cs="Times New Roman"/>
          <w:color w:val="000000"/>
          <w:sz w:val="24"/>
          <w:szCs w:val="24"/>
        </w:rPr>
        <w:t xml:space="preserve">. The key standards were: contenders in donning challenges are needed to practice throughout the challenge all consideration that is unbiasedly sensible in the overarching conditions to keep away from injury to individual candidates; the predominant conditions incorporate the object of the challenge, the requests unavoidably made upon the candidates, its intrinsic risks (assuming any), its principles, shows and customs, and the guidelines, abilities and judgment sensibly normal of a contender; in sports, much the same as expert </w:t>
      </w:r>
      <w:r>
        <w:rPr>
          <w:rFonts w:ascii="Times New Roman" w:eastAsia="Times New Roman" w:hAnsi="Times New Roman" w:cs="Times New Roman"/>
          <w:sz w:val="24"/>
          <w:szCs w:val="24"/>
        </w:rPr>
        <w:t>horse racing</w:t>
      </w:r>
      <w:r>
        <w:rPr>
          <w:rFonts w:ascii="Times New Roman" w:eastAsia="Times New Roman" w:hAnsi="Times New Roman" w:cs="Times New Roman"/>
          <w:color w:val="000000"/>
          <w:sz w:val="24"/>
          <w:szCs w:val="24"/>
        </w:rPr>
        <w:t xml:space="preserve"> or genuine football, the idea of the ordinary winning conditions are not the same as, </w:t>
      </w:r>
      <w:proofErr w:type="spellStart"/>
      <w:r>
        <w:rPr>
          <w:rFonts w:ascii="Times New Roman" w:eastAsia="Times New Roman" w:hAnsi="Times New Roman" w:cs="Times New Roman"/>
          <w:color w:val="000000"/>
          <w:sz w:val="24"/>
          <w:szCs w:val="24"/>
        </w:rPr>
        <w:t>eg</w:t>
      </w:r>
      <w:proofErr w:type="spellEnd"/>
      <w:r>
        <w:rPr>
          <w:rFonts w:ascii="Times New Roman" w:eastAsia="Times New Roman" w:hAnsi="Times New Roman" w:cs="Times New Roman"/>
          <w:color w:val="000000"/>
          <w:sz w:val="24"/>
          <w:szCs w:val="24"/>
        </w:rPr>
        <w:t>, taking a stroll in the open country</w:t>
      </w:r>
      <w:r>
        <w:rPr>
          <w:rFonts w:ascii="Times New Roman" w:eastAsia="Times New Roman" w:hAnsi="Times New Roman" w:cs="Times New Roman"/>
          <w:color w:val="000000"/>
          <w:sz w:val="24"/>
          <w:szCs w:val="24"/>
          <w:vertAlign w:val="superscript"/>
        </w:rPr>
        <w:footnoteReference w:id="27"/>
      </w:r>
      <w:r>
        <w:rPr>
          <w:rFonts w:ascii="Times New Roman" w:eastAsia="Times New Roman" w:hAnsi="Times New Roman" w:cs="Times New Roman"/>
          <w:color w:val="000000"/>
          <w:sz w:val="24"/>
          <w:szCs w:val="24"/>
        </w:rPr>
        <w:t xml:space="preserve">; they can be energetic challenges fundamentally played at rapid, at times with amazing creatures, with every member needed to settle on significant </w:t>
      </w:r>
      <w:r>
        <w:rPr>
          <w:rFonts w:ascii="Times New Roman" w:eastAsia="Times New Roman" w:hAnsi="Times New Roman" w:cs="Times New Roman"/>
          <w:color w:val="000000"/>
          <w:sz w:val="24"/>
          <w:szCs w:val="24"/>
        </w:rPr>
        <w:lastRenderedPageBreak/>
        <w:t>split-second choices; in such winning conditions, there will be no risk in carelessness for mistakes of judgment, oversights or breaches of which any member may be blameworthy with regards to a quick challenge. Something more genuine is required.</w:t>
      </w:r>
    </w:p>
    <w:p w14:paraId="00000032" w14:textId="77777777" w:rsidR="00316F00" w:rsidRDefault="008C05DD">
      <w:pPr>
        <w:rPr>
          <w:rFonts w:ascii="Times New Roman" w:eastAsia="Times New Roman" w:hAnsi="Times New Roman" w:cs="Times New Roman"/>
          <w:b/>
          <w:i/>
          <w:color w:val="000000"/>
          <w:sz w:val="24"/>
          <w:szCs w:val="24"/>
        </w:rPr>
      </w:pPr>
      <w:r>
        <w:br w:type="page"/>
      </w:r>
    </w:p>
    <w:p w14:paraId="00000033" w14:textId="41714F82" w:rsidR="00316F00" w:rsidRDefault="00316F00">
      <w:pPr>
        <w:pStyle w:val="Heading1"/>
        <w:jc w:val="center"/>
        <w:rPr>
          <w:rFonts w:ascii="Times New Roman" w:eastAsia="Times New Roman" w:hAnsi="Times New Roman" w:cs="Times New Roman"/>
          <w:b/>
          <w:i/>
          <w:color w:val="000000"/>
          <w:sz w:val="24"/>
          <w:szCs w:val="24"/>
        </w:rPr>
      </w:pPr>
      <w:bookmarkStart w:id="10" w:name="_heading=h.2s8eyo1" w:colFirst="0" w:colLast="0"/>
      <w:bookmarkEnd w:id="10"/>
    </w:p>
    <w:p w14:paraId="00000034" w14:textId="77777777" w:rsidR="00316F00" w:rsidRDefault="008C05DD">
      <w:pPr>
        <w:pStyle w:val="Heading2"/>
        <w:spacing w:line="480" w:lineRule="auto"/>
        <w:jc w:val="both"/>
        <w:rPr>
          <w:rFonts w:ascii="Times New Roman" w:eastAsia="Times New Roman" w:hAnsi="Times New Roman" w:cs="Times New Roman"/>
          <w:i/>
          <w:color w:val="000000"/>
          <w:sz w:val="24"/>
          <w:szCs w:val="24"/>
        </w:rPr>
      </w:pPr>
      <w:bookmarkStart w:id="11" w:name="_heading=h.17dp8vu" w:colFirst="0" w:colLast="0"/>
      <w:bookmarkEnd w:id="11"/>
      <w:r>
        <w:rPr>
          <w:rFonts w:ascii="Times New Roman" w:eastAsia="Times New Roman" w:hAnsi="Times New Roman" w:cs="Times New Roman"/>
          <w:i/>
          <w:color w:val="000000"/>
          <w:sz w:val="24"/>
          <w:szCs w:val="24"/>
        </w:rPr>
        <w:t xml:space="preserve">References </w:t>
      </w:r>
    </w:p>
    <w:p w14:paraId="00000035" w14:textId="7F470C12" w:rsidR="00316F00" w:rsidRDefault="008C05DD">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Cooke, B.K.,</w:t>
      </w:r>
      <w:r w:rsidR="00D71E63">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Pr>
        <w:t xml:space="preserve">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2017</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The elusive standard of care. J Am </w:t>
      </w:r>
      <w:proofErr w:type="spellStart"/>
      <w:r>
        <w:rPr>
          <w:rFonts w:ascii="Times New Roman" w:eastAsia="Times New Roman" w:hAnsi="Times New Roman" w:cs="Times New Roman"/>
          <w:color w:val="000000"/>
          <w:sz w:val="24"/>
          <w:szCs w:val="24"/>
        </w:rPr>
        <w:t>Acad</w:t>
      </w:r>
      <w:proofErr w:type="spellEnd"/>
      <w:r>
        <w:rPr>
          <w:rFonts w:ascii="Times New Roman" w:eastAsia="Times New Roman" w:hAnsi="Times New Roman" w:cs="Times New Roman"/>
          <w:color w:val="000000"/>
          <w:sz w:val="24"/>
          <w:szCs w:val="24"/>
        </w:rPr>
        <w:t xml:space="preserve"> Psychiatry Law</w:t>
      </w:r>
      <w:r w:rsidR="00D71E63">
        <w:rPr>
          <w:rFonts w:ascii="Times New Roman" w:eastAsia="Times New Roman" w:hAnsi="Times New Roman" w:cs="Times New Roman"/>
          <w:color w:val="000000"/>
          <w:sz w:val="24"/>
          <w:szCs w:val="24"/>
        </w:rPr>
        <w:t>.</w:t>
      </w:r>
    </w:p>
    <w:p w14:paraId="00000036" w14:textId="2C70CB4A" w:rsidR="00316F00" w:rsidRDefault="008C05DD">
      <w:pPr>
        <w:spacing w:line="480" w:lineRule="auto"/>
        <w:ind w:left="720" w:hanging="720"/>
        <w:jc w:val="both"/>
        <w:rPr>
          <w:rFonts w:ascii="Times New Roman" w:eastAsia="Times New Roman" w:hAnsi="Times New Roman" w:cs="Times New Roman"/>
          <w:color w:val="000000"/>
          <w:sz w:val="24"/>
          <w:szCs w:val="24"/>
        </w:rPr>
      </w:pPr>
      <w:bookmarkStart w:id="12" w:name="_heading=h.3rdcrjn" w:colFirst="0" w:colLast="0"/>
      <w:bookmarkEnd w:id="12"/>
      <w:proofErr w:type="spellStart"/>
      <w:r>
        <w:rPr>
          <w:rFonts w:ascii="Times New Roman" w:eastAsia="Times New Roman" w:hAnsi="Times New Roman" w:cs="Times New Roman"/>
          <w:color w:val="000000"/>
          <w:sz w:val="24"/>
          <w:szCs w:val="24"/>
        </w:rPr>
        <w:t>Dorfman</w:t>
      </w:r>
      <w:proofErr w:type="spellEnd"/>
      <w:r>
        <w:rPr>
          <w:rFonts w:ascii="Times New Roman" w:eastAsia="Times New Roman" w:hAnsi="Times New Roman" w:cs="Times New Roman"/>
          <w:color w:val="000000"/>
          <w:sz w:val="24"/>
          <w:szCs w:val="24"/>
        </w:rPr>
        <w:t xml:space="preserve">, A.,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2016</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Negligence and accommodation. Legal Theory</w:t>
      </w:r>
      <w:r w:rsidR="00D71E63">
        <w:rPr>
          <w:rFonts w:ascii="Times New Roman" w:eastAsia="Times New Roman" w:hAnsi="Times New Roman" w:cs="Times New Roman"/>
          <w:color w:val="000000"/>
          <w:sz w:val="24"/>
          <w:szCs w:val="24"/>
        </w:rPr>
        <w:t>.</w:t>
      </w:r>
    </w:p>
    <w:p w14:paraId="00000037" w14:textId="53A6B21A" w:rsidR="00316F00" w:rsidRDefault="008C05DD">
      <w:pPr>
        <w:spacing w:line="480" w:lineRule="auto"/>
        <w:ind w:left="720" w:hanging="720"/>
        <w:jc w:val="both"/>
        <w:rPr>
          <w:rFonts w:ascii="Times New Roman" w:eastAsia="Times New Roman" w:hAnsi="Times New Roman" w:cs="Times New Roman"/>
          <w:color w:val="000000"/>
          <w:sz w:val="24"/>
          <w:szCs w:val="24"/>
        </w:rPr>
      </w:pPr>
      <w:bookmarkStart w:id="13" w:name="_heading=h.26in1rg" w:colFirst="0" w:colLast="0"/>
      <w:bookmarkEnd w:id="13"/>
      <w:proofErr w:type="spellStart"/>
      <w:r>
        <w:rPr>
          <w:rFonts w:ascii="Times New Roman" w:eastAsia="Times New Roman" w:hAnsi="Times New Roman" w:cs="Times New Roman"/>
          <w:color w:val="000000"/>
          <w:sz w:val="24"/>
          <w:szCs w:val="24"/>
        </w:rPr>
        <w:t>Goudkamp</w:t>
      </w:r>
      <w:proofErr w:type="spellEnd"/>
      <w:r>
        <w:rPr>
          <w:rFonts w:ascii="Times New Roman" w:eastAsia="Times New Roman" w:hAnsi="Times New Roman" w:cs="Times New Roman"/>
          <w:color w:val="000000"/>
          <w:sz w:val="24"/>
          <w:szCs w:val="24"/>
        </w:rPr>
        <w:t xml:space="preserve">, J.,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2017</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Breach of Duty: A Disappearing Element of the Action in Negligence</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The Cambridge Law Journal</w:t>
      </w:r>
      <w:r w:rsidR="00D71E63">
        <w:rPr>
          <w:rFonts w:ascii="Times New Roman" w:eastAsia="Times New Roman" w:hAnsi="Times New Roman" w:cs="Times New Roman"/>
          <w:color w:val="000000"/>
          <w:sz w:val="24"/>
          <w:szCs w:val="24"/>
        </w:rPr>
        <w:t>.</w:t>
      </w:r>
    </w:p>
    <w:p w14:paraId="00000038" w14:textId="7A91F116" w:rsidR="00316F00" w:rsidRDefault="008C05DD">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GREENBERG, M.,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2018</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Webster’s Horse-‐Play.</w:t>
      </w:r>
    </w:p>
    <w:p w14:paraId="00000039" w14:textId="78D1A327" w:rsidR="00316F00" w:rsidRDefault="008C05DD">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Kelly, J.,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2019</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Legal issues in midwifery care. In Empowering Decision-Making in Midwifery. Routledge.</w:t>
      </w:r>
    </w:p>
    <w:p w14:paraId="0000003A" w14:textId="38FC83BF" w:rsidR="00316F00" w:rsidRDefault="008C05DD">
      <w:pPr>
        <w:spacing w:line="48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Khalsa</w:t>
      </w:r>
      <w:proofErr w:type="spellEnd"/>
      <w:r>
        <w:rPr>
          <w:rFonts w:ascii="Times New Roman" w:eastAsia="Times New Roman" w:hAnsi="Times New Roman" w:cs="Times New Roman"/>
          <w:color w:val="000000"/>
          <w:sz w:val="24"/>
          <w:szCs w:val="24"/>
        </w:rPr>
        <w:t xml:space="preserve">, K.K.,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1997</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Tort Law-Cause of Action for Negligent Horseplay: </w:t>
      </w:r>
      <w:proofErr w:type="spellStart"/>
      <w:r>
        <w:rPr>
          <w:rFonts w:ascii="Times New Roman" w:eastAsia="Times New Roman" w:hAnsi="Times New Roman" w:cs="Times New Roman"/>
          <w:color w:val="000000"/>
          <w:sz w:val="24"/>
          <w:szCs w:val="24"/>
        </w:rPr>
        <w:t>Yount</w:t>
      </w:r>
      <w:proofErr w:type="spellEnd"/>
      <w:r>
        <w:rPr>
          <w:rFonts w:ascii="Times New Roman" w:eastAsia="Times New Roman" w:hAnsi="Times New Roman" w:cs="Times New Roman"/>
          <w:color w:val="000000"/>
          <w:sz w:val="24"/>
          <w:szCs w:val="24"/>
        </w:rPr>
        <w:t xml:space="preserve"> v. Johnson. NML Rev.</w:t>
      </w:r>
    </w:p>
    <w:p w14:paraId="0000003B" w14:textId="375BE7D2" w:rsidR="00316F00" w:rsidRDefault="008C05DD">
      <w:pPr>
        <w:spacing w:line="48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Khare</w:t>
      </w:r>
      <w:proofErr w:type="spellEnd"/>
      <w:r>
        <w:rPr>
          <w:rFonts w:ascii="Times New Roman" w:eastAsia="Times New Roman" w:hAnsi="Times New Roman" w:cs="Times New Roman"/>
          <w:color w:val="000000"/>
          <w:sz w:val="24"/>
          <w:szCs w:val="24"/>
        </w:rPr>
        <w:t xml:space="preserve">, M.,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2010</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Foul Ball-The Need to Alter Current Liability Standards for Spectator Injuries at Sporting Events. Tex. Rev. </w:t>
      </w:r>
      <w:proofErr w:type="gramStart"/>
      <w:r>
        <w:rPr>
          <w:rFonts w:ascii="Times New Roman" w:eastAsia="Times New Roman" w:hAnsi="Times New Roman" w:cs="Times New Roman"/>
          <w:color w:val="000000"/>
          <w:sz w:val="24"/>
          <w:szCs w:val="24"/>
        </w:rPr>
        <w:t>Ent</w:t>
      </w:r>
      <w:proofErr w:type="gramEnd"/>
      <w:r>
        <w:rPr>
          <w:rFonts w:ascii="Times New Roman" w:eastAsia="Times New Roman" w:hAnsi="Times New Roman" w:cs="Times New Roman"/>
          <w:color w:val="000000"/>
          <w:sz w:val="24"/>
          <w:szCs w:val="24"/>
        </w:rPr>
        <w:t>. &amp; Sports L.</w:t>
      </w:r>
    </w:p>
    <w:p w14:paraId="0000003C" w14:textId="7E843899" w:rsidR="00316F00" w:rsidRDefault="008C05DD">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Kopf, K.,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2017</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Horseplay Gone Wrong: A Proposed Model Equine Activity Liability Act. Val. UL Rev</w:t>
      </w:r>
      <w:r w:rsidR="00D71E63">
        <w:rPr>
          <w:rFonts w:ascii="Times New Roman" w:eastAsia="Times New Roman" w:hAnsi="Times New Roman" w:cs="Times New Roman"/>
          <w:color w:val="000000"/>
          <w:sz w:val="24"/>
          <w:szCs w:val="24"/>
        </w:rPr>
        <w:t>.</w:t>
      </w:r>
    </w:p>
    <w:p w14:paraId="0000003D" w14:textId="40440C96" w:rsidR="00316F00" w:rsidRDefault="008C05DD">
      <w:pPr>
        <w:spacing w:line="48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Maksymov</w:t>
      </w:r>
      <w:proofErr w:type="spellEnd"/>
      <w:r>
        <w:rPr>
          <w:rFonts w:ascii="Times New Roman" w:eastAsia="Times New Roman" w:hAnsi="Times New Roman" w:cs="Times New Roman"/>
          <w:color w:val="000000"/>
          <w:sz w:val="24"/>
          <w:szCs w:val="24"/>
        </w:rPr>
        <w:t xml:space="preserve">, E.M. and Nelson, M.W.,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2017</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Malleable standards of care are required by jurors when assessing auditor negligence. The Accounting Review</w:t>
      </w:r>
      <w:r w:rsidR="00D71E63">
        <w:rPr>
          <w:rFonts w:ascii="Times New Roman" w:eastAsia="Times New Roman" w:hAnsi="Times New Roman" w:cs="Times New Roman"/>
          <w:color w:val="000000"/>
          <w:sz w:val="24"/>
          <w:szCs w:val="24"/>
        </w:rPr>
        <w:t>.</w:t>
      </w:r>
    </w:p>
    <w:p w14:paraId="0000003E" w14:textId="0DD93159" w:rsidR="00316F00" w:rsidRDefault="008C05DD">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Morris, C., </w:t>
      </w:r>
      <w:r w:rsidR="00D71E63">
        <w:rPr>
          <w:rFonts w:ascii="Times New Roman" w:eastAsia="Times New Roman" w:hAnsi="Times New Roman" w:cs="Times New Roman"/>
          <w:color w:val="000000"/>
          <w:sz w:val="24"/>
          <w:szCs w:val="24"/>
        </w:rPr>
        <w:t>ET AL,</w:t>
      </w:r>
      <w:r>
        <w:rPr>
          <w:rFonts w:ascii="Times New Roman" w:eastAsia="Times New Roman" w:hAnsi="Times New Roman" w:cs="Times New Roman"/>
          <w:color w:val="000000"/>
          <w:sz w:val="24"/>
          <w:szCs w:val="24"/>
        </w:rPr>
        <w:t xml:space="preserve">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2019</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Clinical negligence: duty and breach. British dental journal</w:t>
      </w:r>
      <w:r w:rsidR="00D71E63">
        <w:rPr>
          <w:rFonts w:ascii="Times New Roman" w:eastAsia="Times New Roman" w:hAnsi="Times New Roman" w:cs="Times New Roman"/>
          <w:color w:val="000000"/>
          <w:sz w:val="24"/>
          <w:szCs w:val="24"/>
        </w:rPr>
        <w:t>.</w:t>
      </w:r>
    </w:p>
    <w:p w14:paraId="0000003F" w14:textId="52A7B68F" w:rsidR="00316F00" w:rsidRDefault="008C05DD">
      <w:pPr>
        <w:spacing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Tingle, J.,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2002</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Establishing a breach of the duty of care in the tort of negligence: 2. British journal of nursing</w:t>
      </w:r>
      <w:r w:rsidR="00D71E63">
        <w:rPr>
          <w:rFonts w:ascii="Times New Roman" w:eastAsia="Times New Roman" w:hAnsi="Times New Roman" w:cs="Times New Roman"/>
          <w:color w:val="000000"/>
          <w:sz w:val="24"/>
          <w:szCs w:val="24"/>
        </w:rPr>
        <w:t>.</w:t>
      </w:r>
    </w:p>
    <w:p w14:paraId="00000040" w14:textId="623A53E5" w:rsidR="00316F00" w:rsidRDefault="008C05DD">
      <w:pPr>
        <w:spacing w:line="48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Udemezue</w:t>
      </w:r>
      <w:proofErr w:type="spellEnd"/>
      <w:r>
        <w:rPr>
          <w:rFonts w:ascii="Times New Roman" w:eastAsia="Times New Roman" w:hAnsi="Times New Roman" w:cs="Times New Roman"/>
          <w:color w:val="000000"/>
          <w:sz w:val="24"/>
          <w:szCs w:val="24"/>
        </w:rPr>
        <w:t xml:space="preserve">, S. and </w:t>
      </w:r>
      <w:proofErr w:type="spellStart"/>
      <w:r>
        <w:rPr>
          <w:rFonts w:ascii="Times New Roman" w:eastAsia="Times New Roman" w:hAnsi="Times New Roman" w:cs="Times New Roman"/>
          <w:color w:val="000000"/>
          <w:sz w:val="24"/>
          <w:szCs w:val="24"/>
        </w:rPr>
        <w:t>Ojeih</w:t>
      </w:r>
      <w:proofErr w:type="spellEnd"/>
      <w:r>
        <w:rPr>
          <w:rFonts w:ascii="Times New Roman" w:eastAsia="Times New Roman" w:hAnsi="Times New Roman" w:cs="Times New Roman"/>
          <w:color w:val="000000"/>
          <w:sz w:val="24"/>
          <w:szCs w:val="24"/>
        </w:rPr>
        <w:t xml:space="preserve">, C.A., </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2021</w:t>
      </w:r>
      <w:r w:rsidR="00D71E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A Critical Analysis of the Role of Courts in Determining Breach of Duty of Care in the Law of Torts. Available at SSRN 3840080.</w:t>
      </w:r>
    </w:p>
    <w:p w14:paraId="00000041" w14:textId="77777777" w:rsidR="00316F00" w:rsidRDefault="008C05DD">
      <w:pPr>
        <w:pStyle w:val="Heading2"/>
        <w:spacing w:line="480" w:lineRule="auto"/>
        <w:jc w:val="both"/>
        <w:rPr>
          <w:rFonts w:ascii="Times New Roman" w:eastAsia="Times New Roman" w:hAnsi="Times New Roman" w:cs="Times New Roman"/>
          <w:i/>
          <w:color w:val="000000"/>
          <w:sz w:val="24"/>
          <w:szCs w:val="24"/>
        </w:rPr>
      </w:pPr>
      <w:bookmarkStart w:id="14" w:name="_heading=h.lnxbz9" w:colFirst="0" w:colLast="0"/>
      <w:bookmarkEnd w:id="14"/>
      <w:r>
        <w:rPr>
          <w:rFonts w:ascii="Times New Roman" w:eastAsia="Times New Roman" w:hAnsi="Times New Roman" w:cs="Times New Roman"/>
          <w:i/>
          <w:color w:val="000000"/>
          <w:sz w:val="24"/>
          <w:szCs w:val="24"/>
        </w:rPr>
        <w:t xml:space="preserve">Act/Case Law </w:t>
      </w:r>
    </w:p>
    <w:p w14:paraId="00000042" w14:textId="77777777" w:rsidR="00316F00" w:rsidRDefault="008C05DD">
      <w:pPr>
        <w:spacing w:line="48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Fardon</w:t>
      </w:r>
      <w:proofErr w:type="spellEnd"/>
      <w:r>
        <w:rPr>
          <w:rFonts w:ascii="Times New Roman" w:eastAsia="Times New Roman" w:hAnsi="Times New Roman" w:cs="Times New Roman"/>
          <w:color w:val="000000"/>
          <w:sz w:val="24"/>
          <w:szCs w:val="24"/>
        </w:rPr>
        <w:t xml:space="preserve"> v Harcourt-</w:t>
      </w:r>
      <w:proofErr w:type="spellStart"/>
      <w:r>
        <w:rPr>
          <w:rFonts w:ascii="Times New Roman" w:eastAsia="Times New Roman" w:hAnsi="Times New Roman" w:cs="Times New Roman"/>
          <w:color w:val="000000"/>
          <w:sz w:val="24"/>
          <w:szCs w:val="24"/>
        </w:rPr>
        <w:t>Rivington</w:t>
      </w:r>
      <w:proofErr w:type="spellEnd"/>
      <w:r>
        <w:rPr>
          <w:rFonts w:ascii="Times New Roman" w:eastAsia="Times New Roman" w:hAnsi="Times New Roman" w:cs="Times New Roman"/>
          <w:color w:val="000000"/>
          <w:sz w:val="24"/>
          <w:szCs w:val="24"/>
        </w:rPr>
        <w:t xml:space="preserve"> [1932] All ER 81.</w:t>
      </w:r>
    </w:p>
    <w:p w14:paraId="00000043"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Donoghue v Stevenson [1932] UKHL 100</w:t>
      </w:r>
    </w:p>
    <w:p w14:paraId="00000044" w14:textId="77777777" w:rsidR="00316F00" w:rsidRDefault="008C05DD">
      <w:pPr>
        <w:spacing w:line="480" w:lineRule="auto"/>
        <w:jc w:val="both"/>
        <w:rPr>
          <w:rFonts w:ascii="Times New Roman" w:eastAsia="Times New Roman" w:hAnsi="Times New Roman" w:cs="Times New Roman"/>
          <w:color w:val="000000"/>
          <w:sz w:val="24"/>
          <w:szCs w:val="24"/>
        </w:rPr>
      </w:pPr>
      <w:bookmarkStart w:id="15" w:name="_heading=h.35nkun2" w:colFirst="0" w:colLast="0"/>
      <w:bookmarkEnd w:id="15"/>
      <w:proofErr w:type="spellStart"/>
      <w:r>
        <w:rPr>
          <w:rFonts w:ascii="Times New Roman" w:eastAsia="Times New Roman" w:hAnsi="Times New Roman" w:cs="Times New Roman"/>
          <w:color w:val="000000"/>
          <w:sz w:val="24"/>
          <w:szCs w:val="24"/>
        </w:rPr>
        <w:t>Nettleship</w:t>
      </w:r>
      <w:proofErr w:type="spellEnd"/>
      <w:r>
        <w:rPr>
          <w:rFonts w:ascii="Times New Roman" w:eastAsia="Times New Roman" w:hAnsi="Times New Roman" w:cs="Times New Roman"/>
          <w:color w:val="000000"/>
          <w:sz w:val="24"/>
          <w:szCs w:val="24"/>
        </w:rPr>
        <w:t xml:space="preserve"> v Weston [1971] 2 QB 691.</w:t>
      </w:r>
    </w:p>
    <w:p w14:paraId="00000045"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Bolton v. Stone [1951] AC 850, [1951] 1 All ER 1078</w:t>
      </w:r>
    </w:p>
    <w:p w14:paraId="00000046"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Miller v Jackson [1977] QB 966</w:t>
      </w:r>
    </w:p>
    <w:p w14:paraId="00000047"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Latimer v AEC Ltd [1953] AC 643.</w:t>
      </w:r>
    </w:p>
    <w:p w14:paraId="00000048"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Wooldridge v Sumner [1963] 2 QB 43</w:t>
      </w:r>
    </w:p>
    <w:p w14:paraId="00000049"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Caldwell v Maguire [2001] EWCA </w:t>
      </w:r>
      <w:proofErr w:type="spellStart"/>
      <w:r>
        <w:rPr>
          <w:rFonts w:ascii="Times New Roman" w:eastAsia="Times New Roman" w:hAnsi="Times New Roman" w:cs="Times New Roman"/>
          <w:color w:val="000000"/>
          <w:sz w:val="24"/>
          <w:szCs w:val="24"/>
        </w:rPr>
        <w:t>Civ</w:t>
      </w:r>
      <w:proofErr w:type="spellEnd"/>
      <w:r>
        <w:rPr>
          <w:rFonts w:ascii="Times New Roman" w:eastAsia="Times New Roman" w:hAnsi="Times New Roman" w:cs="Times New Roman"/>
          <w:color w:val="000000"/>
          <w:sz w:val="24"/>
          <w:szCs w:val="24"/>
        </w:rPr>
        <w:t xml:space="preserve"> 1054.</w:t>
      </w:r>
    </w:p>
    <w:p w14:paraId="0000004A"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Blake v Galloway [2004] 3 All ER 315</w:t>
      </w:r>
    </w:p>
    <w:p w14:paraId="0000004B"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Orchard v Lee [2009] EWCA 295</w:t>
      </w:r>
    </w:p>
    <w:p w14:paraId="0000004C"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Mullin v Richards [1998] 1 WLR 1304</w:t>
      </w:r>
    </w:p>
    <w:p w14:paraId="0000004D" w14:textId="77777777" w:rsidR="00316F00" w:rsidRDefault="008C05DD">
      <w:pP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Condon v </w:t>
      </w:r>
      <w:proofErr w:type="spellStart"/>
      <w:r>
        <w:rPr>
          <w:rFonts w:ascii="Times New Roman" w:eastAsia="Times New Roman" w:hAnsi="Times New Roman" w:cs="Times New Roman"/>
          <w:color w:val="000000"/>
          <w:sz w:val="24"/>
          <w:szCs w:val="24"/>
        </w:rPr>
        <w:t>Basi</w:t>
      </w:r>
      <w:proofErr w:type="spellEnd"/>
      <w:r>
        <w:rPr>
          <w:rFonts w:ascii="Times New Roman" w:eastAsia="Times New Roman" w:hAnsi="Times New Roman" w:cs="Times New Roman"/>
          <w:color w:val="000000"/>
          <w:sz w:val="24"/>
          <w:szCs w:val="24"/>
        </w:rPr>
        <w:t xml:space="preserve"> [1985] 1 WLR 866</w:t>
      </w:r>
    </w:p>
    <w:p w14:paraId="0000004E" w14:textId="77777777" w:rsidR="00316F00" w:rsidRDefault="008C05DD">
      <w:pPr>
        <w:spacing w:line="48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Rootes</w:t>
      </w:r>
      <w:proofErr w:type="spellEnd"/>
      <w:r>
        <w:rPr>
          <w:rFonts w:ascii="Times New Roman" w:eastAsia="Times New Roman" w:hAnsi="Times New Roman" w:cs="Times New Roman"/>
          <w:color w:val="000000"/>
          <w:sz w:val="24"/>
          <w:szCs w:val="24"/>
        </w:rPr>
        <w:t xml:space="preserve"> v Shelton (1967) 116 CLR 383</w:t>
      </w:r>
    </w:p>
    <w:sectPr w:rsidR="00316F00">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E5E281" w14:textId="77777777" w:rsidR="00FD4503" w:rsidRDefault="00FD4503">
      <w:pPr>
        <w:spacing w:after="0" w:line="240" w:lineRule="auto"/>
      </w:pPr>
      <w:r>
        <w:separator/>
      </w:r>
    </w:p>
  </w:endnote>
  <w:endnote w:type="continuationSeparator" w:id="0">
    <w:p w14:paraId="085D6104" w14:textId="77777777" w:rsidR="00FD4503" w:rsidRDefault="00FD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D2D22" w14:textId="77777777" w:rsidR="00FD4503" w:rsidRDefault="00FD4503">
      <w:pPr>
        <w:spacing w:after="0" w:line="240" w:lineRule="auto"/>
      </w:pPr>
      <w:r>
        <w:separator/>
      </w:r>
    </w:p>
  </w:footnote>
  <w:footnote w:type="continuationSeparator" w:id="0">
    <w:p w14:paraId="7F41656C" w14:textId="77777777" w:rsidR="00FD4503" w:rsidRDefault="00FD4503">
      <w:pPr>
        <w:spacing w:after="0" w:line="240" w:lineRule="auto"/>
      </w:pPr>
      <w:r>
        <w:continuationSeparator/>
      </w:r>
    </w:p>
  </w:footnote>
  <w:footnote w:id="1">
    <w:p w14:paraId="0000004F"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Goudkamp</w:t>
      </w:r>
      <w:proofErr w:type="spellEnd"/>
      <w:r>
        <w:rPr>
          <w:rFonts w:ascii="Times New Roman" w:eastAsia="Times New Roman" w:hAnsi="Times New Roman" w:cs="Times New Roman"/>
          <w:color w:val="000000"/>
          <w:sz w:val="20"/>
          <w:szCs w:val="20"/>
        </w:rPr>
        <w:t>, J., 2017. Breach of Duty: A Disappearing Element of the Action in Negligence</w:t>
      </w:r>
      <w:proofErr w:type="gramStart"/>
      <w:r>
        <w:rPr>
          <w:rFonts w:ascii="Times New Roman" w:eastAsia="Times New Roman" w:hAnsi="Times New Roman" w:cs="Times New Roman"/>
          <w:color w:val="000000"/>
          <w:sz w:val="20"/>
          <w:szCs w:val="20"/>
        </w:rPr>
        <w:t>?.</w:t>
      </w:r>
      <w:proofErr w:type="gramEnd"/>
      <w:r>
        <w:rPr>
          <w:rFonts w:ascii="Times New Roman" w:eastAsia="Times New Roman" w:hAnsi="Times New Roman" w:cs="Times New Roman"/>
          <w:color w:val="000000"/>
          <w:sz w:val="20"/>
          <w:szCs w:val="20"/>
        </w:rPr>
        <w:t xml:space="preserve"> The Cambridge Law Journal, 76(3), pp.480-483.</w:t>
      </w:r>
    </w:p>
  </w:footnote>
  <w:footnote w:id="2">
    <w:p w14:paraId="00000050"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Morris, C., Chawla, G. and Francis, T., 2019. Clinical negligence: duty and breach. British dental journal, 226(9), pp.647-648.</w:t>
      </w:r>
    </w:p>
  </w:footnote>
  <w:footnote w:id="3">
    <w:p w14:paraId="00000051"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Fardon</w:t>
      </w:r>
      <w:proofErr w:type="spellEnd"/>
      <w:r>
        <w:rPr>
          <w:rFonts w:ascii="Times New Roman" w:eastAsia="Times New Roman" w:hAnsi="Times New Roman" w:cs="Times New Roman"/>
          <w:color w:val="000000"/>
          <w:sz w:val="20"/>
          <w:szCs w:val="20"/>
        </w:rPr>
        <w:t xml:space="preserve"> v Harcourt-</w:t>
      </w:r>
      <w:proofErr w:type="spellStart"/>
      <w:r>
        <w:rPr>
          <w:rFonts w:ascii="Times New Roman" w:eastAsia="Times New Roman" w:hAnsi="Times New Roman" w:cs="Times New Roman"/>
          <w:color w:val="000000"/>
          <w:sz w:val="20"/>
          <w:szCs w:val="20"/>
        </w:rPr>
        <w:t>Rivington</w:t>
      </w:r>
      <w:proofErr w:type="spellEnd"/>
      <w:r>
        <w:rPr>
          <w:rFonts w:ascii="Times New Roman" w:eastAsia="Times New Roman" w:hAnsi="Times New Roman" w:cs="Times New Roman"/>
          <w:color w:val="000000"/>
          <w:sz w:val="20"/>
          <w:szCs w:val="20"/>
        </w:rPr>
        <w:t xml:space="preserve"> [1932] All ER 81.</w:t>
      </w:r>
    </w:p>
  </w:footnote>
  <w:footnote w:id="4">
    <w:p w14:paraId="00000052"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Dorfman</w:t>
      </w:r>
      <w:proofErr w:type="spellEnd"/>
      <w:r>
        <w:rPr>
          <w:rFonts w:ascii="Times New Roman" w:eastAsia="Times New Roman" w:hAnsi="Times New Roman" w:cs="Times New Roman"/>
          <w:color w:val="000000"/>
          <w:sz w:val="20"/>
          <w:szCs w:val="20"/>
        </w:rPr>
        <w:t>, A., 2016. Negligence and accommodation. Legal Theory, 22(2), pp.77-123.</w:t>
      </w:r>
    </w:p>
  </w:footnote>
  <w:footnote w:id="5">
    <w:p w14:paraId="00000053"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Donoghue v Stevenson [1932] UKHL 100</w:t>
      </w:r>
    </w:p>
  </w:footnote>
  <w:footnote w:id="6">
    <w:p w14:paraId="00000054"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Maksymov</w:t>
      </w:r>
      <w:proofErr w:type="spellEnd"/>
      <w:r>
        <w:rPr>
          <w:rFonts w:ascii="Times New Roman" w:eastAsia="Times New Roman" w:hAnsi="Times New Roman" w:cs="Times New Roman"/>
          <w:color w:val="000000"/>
          <w:sz w:val="20"/>
          <w:szCs w:val="20"/>
        </w:rPr>
        <w:t>, E.M. and Nelson, M.W., 2017. Malleable standards of care are required by jurors when assessing auditor negligence. The Accounting Review, 92(1), pp.165-181.</w:t>
      </w:r>
    </w:p>
  </w:footnote>
  <w:footnote w:id="7">
    <w:p w14:paraId="00000055"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Nettleship</w:t>
      </w:r>
      <w:proofErr w:type="spellEnd"/>
      <w:r>
        <w:rPr>
          <w:rFonts w:ascii="Times New Roman" w:eastAsia="Times New Roman" w:hAnsi="Times New Roman" w:cs="Times New Roman"/>
          <w:color w:val="000000"/>
          <w:sz w:val="20"/>
          <w:szCs w:val="20"/>
        </w:rPr>
        <w:t xml:space="preserve"> v Weston [1971] 2 QB 691.</w:t>
      </w:r>
    </w:p>
  </w:footnote>
  <w:footnote w:id="8">
    <w:p w14:paraId="00000056"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Cooke, B.K., </w:t>
      </w:r>
      <w:proofErr w:type="spellStart"/>
      <w:r>
        <w:rPr>
          <w:rFonts w:ascii="Times New Roman" w:eastAsia="Times New Roman" w:hAnsi="Times New Roman" w:cs="Times New Roman"/>
          <w:color w:val="000000"/>
          <w:sz w:val="20"/>
          <w:szCs w:val="20"/>
        </w:rPr>
        <w:t>Worsham</w:t>
      </w:r>
      <w:proofErr w:type="spellEnd"/>
      <w:r>
        <w:rPr>
          <w:rFonts w:ascii="Times New Roman" w:eastAsia="Times New Roman" w:hAnsi="Times New Roman" w:cs="Times New Roman"/>
          <w:color w:val="000000"/>
          <w:sz w:val="20"/>
          <w:szCs w:val="20"/>
        </w:rPr>
        <w:t xml:space="preserve">, E. and </w:t>
      </w:r>
      <w:proofErr w:type="spellStart"/>
      <w:r>
        <w:rPr>
          <w:rFonts w:ascii="Times New Roman" w:eastAsia="Times New Roman" w:hAnsi="Times New Roman" w:cs="Times New Roman"/>
          <w:color w:val="000000"/>
          <w:sz w:val="20"/>
          <w:szCs w:val="20"/>
        </w:rPr>
        <w:t>Reisfield</w:t>
      </w:r>
      <w:proofErr w:type="spellEnd"/>
      <w:r>
        <w:rPr>
          <w:rFonts w:ascii="Times New Roman" w:eastAsia="Times New Roman" w:hAnsi="Times New Roman" w:cs="Times New Roman"/>
          <w:color w:val="000000"/>
          <w:sz w:val="20"/>
          <w:szCs w:val="20"/>
        </w:rPr>
        <w:t xml:space="preserve">, G.M., 2017. The elusive standard of care. J Am </w:t>
      </w:r>
      <w:proofErr w:type="spellStart"/>
      <w:r>
        <w:rPr>
          <w:rFonts w:ascii="Times New Roman" w:eastAsia="Times New Roman" w:hAnsi="Times New Roman" w:cs="Times New Roman"/>
          <w:color w:val="000000"/>
          <w:sz w:val="20"/>
          <w:szCs w:val="20"/>
        </w:rPr>
        <w:t>Acad</w:t>
      </w:r>
      <w:proofErr w:type="spellEnd"/>
      <w:r>
        <w:rPr>
          <w:rFonts w:ascii="Times New Roman" w:eastAsia="Times New Roman" w:hAnsi="Times New Roman" w:cs="Times New Roman"/>
          <w:color w:val="000000"/>
          <w:sz w:val="20"/>
          <w:szCs w:val="20"/>
        </w:rPr>
        <w:t xml:space="preserve"> Psychiatry Law, 45(3), pp.358-364.</w:t>
      </w:r>
    </w:p>
  </w:footnote>
  <w:footnote w:id="9">
    <w:p w14:paraId="00000057"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Kelly, J., 2019. Legal issues in midwifery care. In Empowering Decision-Making in Midwifery (pp. 29-38). Routledge.</w:t>
      </w:r>
    </w:p>
  </w:footnote>
  <w:footnote w:id="10">
    <w:p w14:paraId="00000058"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Tingle, J., 2002. Establishing a breach of the duty of care in the tort of negligence: 2. British journal of nursing, 11(18), pp.1212-1214.</w:t>
      </w:r>
    </w:p>
  </w:footnote>
  <w:footnote w:id="11">
    <w:p w14:paraId="00000059" w14:textId="77777777" w:rsidR="00316F00" w:rsidRDefault="008C05D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Bolton v. Stone [1951] AC 850, [1951] 1 All ER 1078</w:t>
      </w:r>
    </w:p>
  </w:footnote>
  <w:footnote w:id="12">
    <w:p w14:paraId="0000005A"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Miller v Jackson [1977] QB 966</w:t>
      </w:r>
    </w:p>
  </w:footnote>
  <w:footnote w:id="13">
    <w:p w14:paraId="0000005B" w14:textId="77777777" w:rsidR="00316F00" w:rsidRDefault="008C05D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Latimer v AEC Ltd [1953] AC 643.</w:t>
      </w:r>
    </w:p>
  </w:footnote>
  <w:footnote w:id="14">
    <w:p w14:paraId="0000005C"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Udemezue</w:t>
      </w:r>
      <w:proofErr w:type="spellEnd"/>
      <w:r>
        <w:rPr>
          <w:rFonts w:ascii="Times New Roman" w:eastAsia="Times New Roman" w:hAnsi="Times New Roman" w:cs="Times New Roman"/>
          <w:color w:val="000000"/>
          <w:sz w:val="20"/>
          <w:szCs w:val="20"/>
        </w:rPr>
        <w:t xml:space="preserve">, S. and </w:t>
      </w:r>
      <w:proofErr w:type="spellStart"/>
      <w:r>
        <w:rPr>
          <w:rFonts w:ascii="Times New Roman" w:eastAsia="Times New Roman" w:hAnsi="Times New Roman" w:cs="Times New Roman"/>
          <w:color w:val="000000"/>
          <w:sz w:val="20"/>
          <w:szCs w:val="20"/>
        </w:rPr>
        <w:t>Ojeih</w:t>
      </w:r>
      <w:proofErr w:type="spellEnd"/>
      <w:r>
        <w:rPr>
          <w:rFonts w:ascii="Times New Roman" w:eastAsia="Times New Roman" w:hAnsi="Times New Roman" w:cs="Times New Roman"/>
          <w:color w:val="000000"/>
          <w:sz w:val="20"/>
          <w:szCs w:val="20"/>
        </w:rPr>
        <w:t>, C.A., 2021. A Critical Analysis of the Role of Courts in Determining Breach of Duty of Care in the Law of Torts. Available at SSRN 3840080.</w:t>
      </w:r>
    </w:p>
  </w:footnote>
  <w:footnote w:id="15">
    <w:p w14:paraId="0000005D"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Wooldridge v Sumner [1963] 2 QB 43</w:t>
      </w:r>
    </w:p>
  </w:footnote>
  <w:footnote w:id="16">
    <w:p w14:paraId="0000005E" w14:textId="77777777" w:rsidR="00316F00" w:rsidRDefault="008C05D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Khare</w:t>
      </w:r>
      <w:proofErr w:type="spellEnd"/>
      <w:r>
        <w:rPr>
          <w:rFonts w:ascii="Times New Roman" w:eastAsia="Times New Roman" w:hAnsi="Times New Roman" w:cs="Times New Roman"/>
          <w:color w:val="000000"/>
          <w:sz w:val="20"/>
          <w:szCs w:val="20"/>
        </w:rPr>
        <w:t xml:space="preserve">, M., 2010. Foul Ball-The Need to Alter Current Liability Standards for Spectator Injuries at Sporting Events. Tex. Rev. </w:t>
      </w:r>
      <w:proofErr w:type="gramStart"/>
      <w:r>
        <w:rPr>
          <w:rFonts w:ascii="Times New Roman" w:eastAsia="Times New Roman" w:hAnsi="Times New Roman" w:cs="Times New Roman"/>
          <w:color w:val="000000"/>
          <w:sz w:val="20"/>
          <w:szCs w:val="20"/>
        </w:rPr>
        <w:t>Ent</w:t>
      </w:r>
      <w:proofErr w:type="gramEnd"/>
      <w:r>
        <w:rPr>
          <w:rFonts w:ascii="Times New Roman" w:eastAsia="Times New Roman" w:hAnsi="Times New Roman" w:cs="Times New Roman"/>
          <w:color w:val="000000"/>
          <w:sz w:val="20"/>
          <w:szCs w:val="20"/>
        </w:rPr>
        <w:t>. &amp; Sports L., 12, p.91.</w:t>
      </w:r>
    </w:p>
  </w:footnote>
  <w:footnote w:id="17">
    <w:p w14:paraId="0000005F"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Jahn</w:t>
      </w:r>
      <w:proofErr w:type="spellEnd"/>
      <w:r>
        <w:rPr>
          <w:rFonts w:ascii="Times New Roman" w:eastAsia="Times New Roman" w:hAnsi="Times New Roman" w:cs="Times New Roman"/>
          <w:color w:val="000000"/>
          <w:sz w:val="20"/>
          <w:szCs w:val="20"/>
        </w:rPr>
        <w:t>, G.N., 1988. Civil Liability: An Alternative to Violence in Sporting Events. Ohio NUL Rev., 15, p.243.</w:t>
      </w:r>
    </w:p>
  </w:footnote>
  <w:footnote w:id="18">
    <w:p w14:paraId="00000060"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Caldwell v Maguire [2001] EWCA </w:t>
      </w:r>
      <w:proofErr w:type="spellStart"/>
      <w:r>
        <w:rPr>
          <w:rFonts w:ascii="Times New Roman" w:eastAsia="Times New Roman" w:hAnsi="Times New Roman" w:cs="Times New Roman"/>
          <w:color w:val="000000"/>
          <w:sz w:val="20"/>
          <w:szCs w:val="20"/>
        </w:rPr>
        <w:t>Civ</w:t>
      </w:r>
      <w:proofErr w:type="spellEnd"/>
      <w:r>
        <w:rPr>
          <w:rFonts w:ascii="Times New Roman" w:eastAsia="Times New Roman" w:hAnsi="Times New Roman" w:cs="Times New Roman"/>
          <w:color w:val="000000"/>
          <w:sz w:val="20"/>
          <w:szCs w:val="20"/>
        </w:rPr>
        <w:t xml:space="preserve"> 1054.</w:t>
      </w:r>
    </w:p>
  </w:footnote>
  <w:footnote w:id="19">
    <w:p w14:paraId="00000061" w14:textId="77777777" w:rsidR="00316F00" w:rsidRDefault="008C05D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Khalsa</w:t>
      </w:r>
      <w:proofErr w:type="spellEnd"/>
      <w:r>
        <w:rPr>
          <w:rFonts w:ascii="Times New Roman" w:eastAsia="Times New Roman" w:hAnsi="Times New Roman" w:cs="Times New Roman"/>
          <w:color w:val="000000"/>
          <w:sz w:val="20"/>
          <w:szCs w:val="20"/>
        </w:rPr>
        <w:t xml:space="preserve">, K.K., 1997. Tort Law-Cause of Action for Negligent Horseplay: </w:t>
      </w:r>
      <w:proofErr w:type="spellStart"/>
      <w:r>
        <w:rPr>
          <w:rFonts w:ascii="Times New Roman" w:eastAsia="Times New Roman" w:hAnsi="Times New Roman" w:cs="Times New Roman"/>
          <w:color w:val="000000"/>
          <w:sz w:val="20"/>
          <w:szCs w:val="20"/>
        </w:rPr>
        <w:t>Yount</w:t>
      </w:r>
      <w:proofErr w:type="spellEnd"/>
      <w:r>
        <w:rPr>
          <w:rFonts w:ascii="Times New Roman" w:eastAsia="Times New Roman" w:hAnsi="Times New Roman" w:cs="Times New Roman"/>
          <w:color w:val="000000"/>
          <w:sz w:val="20"/>
          <w:szCs w:val="20"/>
        </w:rPr>
        <w:t xml:space="preserve"> v. Johnson. NML Rev., 27, p.661.</w:t>
      </w:r>
    </w:p>
  </w:footnote>
  <w:footnote w:id="20">
    <w:p w14:paraId="00000062"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Blake v Galloway [2004] 3 All ER 315</w:t>
      </w:r>
    </w:p>
  </w:footnote>
  <w:footnote w:id="21">
    <w:p w14:paraId="00000063"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Orchard v Lee [2009] EWCA 295</w:t>
      </w:r>
    </w:p>
  </w:footnote>
  <w:footnote w:id="22">
    <w:p w14:paraId="00000064"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Mullin v Richards [1998] 1 WLR 1304</w:t>
      </w:r>
    </w:p>
  </w:footnote>
  <w:footnote w:id="23">
    <w:p w14:paraId="00000065"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Wooldridge v Sumner [1963] 2 QB 43</w:t>
      </w:r>
    </w:p>
  </w:footnote>
  <w:footnote w:id="24">
    <w:p w14:paraId="00000066"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Condon v </w:t>
      </w:r>
      <w:proofErr w:type="spellStart"/>
      <w:r>
        <w:rPr>
          <w:rFonts w:ascii="Times New Roman" w:eastAsia="Times New Roman" w:hAnsi="Times New Roman" w:cs="Times New Roman"/>
          <w:color w:val="000000"/>
          <w:sz w:val="20"/>
          <w:szCs w:val="20"/>
        </w:rPr>
        <w:t>Basi</w:t>
      </w:r>
      <w:proofErr w:type="spellEnd"/>
      <w:r>
        <w:rPr>
          <w:rFonts w:ascii="Times New Roman" w:eastAsia="Times New Roman" w:hAnsi="Times New Roman" w:cs="Times New Roman"/>
          <w:color w:val="000000"/>
          <w:sz w:val="20"/>
          <w:szCs w:val="20"/>
        </w:rPr>
        <w:t xml:space="preserve"> [1985] 1 WLR 866</w:t>
      </w:r>
    </w:p>
  </w:footnote>
  <w:footnote w:id="25">
    <w:p w14:paraId="00000067"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rFonts w:ascii="Times New Roman" w:eastAsia="Times New Roman" w:hAnsi="Times New Roman" w:cs="Times New Roman"/>
          <w:color w:val="000000"/>
          <w:sz w:val="20"/>
          <w:szCs w:val="20"/>
        </w:rPr>
        <w:t>Rootes</w:t>
      </w:r>
      <w:proofErr w:type="spellEnd"/>
      <w:r>
        <w:rPr>
          <w:rFonts w:ascii="Times New Roman" w:eastAsia="Times New Roman" w:hAnsi="Times New Roman" w:cs="Times New Roman"/>
          <w:color w:val="000000"/>
          <w:sz w:val="20"/>
          <w:szCs w:val="20"/>
        </w:rPr>
        <w:t xml:space="preserve"> v Shelton (1967) 116 CLR 383</w:t>
      </w:r>
    </w:p>
  </w:footnote>
  <w:footnote w:id="26">
    <w:p w14:paraId="00000068"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GREENBERG, M., 2018. Webster’s Horse-‐Play.</w:t>
      </w:r>
    </w:p>
  </w:footnote>
  <w:footnote w:id="27">
    <w:p w14:paraId="00000069" w14:textId="77777777" w:rsidR="00316F00" w:rsidRDefault="008C05D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Kopf, K., 2017. Horseplay Gone Wrong: A Proposed Model Equine Activity Liability Act. Val. UL Rev., 52, p.543.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B" w14:textId="2B3CA2E6" w:rsidR="00316F00" w:rsidRDefault="008C05DD">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NEGLIGENCE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745A7">
      <w:rPr>
        <w:rFonts w:ascii="Times New Roman" w:eastAsia="Times New Roman" w:hAnsi="Times New Roman" w:cs="Times New Roman"/>
        <w:noProof/>
        <w:color w:val="000000"/>
        <w:sz w:val="24"/>
        <w:szCs w:val="24"/>
      </w:rPr>
      <w:t>13</w:t>
    </w:r>
    <w:r>
      <w:rPr>
        <w:rFonts w:ascii="Times New Roman" w:eastAsia="Times New Roman" w:hAnsi="Times New Roman" w:cs="Times New Roman"/>
        <w:color w:val="000000"/>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A" w14:textId="7A9E7006" w:rsidR="00316F00" w:rsidRDefault="008C05DD">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NEGLIGENCE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745A7">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F00"/>
    <w:rsid w:val="00316F00"/>
    <w:rsid w:val="008C05DD"/>
    <w:rsid w:val="00A745A7"/>
    <w:rsid w:val="00BA4546"/>
    <w:rsid w:val="00C2135F"/>
    <w:rsid w:val="00D21B09"/>
    <w:rsid w:val="00D71E63"/>
    <w:rsid w:val="00FD4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407B"/>
  <w15:docId w15:val="{2E511EF4-BC1C-43EB-85D4-C255F0E3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3A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A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C37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737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73E"/>
  </w:style>
  <w:style w:type="paragraph" w:styleId="Footer">
    <w:name w:val="footer"/>
    <w:basedOn w:val="Normal"/>
    <w:link w:val="FooterChar"/>
    <w:uiPriority w:val="99"/>
    <w:unhideWhenUsed/>
    <w:rsid w:val="00737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73E"/>
  </w:style>
  <w:style w:type="character" w:customStyle="1" w:styleId="Heading1Char">
    <w:name w:val="Heading 1 Char"/>
    <w:basedOn w:val="DefaultParagraphFont"/>
    <w:link w:val="Heading1"/>
    <w:uiPriority w:val="9"/>
    <w:rsid w:val="00093AA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066E9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66E99"/>
    <w:rPr>
      <w:i/>
      <w:iCs/>
    </w:rPr>
  </w:style>
  <w:style w:type="character" w:customStyle="1" w:styleId="Heading2Char">
    <w:name w:val="Heading 2 Char"/>
    <w:basedOn w:val="DefaultParagraphFont"/>
    <w:link w:val="Heading2"/>
    <w:uiPriority w:val="9"/>
    <w:rsid w:val="00B71A1F"/>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C605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05C3"/>
    <w:rPr>
      <w:sz w:val="20"/>
      <w:szCs w:val="20"/>
    </w:rPr>
  </w:style>
  <w:style w:type="character" w:styleId="FootnoteReference">
    <w:name w:val="footnote reference"/>
    <w:basedOn w:val="DefaultParagraphFont"/>
    <w:uiPriority w:val="99"/>
    <w:semiHidden/>
    <w:unhideWhenUsed/>
    <w:rsid w:val="00C605C3"/>
    <w:rPr>
      <w:vertAlign w:val="superscript"/>
    </w:rPr>
  </w:style>
  <w:style w:type="character" w:styleId="Hyperlink">
    <w:name w:val="Hyperlink"/>
    <w:basedOn w:val="DefaultParagraphFont"/>
    <w:uiPriority w:val="99"/>
    <w:unhideWhenUsed/>
    <w:rsid w:val="00196F4F"/>
    <w:rPr>
      <w:color w:val="0000FF"/>
      <w:u w:val="single"/>
    </w:rPr>
  </w:style>
  <w:style w:type="character" w:styleId="Strong">
    <w:name w:val="Strong"/>
    <w:basedOn w:val="DefaultParagraphFont"/>
    <w:uiPriority w:val="22"/>
    <w:qFormat/>
    <w:rsid w:val="00196F4F"/>
    <w:rPr>
      <w:b/>
      <w:bCs/>
    </w:rPr>
  </w:style>
  <w:style w:type="character" w:customStyle="1" w:styleId="Heading3Char">
    <w:name w:val="Heading 3 Char"/>
    <w:basedOn w:val="DefaultParagraphFont"/>
    <w:link w:val="Heading3"/>
    <w:uiPriority w:val="9"/>
    <w:semiHidden/>
    <w:rsid w:val="000C37A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F37C0"/>
    <w:pPr>
      <w:tabs>
        <w:tab w:val="right" w:leader="dot" w:pos="9350"/>
      </w:tabs>
      <w:spacing w:after="100" w:line="480" w:lineRule="auto"/>
      <w:jc w:val="center"/>
    </w:pPr>
    <w:rPr>
      <w:rFonts w:ascii="Times New Roman" w:hAnsi="Times New Roman" w:cs="Times New Roman"/>
      <w:sz w:val="24"/>
      <w:szCs w:val="24"/>
    </w:rPr>
  </w:style>
  <w:style w:type="paragraph" w:styleId="TOC2">
    <w:name w:val="toc 2"/>
    <w:basedOn w:val="Normal"/>
    <w:next w:val="Normal"/>
    <w:autoRedefine/>
    <w:uiPriority w:val="39"/>
    <w:unhideWhenUsed/>
    <w:rsid w:val="00AA4E81"/>
    <w:pPr>
      <w:spacing w:after="100"/>
      <w:ind w:left="220"/>
    </w:pPr>
  </w:style>
  <w:style w:type="paragraph" w:styleId="TOCHeading">
    <w:name w:val="TOC Heading"/>
    <w:basedOn w:val="Heading1"/>
    <w:next w:val="Normal"/>
    <w:uiPriority w:val="39"/>
    <w:unhideWhenUsed/>
    <w:qFormat/>
    <w:rsid w:val="00354F47"/>
    <w:pPr>
      <w:outlineLvl w:val="9"/>
    </w:pPr>
    <w:rPr>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AMAdBHz/NO0eLB1xL5BDKjbq5A==">AMUW2mUSoqqExfK5GvficJRsioAW8agWKgImNkC+aQg3KLEFUCX8SOd6uJBuuqDIItbDpk9bhIy9ylAMOnSgYk7QrBiZOJ3aPt919XIP/c6l2lukPdmmsoScvbus+9MkXp7BR64nNKalHSh/a5Rd0hiK3Gj3Q9D/FlzgiLox+QWFQrFOsKdXdlfZdgdHoQYU6ubM2byOQo+QlisScmJ1sBYyvfUmxYofwImhQVV0gfOHOJZjXifpIGWFB7b6EBL2sMsuGe7VQoGLTnRetWKfZkt6qpxTFdQkGPz8TfSBV8gt+nrb5kGaaFEhhX7nhmlhheVCpmgIur27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2530</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Windows User</cp:lastModifiedBy>
  <cp:revision>3</cp:revision>
  <dcterms:created xsi:type="dcterms:W3CDTF">2021-11-05T11:02:00Z</dcterms:created>
  <dcterms:modified xsi:type="dcterms:W3CDTF">2021-11-05T11:17:00Z</dcterms:modified>
</cp:coreProperties>
</file>