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72EDAA" w14:textId="15146615" w:rsidR="00F951D6" w:rsidRDefault="00F951D6" w:rsidP="00F951D6">
      <w:pPr>
        <w:rPr>
          <w:lang w:val="en-US"/>
        </w:rPr>
      </w:pPr>
    </w:p>
    <w:p w14:paraId="4A9CE681" w14:textId="0043C985" w:rsidR="00F951D6" w:rsidRDefault="00F951D6" w:rsidP="00F951D6">
      <w:pPr>
        <w:rPr>
          <w:lang w:val="en-US"/>
        </w:rPr>
      </w:pPr>
    </w:p>
    <w:p w14:paraId="4396A0F3" w14:textId="04A95583" w:rsidR="00F951D6" w:rsidRDefault="00F951D6" w:rsidP="00F951D6">
      <w:pPr>
        <w:rPr>
          <w:lang w:val="en-US"/>
        </w:rPr>
      </w:pPr>
    </w:p>
    <w:p w14:paraId="6F422C2C" w14:textId="58A58CEB" w:rsidR="00F951D6" w:rsidRDefault="00F951D6" w:rsidP="00F951D6">
      <w:pPr>
        <w:rPr>
          <w:lang w:val="en-US"/>
        </w:rPr>
      </w:pPr>
    </w:p>
    <w:p w14:paraId="621BF3CD" w14:textId="6564F6E8" w:rsidR="00F951D6" w:rsidRDefault="00F951D6" w:rsidP="00F951D6">
      <w:pPr>
        <w:rPr>
          <w:lang w:val="en-US"/>
        </w:rPr>
      </w:pPr>
    </w:p>
    <w:p w14:paraId="6D6110A6" w14:textId="3FC89F80" w:rsidR="00F951D6" w:rsidRDefault="00F951D6" w:rsidP="00F951D6">
      <w:pPr>
        <w:rPr>
          <w:lang w:val="en-US"/>
        </w:rPr>
      </w:pPr>
    </w:p>
    <w:p w14:paraId="0E9BBA42" w14:textId="074537C4" w:rsidR="00F951D6" w:rsidRDefault="00F951D6" w:rsidP="00F951D6">
      <w:pPr>
        <w:rPr>
          <w:lang w:val="en-US"/>
        </w:rPr>
      </w:pPr>
    </w:p>
    <w:p w14:paraId="13758199" w14:textId="1DF981E2" w:rsidR="00F951D6" w:rsidRDefault="00F951D6" w:rsidP="00F951D6">
      <w:pPr>
        <w:rPr>
          <w:lang w:val="en-US"/>
        </w:rPr>
      </w:pPr>
    </w:p>
    <w:p w14:paraId="07F87087" w14:textId="77777777" w:rsidR="00F951D6" w:rsidRDefault="00F951D6" w:rsidP="00F951D6">
      <w:pPr>
        <w:rPr>
          <w:lang w:val="en-US"/>
        </w:rPr>
      </w:pPr>
    </w:p>
    <w:p w14:paraId="627FB223" w14:textId="22F77F57" w:rsidR="0002792F" w:rsidRPr="00F951D6" w:rsidRDefault="007E0FB4" w:rsidP="00F951D6">
      <w:pPr>
        <w:jc w:val="center"/>
        <w:rPr>
          <w:b/>
          <w:lang w:val="en-US"/>
        </w:rPr>
      </w:pPr>
      <w:r w:rsidRPr="00F951D6">
        <w:rPr>
          <w:b/>
          <w:lang w:val="en-US"/>
        </w:rPr>
        <w:t>Student Name:</w:t>
      </w:r>
      <w:r w:rsidR="00F43EE8">
        <w:rPr>
          <w:b/>
          <w:lang w:val="en-US"/>
        </w:rPr>
        <w:t xml:space="preserve"> Ifat Batool Hussain</w:t>
      </w:r>
    </w:p>
    <w:p w14:paraId="31A1821E" w14:textId="52C31561" w:rsidR="0002792F" w:rsidRPr="00F951D6" w:rsidRDefault="007E0FB4" w:rsidP="00F951D6">
      <w:pPr>
        <w:jc w:val="center"/>
        <w:rPr>
          <w:b/>
          <w:lang w:val="en-US"/>
        </w:rPr>
      </w:pPr>
      <w:r w:rsidRPr="00F951D6">
        <w:rPr>
          <w:b/>
          <w:lang w:val="en-US"/>
        </w:rPr>
        <w:t xml:space="preserve">Student </w:t>
      </w:r>
      <w:r w:rsidR="00F43EE8" w:rsidRPr="00F951D6">
        <w:rPr>
          <w:b/>
          <w:lang w:val="en-US"/>
        </w:rPr>
        <w:t>Number</w:t>
      </w:r>
      <w:r w:rsidR="00F43EE8">
        <w:rPr>
          <w:b/>
          <w:lang w:val="en-US"/>
        </w:rPr>
        <w:t>: 2419347</w:t>
      </w:r>
    </w:p>
    <w:p w14:paraId="49A0D387" w14:textId="77025A15" w:rsidR="00463A29" w:rsidRPr="00F951D6" w:rsidRDefault="007E0FB4" w:rsidP="00F951D6">
      <w:pPr>
        <w:jc w:val="center"/>
        <w:rPr>
          <w:b/>
          <w:lang w:val="en-US"/>
        </w:rPr>
      </w:pPr>
      <w:r w:rsidRPr="00F951D6">
        <w:rPr>
          <w:b/>
          <w:lang w:val="en-US"/>
        </w:rPr>
        <w:t xml:space="preserve">Module: Principles of Health </w:t>
      </w:r>
      <w:proofErr w:type="gramStart"/>
      <w:r w:rsidRPr="00F951D6">
        <w:rPr>
          <w:b/>
          <w:lang w:val="en-US"/>
        </w:rPr>
        <w:t>And</w:t>
      </w:r>
      <w:proofErr w:type="gramEnd"/>
      <w:r w:rsidRPr="00F951D6">
        <w:rPr>
          <w:b/>
          <w:lang w:val="en-US"/>
        </w:rPr>
        <w:t xml:space="preserve"> Social Care Practice</w:t>
      </w:r>
    </w:p>
    <w:p w14:paraId="1A029496" w14:textId="5CA19CB6" w:rsidR="00ED13D9" w:rsidRPr="00F951D6" w:rsidRDefault="007E0FB4" w:rsidP="00F951D6">
      <w:pPr>
        <w:jc w:val="center"/>
        <w:rPr>
          <w:b/>
          <w:lang w:val="en-US"/>
        </w:rPr>
      </w:pPr>
      <w:r w:rsidRPr="00F951D6">
        <w:rPr>
          <w:b/>
          <w:lang w:val="en-US"/>
        </w:rPr>
        <w:t>Module Code: BMHP5016</w:t>
      </w:r>
    </w:p>
    <w:p w14:paraId="32FDEBC7" w14:textId="50C265D4" w:rsidR="00ED13D9" w:rsidRPr="00F951D6" w:rsidRDefault="007E0FB4" w:rsidP="00F951D6">
      <w:pPr>
        <w:jc w:val="center"/>
        <w:rPr>
          <w:b/>
          <w:lang w:val="en-US"/>
        </w:rPr>
      </w:pPr>
      <w:r w:rsidRPr="00F951D6">
        <w:rPr>
          <w:b/>
          <w:lang w:val="en-US"/>
        </w:rPr>
        <w:t>Assignment Title: Component 1: Written Assignment (Reflective Report)</w:t>
      </w:r>
    </w:p>
    <w:p w14:paraId="188D1F70" w14:textId="0FE65CBC" w:rsidR="00ED13D9" w:rsidRDefault="00ED13D9" w:rsidP="009728E9">
      <w:pPr>
        <w:rPr>
          <w:lang w:val="en-US"/>
        </w:rPr>
      </w:pPr>
    </w:p>
    <w:p w14:paraId="13804FF9" w14:textId="3C88B55C" w:rsidR="007642F4" w:rsidRDefault="007E0FB4">
      <w:pPr>
        <w:spacing w:line="259" w:lineRule="auto"/>
        <w:rPr>
          <w:lang w:val="en-US"/>
        </w:rPr>
      </w:pPr>
      <w:r>
        <w:rPr>
          <w:lang w:val="en-US"/>
        </w:rPr>
        <w:br w:type="page"/>
      </w:r>
    </w:p>
    <w:sdt>
      <w:sdtPr>
        <w:rPr>
          <w:rFonts w:ascii="Times New Roman" w:eastAsiaTheme="minorHAnsi" w:hAnsi="Times New Roman" w:cstheme="minorBidi"/>
          <w:color w:val="auto"/>
          <w:sz w:val="24"/>
          <w:szCs w:val="22"/>
          <w:lang w:val="en-GB"/>
        </w:rPr>
        <w:id w:val="503788404"/>
        <w:docPartObj>
          <w:docPartGallery w:val="Table of Contents"/>
          <w:docPartUnique/>
        </w:docPartObj>
      </w:sdtPr>
      <w:sdtEndPr>
        <w:rPr>
          <w:b/>
          <w:bCs/>
          <w:noProof/>
        </w:rPr>
      </w:sdtEndPr>
      <w:sdtContent>
        <w:p w14:paraId="532289B7" w14:textId="4FAEC71F" w:rsidR="00DC7F97" w:rsidRPr="00351AC8" w:rsidRDefault="007E0FB4">
          <w:pPr>
            <w:pStyle w:val="TOCHeading"/>
            <w:rPr>
              <w:rFonts w:ascii="Times New Roman" w:hAnsi="Times New Roman" w:cs="Times New Roman"/>
              <w:color w:val="auto"/>
              <w:sz w:val="24"/>
              <w:szCs w:val="24"/>
            </w:rPr>
          </w:pPr>
          <w:r w:rsidRPr="00351AC8">
            <w:rPr>
              <w:rFonts w:ascii="Times New Roman" w:hAnsi="Times New Roman" w:cs="Times New Roman"/>
              <w:color w:val="auto"/>
              <w:sz w:val="24"/>
              <w:szCs w:val="24"/>
            </w:rPr>
            <w:t>Table of Contents</w:t>
          </w:r>
        </w:p>
        <w:p w14:paraId="49CBC718" w14:textId="6BE451DD" w:rsidR="00187995" w:rsidRDefault="007E0FB4">
          <w:pPr>
            <w:pStyle w:val="TOC1"/>
            <w:tabs>
              <w:tab w:val="right" w:leader="dot" w:pos="9350"/>
            </w:tabs>
            <w:rPr>
              <w:rFonts w:asciiTheme="minorHAnsi" w:eastAsiaTheme="minorEastAsia" w:hAnsiTheme="minorHAnsi"/>
              <w:noProof/>
              <w:sz w:val="22"/>
              <w:lang w:eastAsia="en-GB"/>
            </w:rPr>
          </w:pPr>
          <w:r w:rsidRPr="00351AC8">
            <w:rPr>
              <w:rFonts w:cs="Times New Roman"/>
              <w:szCs w:val="24"/>
            </w:rPr>
            <w:fldChar w:fldCharType="begin"/>
          </w:r>
          <w:r w:rsidRPr="00351AC8">
            <w:rPr>
              <w:rFonts w:cs="Times New Roman"/>
              <w:szCs w:val="24"/>
            </w:rPr>
            <w:instrText xml:space="preserve"> TOC \o "1-3" \h \z \u </w:instrText>
          </w:r>
          <w:r w:rsidRPr="00351AC8">
            <w:rPr>
              <w:rFonts w:cs="Times New Roman"/>
              <w:szCs w:val="24"/>
            </w:rPr>
            <w:fldChar w:fldCharType="separate"/>
          </w:r>
          <w:hyperlink w:anchor="_Toc232791284" w:history="1">
            <w:r w:rsidR="00187995" w:rsidRPr="00F61F3B">
              <w:rPr>
                <w:rStyle w:val="Hyperlink"/>
                <w:noProof/>
                <w:lang w:val="en-US"/>
              </w:rPr>
              <w:t>Introduction</w:t>
            </w:r>
            <w:r w:rsidR="00187995">
              <w:rPr>
                <w:noProof/>
                <w:webHidden/>
              </w:rPr>
              <w:tab/>
            </w:r>
            <w:r w:rsidR="00187995">
              <w:rPr>
                <w:noProof/>
                <w:webHidden/>
              </w:rPr>
              <w:fldChar w:fldCharType="begin"/>
            </w:r>
            <w:r w:rsidR="00187995">
              <w:rPr>
                <w:noProof/>
                <w:webHidden/>
              </w:rPr>
              <w:instrText xml:space="preserve"> PAGEREF _Toc232791284 \h </w:instrText>
            </w:r>
            <w:r w:rsidR="00187995">
              <w:rPr>
                <w:noProof/>
                <w:webHidden/>
              </w:rPr>
            </w:r>
            <w:r w:rsidR="00187995">
              <w:rPr>
                <w:noProof/>
                <w:webHidden/>
              </w:rPr>
              <w:fldChar w:fldCharType="separate"/>
            </w:r>
            <w:r w:rsidR="00187995">
              <w:rPr>
                <w:noProof/>
                <w:webHidden/>
              </w:rPr>
              <w:t>3</w:t>
            </w:r>
            <w:r w:rsidR="00187995">
              <w:rPr>
                <w:noProof/>
                <w:webHidden/>
              </w:rPr>
              <w:fldChar w:fldCharType="end"/>
            </w:r>
          </w:hyperlink>
        </w:p>
        <w:p w14:paraId="29A1D310" w14:textId="2B94C71C" w:rsidR="00187995" w:rsidRDefault="00187995">
          <w:pPr>
            <w:pStyle w:val="TOC1"/>
            <w:tabs>
              <w:tab w:val="right" w:leader="dot" w:pos="9350"/>
            </w:tabs>
            <w:rPr>
              <w:rFonts w:asciiTheme="minorHAnsi" w:eastAsiaTheme="minorEastAsia" w:hAnsiTheme="minorHAnsi"/>
              <w:noProof/>
              <w:sz w:val="22"/>
              <w:lang w:eastAsia="en-GB"/>
            </w:rPr>
          </w:pPr>
          <w:hyperlink w:anchor="_Toc232791285" w:history="1">
            <w:r w:rsidRPr="00F61F3B">
              <w:rPr>
                <w:rStyle w:val="Hyperlink"/>
                <w:noProof/>
                <w:lang w:val="en-US"/>
              </w:rPr>
              <w:t>Task 1: Reflection on the Importance Of Principles</w:t>
            </w:r>
            <w:r>
              <w:rPr>
                <w:noProof/>
                <w:webHidden/>
              </w:rPr>
              <w:tab/>
            </w:r>
            <w:r>
              <w:rPr>
                <w:noProof/>
                <w:webHidden/>
              </w:rPr>
              <w:fldChar w:fldCharType="begin"/>
            </w:r>
            <w:r>
              <w:rPr>
                <w:noProof/>
                <w:webHidden/>
              </w:rPr>
              <w:instrText xml:space="preserve"> PAGEREF _Toc232791285 \h </w:instrText>
            </w:r>
            <w:r>
              <w:rPr>
                <w:noProof/>
                <w:webHidden/>
              </w:rPr>
            </w:r>
            <w:r>
              <w:rPr>
                <w:noProof/>
                <w:webHidden/>
              </w:rPr>
              <w:fldChar w:fldCharType="separate"/>
            </w:r>
            <w:r>
              <w:rPr>
                <w:noProof/>
                <w:webHidden/>
              </w:rPr>
              <w:t>3</w:t>
            </w:r>
            <w:r>
              <w:rPr>
                <w:noProof/>
                <w:webHidden/>
              </w:rPr>
              <w:fldChar w:fldCharType="end"/>
            </w:r>
          </w:hyperlink>
        </w:p>
        <w:p w14:paraId="402AE381" w14:textId="4DA71D20" w:rsidR="00187995" w:rsidRDefault="00187995">
          <w:pPr>
            <w:pStyle w:val="TOC1"/>
            <w:tabs>
              <w:tab w:val="right" w:leader="dot" w:pos="9350"/>
            </w:tabs>
            <w:rPr>
              <w:rFonts w:asciiTheme="minorHAnsi" w:eastAsiaTheme="minorEastAsia" w:hAnsiTheme="minorHAnsi"/>
              <w:noProof/>
              <w:sz w:val="22"/>
              <w:lang w:eastAsia="en-GB"/>
            </w:rPr>
          </w:pPr>
          <w:hyperlink w:anchor="_Toc232791286" w:history="1">
            <w:r w:rsidRPr="00F61F3B">
              <w:rPr>
                <w:rStyle w:val="Hyperlink"/>
                <w:noProof/>
                <w:lang w:val="en-US"/>
              </w:rPr>
              <w:t>Task 2: Practical Example In Practice</w:t>
            </w:r>
            <w:r>
              <w:rPr>
                <w:noProof/>
                <w:webHidden/>
              </w:rPr>
              <w:tab/>
            </w:r>
            <w:r>
              <w:rPr>
                <w:noProof/>
                <w:webHidden/>
              </w:rPr>
              <w:fldChar w:fldCharType="begin"/>
            </w:r>
            <w:r>
              <w:rPr>
                <w:noProof/>
                <w:webHidden/>
              </w:rPr>
              <w:instrText xml:space="preserve"> PAGEREF _Toc232791286 \h </w:instrText>
            </w:r>
            <w:r>
              <w:rPr>
                <w:noProof/>
                <w:webHidden/>
              </w:rPr>
            </w:r>
            <w:r>
              <w:rPr>
                <w:noProof/>
                <w:webHidden/>
              </w:rPr>
              <w:fldChar w:fldCharType="separate"/>
            </w:r>
            <w:r>
              <w:rPr>
                <w:noProof/>
                <w:webHidden/>
              </w:rPr>
              <w:t>4</w:t>
            </w:r>
            <w:r>
              <w:rPr>
                <w:noProof/>
                <w:webHidden/>
              </w:rPr>
              <w:fldChar w:fldCharType="end"/>
            </w:r>
          </w:hyperlink>
        </w:p>
        <w:p w14:paraId="4866ABC5" w14:textId="5DA8854A" w:rsidR="00187995" w:rsidRDefault="00187995">
          <w:pPr>
            <w:pStyle w:val="TOC1"/>
            <w:tabs>
              <w:tab w:val="right" w:leader="dot" w:pos="9350"/>
            </w:tabs>
            <w:rPr>
              <w:rFonts w:asciiTheme="minorHAnsi" w:eastAsiaTheme="minorEastAsia" w:hAnsiTheme="minorHAnsi"/>
              <w:noProof/>
              <w:sz w:val="22"/>
              <w:lang w:eastAsia="en-GB"/>
            </w:rPr>
          </w:pPr>
          <w:hyperlink w:anchor="_Toc232791287" w:history="1">
            <w:r w:rsidRPr="00F61F3B">
              <w:rPr>
                <w:rStyle w:val="Hyperlink"/>
                <w:noProof/>
              </w:rPr>
              <w:t>Task 3: Self-Reflection</w:t>
            </w:r>
            <w:r>
              <w:rPr>
                <w:noProof/>
                <w:webHidden/>
              </w:rPr>
              <w:tab/>
            </w:r>
            <w:r>
              <w:rPr>
                <w:noProof/>
                <w:webHidden/>
              </w:rPr>
              <w:fldChar w:fldCharType="begin"/>
            </w:r>
            <w:r>
              <w:rPr>
                <w:noProof/>
                <w:webHidden/>
              </w:rPr>
              <w:instrText xml:space="preserve"> PAGEREF _Toc232791287 \h </w:instrText>
            </w:r>
            <w:r>
              <w:rPr>
                <w:noProof/>
                <w:webHidden/>
              </w:rPr>
            </w:r>
            <w:r>
              <w:rPr>
                <w:noProof/>
                <w:webHidden/>
              </w:rPr>
              <w:fldChar w:fldCharType="separate"/>
            </w:r>
            <w:r>
              <w:rPr>
                <w:noProof/>
                <w:webHidden/>
              </w:rPr>
              <w:t>5</w:t>
            </w:r>
            <w:r>
              <w:rPr>
                <w:noProof/>
                <w:webHidden/>
              </w:rPr>
              <w:fldChar w:fldCharType="end"/>
            </w:r>
          </w:hyperlink>
        </w:p>
        <w:p w14:paraId="25D89197" w14:textId="4F95CC6C" w:rsidR="00187995" w:rsidRDefault="00187995">
          <w:pPr>
            <w:pStyle w:val="TOC2"/>
            <w:tabs>
              <w:tab w:val="right" w:leader="dot" w:pos="9350"/>
            </w:tabs>
            <w:rPr>
              <w:rFonts w:asciiTheme="minorHAnsi" w:eastAsiaTheme="minorEastAsia" w:hAnsiTheme="minorHAnsi"/>
              <w:noProof/>
              <w:sz w:val="22"/>
              <w:lang w:eastAsia="en-GB"/>
            </w:rPr>
          </w:pPr>
          <w:hyperlink w:anchor="_Toc232791288" w:history="1">
            <w:r w:rsidRPr="00F61F3B">
              <w:rPr>
                <w:rStyle w:val="Hyperlink"/>
                <w:noProof/>
              </w:rPr>
              <w:t>What?</w:t>
            </w:r>
            <w:r>
              <w:rPr>
                <w:noProof/>
                <w:webHidden/>
              </w:rPr>
              <w:tab/>
            </w:r>
            <w:r>
              <w:rPr>
                <w:noProof/>
                <w:webHidden/>
              </w:rPr>
              <w:fldChar w:fldCharType="begin"/>
            </w:r>
            <w:r>
              <w:rPr>
                <w:noProof/>
                <w:webHidden/>
              </w:rPr>
              <w:instrText xml:space="preserve"> PAGEREF _Toc232791288 \h </w:instrText>
            </w:r>
            <w:r>
              <w:rPr>
                <w:noProof/>
                <w:webHidden/>
              </w:rPr>
            </w:r>
            <w:r>
              <w:rPr>
                <w:noProof/>
                <w:webHidden/>
              </w:rPr>
              <w:fldChar w:fldCharType="separate"/>
            </w:r>
            <w:r>
              <w:rPr>
                <w:noProof/>
                <w:webHidden/>
              </w:rPr>
              <w:t>5</w:t>
            </w:r>
            <w:r>
              <w:rPr>
                <w:noProof/>
                <w:webHidden/>
              </w:rPr>
              <w:fldChar w:fldCharType="end"/>
            </w:r>
          </w:hyperlink>
        </w:p>
        <w:p w14:paraId="00560C5A" w14:textId="6810B599" w:rsidR="00187995" w:rsidRDefault="00187995">
          <w:pPr>
            <w:pStyle w:val="TOC2"/>
            <w:tabs>
              <w:tab w:val="right" w:leader="dot" w:pos="9350"/>
            </w:tabs>
            <w:rPr>
              <w:rFonts w:asciiTheme="minorHAnsi" w:eastAsiaTheme="minorEastAsia" w:hAnsiTheme="minorHAnsi"/>
              <w:noProof/>
              <w:sz w:val="22"/>
              <w:lang w:eastAsia="en-GB"/>
            </w:rPr>
          </w:pPr>
          <w:hyperlink w:anchor="_Toc232791289" w:history="1">
            <w:r w:rsidRPr="00F61F3B">
              <w:rPr>
                <w:rStyle w:val="Hyperlink"/>
                <w:noProof/>
              </w:rPr>
              <w:t>So What?</w:t>
            </w:r>
            <w:r>
              <w:rPr>
                <w:noProof/>
                <w:webHidden/>
              </w:rPr>
              <w:tab/>
            </w:r>
            <w:r>
              <w:rPr>
                <w:noProof/>
                <w:webHidden/>
              </w:rPr>
              <w:fldChar w:fldCharType="begin"/>
            </w:r>
            <w:r>
              <w:rPr>
                <w:noProof/>
                <w:webHidden/>
              </w:rPr>
              <w:instrText xml:space="preserve"> PAGEREF _Toc232791289 \h </w:instrText>
            </w:r>
            <w:r>
              <w:rPr>
                <w:noProof/>
                <w:webHidden/>
              </w:rPr>
            </w:r>
            <w:r>
              <w:rPr>
                <w:noProof/>
                <w:webHidden/>
              </w:rPr>
              <w:fldChar w:fldCharType="separate"/>
            </w:r>
            <w:r>
              <w:rPr>
                <w:noProof/>
                <w:webHidden/>
              </w:rPr>
              <w:t>6</w:t>
            </w:r>
            <w:r>
              <w:rPr>
                <w:noProof/>
                <w:webHidden/>
              </w:rPr>
              <w:fldChar w:fldCharType="end"/>
            </w:r>
          </w:hyperlink>
        </w:p>
        <w:p w14:paraId="0024788B" w14:textId="4FC28097" w:rsidR="00187995" w:rsidRDefault="00187995">
          <w:pPr>
            <w:pStyle w:val="TOC2"/>
            <w:tabs>
              <w:tab w:val="right" w:leader="dot" w:pos="9350"/>
            </w:tabs>
            <w:rPr>
              <w:rFonts w:asciiTheme="minorHAnsi" w:eastAsiaTheme="minorEastAsia" w:hAnsiTheme="minorHAnsi"/>
              <w:noProof/>
              <w:sz w:val="22"/>
              <w:lang w:eastAsia="en-GB"/>
            </w:rPr>
          </w:pPr>
          <w:hyperlink w:anchor="_Toc232791290" w:history="1">
            <w:r w:rsidRPr="00F61F3B">
              <w:rPr>
                <w:rStyle w:val="Hyperlink"/>
                <w:noProof/>
              </w:rPr>
              <w:t>Now What?</w:t>
            </w:r>
            <w:r>
              <w:rPr>
                <w:noProof/>
                <w:webHidden/>
              </w:rPr>
              <w:tab/>
            </w:r>
            <w:r>
              <w:rPr>
                <w:noProof/>
                <w:webHidden/>
              </w:rPr>
              <w:fldChar w:fldCharType="begin"/>
            </w:r>
            <w:r>
              <w:rPr>
                <w:noProof/>
                <w:webHidden/>
              </w:rPr>
              <w:instrText xml:space="preserve"> PAGEREF _Toc232791290 \h </w:instrText>
            </w:r>
            <w:r>
              <w:rPr>
                <w:noProof/>
                <w:webHidden/>
              </w:rPr>
            </w:r>
            <w:r>
              <w:rPr>
                <w:noProof/>
                <w:webHidden/>
              </w:rPr>
              <w:fldChar w:fldCharType="separate"/>
            </w:r>
            <w:r>
              <w:rPr>
                <w:noProof/>
                <w:webHidden/>
              </w:rPr>
              <w:t>6</w:t>
            </w:r>
            <w:r>
              <w:rPr>
                <w:noProof/>
                <w:webHidden/>
              </w:rPr>
              <w:fldChar w:fldCharType="end"/>
            </w:r>
          </w:hyperlink>
        </w:p>
        <w:p w14:paraId="1231278B" w14:textId="2AA3F7A8" w:rsidR="00187995" w:rsidRDefault="00187995">
          <w:pPr>
            <w:pStyle w:val="TOC1"/>
            <w:tabs>
              <w:tab w:val="right" w:leader="dot" w:pos="9350"/>
            </w:tabs>
            <w:rPr>
              <w:rFonts w:asciiTheme="minorHAnsi" w:eastAsiaTheme="minorEastAsia" w:hAnsiTheme="minorHAnsi"/>
              <w:noProof/>
              <w:sz w:val="22"/>
              <w:lang w:eastAsia="en-GB"/>
            </w:rPr>
          </w:pPr>
          <w:hyperlink w:anchor="_Toc232791291" w:history="1">
            <w:r w:rsidRPr="00F61F3B">
              <w:rPr>
                <w:rStyle w:val="Hyperlink"/>
                <w:noProof/>
              </w:rPr>
              <w:t>Conclusion</w:t>
            </w:r>
            <w:r>
              <w:rPr>
                <w:noProof/>
                <w:webHidden/>
              </w:rPr>
              <w:tab/>
            </w:r>
            <w:r>
              <w:rPr>
                <w:noProof/>
                <w:webHidden/>
              </w:rPr>
              <w:fldChar w:fldCharType="begin"/>
            </w:r>
            <w:r>
              <w:rPr>
                <w:noProof/>
                <w:webHidden/>
              </w:rPr>
              <w:instrText xml:space="preserve"> PAGEREF _Toc232791291 \h </w:instrText>
            </w:r>
            <w:r>
              <w:rPr>
                <w:noProof/>
                <w:webHidden/>
              </w:rPr>
            </w:r>
            <w:r>
              <w:rPr>
                <w:noProof/>
                <w:webHidden/>
              </w:rPr>
              <w:fldChar w:fldCharType="separate"/>
            </w:r>
            <w:r>
              <w:rPr>
                <w:noProof/>
                <w:webHidden/>
              </w:rPr>
              <w:t>7</w:t>
            </w:r>
            <w:r>
              <w:rPr>
                <w:noProof/>
                <w:webHidden/>
              </w:rPr>
              <w:fldChar w:fldCharType="end"/>
            </w:r>
          </w:hyperlink>
        </w:p>
        <w:p w14:paraId="02C6C672" w14:textId="6467E754" w:rsidR="00187995" w:rsidRDefault="00187995">
          <w:pPr>
            <w:pStyle w:val="TOC1"/>
            <w:tabs>
              <w:tab w:val="right" w:leader="dot" w:pos="9350"/>
            </w:tabs>
            <w:rPr>
              <w:rFonts w:asciiTheme="minorHAnsi" w:eastAsiaTheme="minorEastAsia" w:hAnsiTheme="minorHAnsi"/>
              <w:noProof/>
              <w:sz w:val="22"/>
              <w:lang w:eastAsia="en-GB"/>
            </w:rPr>
          </w:pPr>
          <w:hyperlink w:anchor="_Toc232791292" w:history="1">
            <w:r w:rsidRPr="00F61F3B">
              <w:rPr>
                <w:rStyle w:val="Hyperlink"/>
                <w:noProof/>
              </w:rPr>
              <w:t>References</w:t>
            </w:r>
            <w:r>
              <w:rPr>
                <w:noProof/>
                <w:webHidden/>
              </w:rPr>
              <w:tab/>
            </w:r>
            <w:r>
              <w:rPr>
                <w:noProof/>
                <w:webHidden/>
              </w:rPr>
              <w:fldChar w:fldCharType="begin"/>
            </w:r>
            <w:r>
              <w:rPr>
                <w:noProof/>
                <w:webHidden/>
              </w:rPr>
              <w:instrText xml:space="preserve"> PAGEREF _Toc232791292 \h </w:instrText>
            </w:r>
            <w:r>
              <w:rPr>
                <w:noProof/>
                <w:webHidden/>
              </w:rPr>
            </w:r>
            <w:r>
              <w:rPr>
                <w:noProof/>
                <w:webHidden/>
              </w:rPr>
              <w:fldChar w:fldCharType="separate"/>
            </w:r>
            <w:r>
              <w:rPr>
                <w:noProof/>
                <w:webHidden/>
              </w:rPr>
              <w:t>8</w:t>
            </w:r>
            <w:r>
              <w:rPr>
                <w:noProof/>
                <w:webHidden/>
              </w:rPr>
              <w:fldChar w:fldCharType="end"/>
            </w:r>
          </w:hyperlink>
        </w:p>
        <w:p w14:paraId="6F0A167B" w14:textId="0D8BDDE1" w:rsidR="00DC7F97" w:rsidRDefault="007E0FB4">
          <w:r w:rsidRPr="00351AC8">
            <w:rPr>
              <w:rFonts w:cs="Times New Roman"/>
              <w:b/>
              <w:bCs/>
              <w:noProof/>
              <w:szCs w:val="24"/>
            </w:rPr>
            <w:fldChar w:fldCharType="end"/>
          </w:r>
        </w:p>
      </w:sdtContent>
    </w:sdt>
    <w:p w14:paraId="63A26336" w14:textId="77777777" w:rsidR="007642F4" w:rsidRDefault="007642F4" w:rsidP="009728E9">
      <w:pPr>
        <w:rPr>
          <w:lang w:val="en-US"/>
        </w:rPr>
      </w:pPr>
    </w:p>
    <w:p w14:paraId="3A95623C" w14:textId="77777777" w:rsidR="007642F4" w:rsidRDefault="007642F4" w:rsidP="009728E9">
      <w:pPr>
        <w:rPr>
          <w:lang w:val="en-US"/>
        </w:rPr>
      </w:pPr>
    </w:p>
    <w:p w14:paraId="6BBC4D1E" w14:textId="01451F63" w:rsidR="00ED13D9" w:rsidRDefault="007E0FB4">
      <w:pPr>
        <w:spacing w:line="259" w:lineRule="auto"/>
        <w:rPr>
          <w:lang w:val="en-US"/>
        </w:rPr>
      </w:pPr>
      <w:r>
        <w:rPr>
          <w:lang w:val="en-US"/>
        </w:rPr>
        <w:br w:type="page"/>
      </w:r>
    </w:p>
    <w:p w14:paraId="53D1D282" w14:textId="4FD28649" w:rsidR="003F312E" w:rsidRDefault="007E0FB4" w:rsidP="00C141D4">
      <w:pPr>
        <w:pStyle w:val="Heading1"/>
        <w:rPr>
          <w:lang w:val="en-US"/>
        </w:rPr>
      </w:pPr>
      <w:bookmarkStart w:id="0" w:name="_Toc232791284"/>
      <w:r>
        <w:rPr>
          <w:lang w:val="en-US"/>
        </w:rPr>
        <w:lastRenderedPageBreak/>
        <w:t>Introduction</w:t>
      </w:r>
      <w:bookmarkEnd w:id="0"/>
    </w:p>
    <w:p w14:paraId="167EFF9E" w14:textId="77777777" w:rsidR="005278B8" w:rsidRDefault="007E0FB4" w:rsidP="005278B8">
      <w:pPr>
        <w:rPr>
          <w:lang w:val="en-US"/>
        </w:rPr>
      </w:pPr>
      <w:r w:rsidRPr="008A2C07">
        <w:rPr>
          <w:lang w:val="en-US"/>
        </w:rPr>
        <w:t xml:space="preserve">Various professional principles underpin health and social care practice and are set against the backdrop of improving outcomes, protecting welfare, and providing high-quality, compassionate, effective care for people. </w:t>
      </w:r>
      <w:r w:rsidR="00447CA9">
        <w:rPr>
          <w:lang w:val="en-US"/>
        </w:rPr>
        <w:t>The principles include</w:t>
      </w:r>
      <w:r w:rsidRPr="008A2C07">
        <w:rPr>
          <w:lang w:val="en-US"/>
        </w:rPr>
        <w:t xml:space="preserve"> person-centred care, partnership working, ethical decision making and fostering individual autonomy and empowerment that form the core of contemporary work. Haile et al. (2022) found that person-centred care boosts patient engagement, adherence and satisfaction, and the World Health Organisation (2023) points towards the importance of integrated and collaborative care in the effective management of </w:t>
      </w:r>
      <w:r w:rsidR="00FF07B6" w:rsidRPr="008A2C07">
        <w:rPr>
          <w:lang w:val="en-US"/>
        </w:rPr>
        <w:t>long-term</w:t>
      </w:r>
      <w:r w:rsidRPr="008A2C07">
        <w:rPr>
          <w:lang w:val="en-US"/>
        </w:rPr>
        <w:t xml:space="preserve"> conditions. </w:t>
      </w:r>
    </w:p>
    <w:p w14:paraId="39CBA04D" w14:textId="1A8FB77D" w:rsidR="0013527A" w:rsidRDefault="007E0FB4" w:rsidP="00187995">
      <w:pPr>
        <w:rPr>
          <w:lang w:val="en-US"/>
        </w:rPr>
      </w:pPr>
      <w:r w:rsidRPr="008A2C07">
        <w:rPr>
          <w:lang w:val="en-US"/>
        </w:rPr>
        <w:t xml:space="preserve">This is especially true within </w:t>
      </w:r>
      <w:r w:rsidR="00C95BB2">
        <w:rPr>
          <w:lang w:val="en-US"/>
        </w:rPr>
        <w:t xml:space="preserve">the current </w:t>
      </w:r>
      <w:r w:rsidRPr="008A2C07">
        <w:rPr>
          <w:lang w:val="en-US"/>
        </w:rPr>
        <w:t xml:space="preserve">health systems that </w:t>
      </w:r>
      <w:r w:rsidR="00C95BB2">
        <w:rPr>
          <w:lang w:val="en-US"/>
        </w:rPr>
        <w:t xml:space="preserve">are </w:t>
      </w:r>
      <w:r w:rsidRPr="008A2C07">
        <w:rPr>
          <w:lang w:val="en-US"/>
        </w:rPr>
        <w:t>trying to manage more people with multiple chronic conditions who will require support and self-management over time.</w:t>
      </w:r>
      <w:r w:rsidR="005278B8">
        <w:rPr>
          <w:lang w:val="en-US"/>
        </w:rPr>
        <w:t xml:space="preserve"> </w:t>
      </w:r>
      <w:r w:rsidRPr="0013527A">
        <w:rPr>
          <w:lang w:val="en-US"/>
        </w:rPr>
        <w:t>This report aims to explore the principles of health and social care practice and consider how these principles support the effective delivery of care and ensure good patient outcomes. The report draws on the case study of Joan, a woman with Chronic Obstructive Pulmonary Disease (COPD) and Crohn's disease, to illustrate how these principles could be applied in practice. This discussion will examine how the healthcare team worked together to identify challenges, encourage self-management and enhance Joan's interaction with health services, highlighting the importance of professional values in practice.</w:t>
      </w:r>
    </w:p>
    <w:p w14:paraId="30AE1443" w14:textId="214C1EF7" w:rsidR="0080576D" w:rsidRDefault="0080576D" w:rsidP="00C141D4">
      <w:pPr>
        <w:rPr>
          <w:lang w:val="en-US"/>
        </w:rPr>
      </w:pPr>
    </w:p>
    <w:p w14:paraId="004CAE4B" w14:textId="7613A733" w:rsidR="0080576D" w:rsidRDefault="007E0FB4" w:rsidP="00031F8C">
      <w:pPr>
        <w:pStyle w:val="Heading1"/>
        <w:rPr>
          <w:lang w:val="en-US"/>
        </w:rPr>
      </w:pPr>
      <w:bookmarkStart w:id="1" w:name="_Toc232791285"/>
      <w:r>
        <w:rPr>
          <w:lang w:val="en-US"/>
        </w:rPr>
        <w:t>Task 1: Reflection on the Importance Of Principles</w:t>
      </w:r>
      <w:bookmarkEnd w:id="1"/>
    </w:p>
    <w:p w14:paraId="568BC4F3" w14:textId="77777777" w:rsidR="0075171F" w:rsidRDefault="007E0FB4" w:rsidP="006E3122">
      <w:r w:rsidRPr="00872DEB">
        <w:rPr>
          <w:lang w:val="en-US"/>
        </w:rPr>
        <w:t>Effective health and social care services are person-centred, based on partnership working and ethical practices, and are essential for ensuring positive outcomes for individuals. Person-centred care is a service that respects and responds to an individual's preferences, values, needs, and aspirations, and is accessible to and engaged in decision-making about their care (Ahmed et al., 2022). The Care Act 2014 is underpinned by this principle and supports wellbeing, independence and choice (GOV.UK, 2014). Haile et al. (2022) state that person-centred care supports patient engagement and health outcomes by acknowledging individuals as partners in their care instead of recipients. It also encompasses Maslow's Hierarchy of Needs in which a person is more likely to be in a good state of well-being if their physical, emotional and social needs are met (Dar and Sakthivel, 2022). However, Knezevic et al. (2022) challenge the adoption of person-centred care, noting that, in the face of workforce pressures, shrinking resources and rising demand, meaningful patient involvement can be limited by policy measures.</w:t>
      </w:r>
      <w:r w:rsidRPr="0075171F">
        <w:t xml:space="preserve"> </w:t>
      </w:r>
    </w:p>
    <w:p w14:paraId="0D47BB66" w14:textId="2B7748F6" w:rsidR="005278B8" w:rsidRDefault="007E0FB4" w:rsidP="006E3122">
      <w:pPr>
        <w:rPr>
          <w:lang w:val="en-US"/>
        </w:rPr>
      </w:pPr>
      <w:r w:rsidRPr="0075171F">
        <w:rPr>
          <w:lang w:val="en-US"/>
        </w:rPr>
        <w:t xml:space="preserve">Partnership working is about the coordination of the work of service users, families, professionals and organisations working towards agreed aims (Whittington, 2023). This is especially crucial for people with complex needs who are supported by several agencies. This is based on Bronfenbrenner's Ecological Systems Theory, which states that factors affecting health impacts involve multiple interconnections of family, community, and institutional settings </w:t>
      </w:r>
      <w:r w:rsidRPr="0075171F">
        <w:rPr>
          <w:lang w:val="en-US"/>
        </w:rPr>
        <w:lastRenderedPageBreak/>
        <w:t>(Amali et al., 2023). Khatri et al. (2023) state that good partnership working leads to better communication, continuity of care and efficiency of services. In the context of the NHS, collaborative working to improve care integration has demonstrated less fragmentation and better patient experience (Litchfield et al., 2022). However, O'Dwyer et al. (2023) challenge partnership arrangements, arguing that the various organisational cultures and priorities often hinder collaboration. Successful partnership working is demonstrated in consensual relationships, as in the case of Victoria Climbié in the United Kingdom.</w:t>
      </w:r>
    </w:p>
    <w:p w14:paraId="2FB66E8C" w14:textId="77777777" w:rsidR="00126C75" w:rsidRDefault="007E0FB4" w:rsidP="00D95D66">
      <w:pPr>
        <w:rPr>
          <w:lang w:val="en-US"/>
        </w:rPr>
      </w:pPr>
      <w:r w:rsidRPr="00126C75">
        <w:rPr>
          <w:lang w:val="en-US"/>
        </w:rPr>
        <w:t>The Laming (2003) inquiry into the case of Victoria Climbié identified that poor communication and information sharing issues between health, social care and child protection services made it easy for Victoria to be abused more than once. Unethical practice is based on moral principles, including autonomy, beneficence, non-maleficence, justice, and respect for dignity in the delivery of care (Ferrara, 2024). Ethical decision-making helps one to treat others fairly and to respect their rights. According to Ferrara (2024), ethical frameworks are available to help professionals decide between competing interests and when dealing with different care decisions. The importance of ethics was underlined by the Mid Staffordshire NHS Foundation Trust scandal, which resulted in avoidable harm and loss of public trust. Francis (2013) suggested that the organisation took a poor account of patient welfare, which led to significant ethical misconduct. The inquiry results confirm the unity of the argument that ethical practice is essential to safe and caring care. However, when values and principles clash with the resources and demands of service, it can be difficult for practitioners to know what to do and to take responsibility for ensuring they deliver high-quality care.</w:t>
      </w:r>
    </w:p>
    <w:p w14:paraId="439A4E1B" w14:textId="11B34CA9" w:rsidR="00926EFB" w:rsidRDefault="00926EFB" w:rsidP="00D95D66">
      <w:pPr>
        <w:rPr>
          <w:lang w:val="en-US"/>
        </w:rPr>
      </w:pPr>
    </w:p>
    <w:p w14:paraId="2690A39F" w14:textId="4EA03228" w:rsidR="00926EFB" w:rsidRDefault="007E0FB4" w:rsidP="00FC7838">
      <w:pPr>
        <w:pStyle w:val="Heading1"/>
        <w:rPr>
          <w:lang w:val="en-US"/>
        </w:rPr>
      </w:pPr>
      <w:bookmarkStart w:id="2" w:name="_Toc232791286"/>
      <w:r>
        <w:rPr>
          <w:lang w:val="en-US"/>
        </w:rPr>
        <w:t>Task 2: Practical Example In Practice</w:t>
      </w:r>
      <w:bookmarkEnd w:id="2"/>
    </w:p>
    <w:p w14:paraId="334507BC" w14:textId="5F7C308B" w:rsidR="00126C75" w:rsidRDefault="007E0FB4" w:rsidP="00FC7838">
      <w:pPr>
        <w:rPr>
          <w:highlight w:val="yellow"/>
        </w:rPr>
      </w:pPr>
      <w:r w:rsidRPr="00126C75">
        <w:t xml:space="preserve">The case study focuses on Joan to illustrate how partnership working, person-centred care and ethical practice can be effectively implemented in a healthcare setting in the UK to enable optimum outcomes for people with long-term conditions. Joan was diagnosed with Chronic Obstructive Pulmonary Disease (COPD) and was having a great deal of trouble with her COPD. Although she was referred for pulmonary rehab, she often failed to attend, had difficulty listening to clinicians, and found herself being admitted to the ER over and over. Healthcare professionals have used the Patient Activation Measure (PAM®) to determine that Joan's activation was very low, meaning she lacked confidence, knowledge and capability in self-management. This assessment allowed the care team to plan interventions based on her specific needs and was shaped by the </w:t>
      </w:r>
      <w:r w:rsidR="00BB2EB4" w:rsidRPr="00126C75">
        <w:t>Person-Centred</w:t>
      </w:r>
      <w:r w:rsidRPr="00126C75">
        <w:t xml:space="preserve"> Care Framework of McCormack and McCance (2021), which highlights the importance of learning about a person's circumstances, values and experiences before planning care for them.</w:t>
      </w:r>
    </w:p>
    <w:p w14:paraId="2CBD33CB" w14:textId="65742C49" w:rsidR="00E7116D" w:rsidRPr="00FC7838" w:rsidRDefault="007E0FB4" w:rsidP="002E1060">
      <w:r w:rsidRPr="002E1060">
        <w:t xml:space="preserve">Person-centred care was shown in the decision to investigate the reasons behind Joan's lack of engagement, instead of treating her COPD. Joan had a weekly conference with a member of the therapy team where she could share concerns that might prevent her from showing up for </w:t>
      </w:r>
      <w:r w:rsidRPr="002E1060">
        <w:lastRenderedPageBreak/>
        <w:t>appointments or rehabilitation. The discussions showed that uncontrolled Crohn's disease was a significant obstacle, as bowel symptoms kept her at home. NICE (2021) guidance on shared decision-making states that interventions in healthcare are more effective when practitioners know individuals' preferences and barriers to engagement. Joan's individual plan focused on the concerns that were meaningful for her and led to a high level of confidence and improvement in independence. This success was evidenced by more than 40% improvement in her PAM® score and increased attendance at outpatient appointments.</w:t>
      </w:r>
    </w:p>
    <w:p w14:paraId="400AF3F1" w14:textId="553B9727" w:rsidR="002E1060" w:rsidRPr="00FC7838" w:rsidRDefault="007E0FB4" w:rsidP="00FC7838">
      <w:r w:rsidRPr="00780C04">
        <w:t>Positive outcomes were also the result of achieving partnership working. Joan engaged the therapy team, GP and physiotherapist to help identify issues and coordinate interventions. This aligns with the goals of the Health and Care Act 2022, which aims to foster integrated healthcare and inter-agency collaboration to enhance patient outcomes (GOV.UK, 2022). The collaboration of several professionals gave Joan treatment for her respiratory and gastrointestinal ailments, as well as both together. The CQC (2026) states that coordinated care is one way to increase the quality of services, minimise service fragmentation, and facilitate care continuity. This joint approach led to Joan being more likely to use services, having fewer missed appointments and fewer emergency admissions.</w:t>
      </w:r>
      <w:r w:rsidR="00282D65">
        <w:t xml:space="preserve"> </w:t>
      </w:r>
      <w:r w:rsidR="00320241" w:rsidRPr="00320241">
        <w:t>Ethical practice was exemplified by respect for Joan's autonomy, dignity and individual circumstances. Instead of an excuse for not attending, workers tried making sense of the difficulties with her behaviour, and included her in finding solutions. This is in line with the NHS 6 C's principles of compassion, care and communication (NHS England, 2015). There were obstacles to overcome, such as Joan's lack of confidence and health issues, but with consistent support, good communication and individual goal setting, these were overcome. The outcome was beneficial to Joan and the health care providers.</w:t>
      </w:r>
    </w:p>
    <w:p w14:paraId="6D0763E8" w14:textId="4F90AFDE" w:rsidR="009255DA" w:rsidRDefault="009255DA" w:rsidP="00FC7838"/>
    <w:p w14:paraId="3860CA5B" w14:textId="77777777" w:rsidR="0035738D" w:rsidRDefault="007E0FB4" w:rsidP="00FF6E1D">
      <w:pPr>
        <w:pStyle w:val="Heading1"/>
      </w:pPr>
      <w:bookmarkStart w:id="3" w:name="_Toc232791287"/>
      <w:r>
        <w:t>Task 3: Self-Reflection</w:t>
      </w:r>
      <w:bookmarkEnd w:id="3"/>
    </w:p>
    <w:p w14:paraId="4EADADE0" w14:textId="3F320E29" w:rsidR="0035738D" w:rsidRDefault="007E0FB4" w:rsidP="00FF6E1D">
      <w:pPr>
        <w:pStyle w:val="Heading2"/>
      </w:pPr>
      <w:bookmarkStart w:id="4" w:name="_Toc232791288"/>
      <w:r>
        <w:t>What?</w:t>
      </w:r>
      <w:bookmarkEnd w:id="4"/>
    </w:p>
    <w:p w14:paraId="1AAA3F56" w14:textId="4A7B8DBA" w:rsidR="009112F4" w:rsidRDefault="007E0FB4" w:rsidP="0035738D">
      <w:r w:rsidRPr="00D4604A">
        <w:t>In my academic learning and experiences, I have learnt about the importance of person-centred care, partnership working and ethical practice in a health and social care setting. I developed a deeper appreciation for the importance of effective communication and responsiveness to individual needs when I worked with people in a health care setting. I noticed that when people's preferences and concerns were actively acknowledged, they reacted positively, whereas when decisions were taken based only on opinion from the professionals, the reaction was different. I also collaborated with staff members from other professions to ensure appropriate sharing of information and effective support coordination. The experience connected with the Health and Care Act 2022 values integrated and collective care, which therefore promotes partnership working (GOV.UK, 2022). These experiences gave me insight into the impact of the principles mentioned in this report on service quality and patient outcomes.</w:t>
      </w:r>
    </w:p>
    <w:p w14:paraId="520E3627" w14:textId="77777777" w:rsidR="00D4604A" w:rsidRDefault="00D4604A" w:rsidP="0035738D"/>
    <w:p w14:paraId="47229763" w14:textId="7F01665E" w:rsidR="0035738D" w:rsidRDefault="007E0FB4" w:rsidP="00FF6E1D">
      <w:pPr>
        <w:pStyle w:val="Heading2"/>
      </w:pPr>
      <w:bookmarkStart w:id="5" w:name="_Toc232791289"/>
      <w:r>
        <w:lastRenderedPageBreak/>
        <w:t>So What?</w:t>
      </w:r>
      <w:bookmarkEnd w:id="5"/>
    </w:p>
    <w:p w14:paraId="19289B11" w14:textId="1F574CC0" w:rsidR="006B55F4" w:rsidRDefault="007E0FB4" w:rsidP="0035738D">
      <w:r w:rsidRPr="007130AA">
        <w:t xml:space="preserve">These experiences have brought to light some positive aspects and some that need further enhancement. I have a strong ability to communicate. I have learnt that listening well to people helps to establish trust and opens the door to concerns that may not have been shared otherwise. This aligns with McCormack and McCance's (2021) framework of person-centred care, which states that relationships matter to effective care provision. I have actively listened to and communicated with others respectfully, and this has helped me to be part of more positive interactions and understanding of individual needs. One of my strengths is my ability to work collaboratively with others. I have learnt that sharing information and considering other viewpoints on a problem is important in group projects and when working in a professional environment. Whittington (2023) argues </w:t>
      </w:r>
      <w:r>
        <w:t>that b</w:t>
      </w:r>
      <w:r w:rsidRPr="007130AA">
        <w:t xml:space="preserve">y an amalgamation of skills from various stakeholders, partnership working improves outcomes. My experiences have </w:t>
      </w:r>
      <w:r w:rsidR="009835FF">
        <w:t>supported</w:t>
      </w:r>
      <w:r w:rsidRPr="007130AA">
        <w:t xml:space="preserve"> this, as I found that </w:t>
      </w:r>
      <w:r w:rsidR="006E1ED1">
        <w:t>often</w:t>
      </w:r>
      <w:r w:rsidRPr="007130AA">
        <w:t xml:space="preserve"> more was achieved through teamwork than if an individual did it alone.</w:t>
      </w:r>
    </w:p>
    <w:p w14:paraId="36BB1ED9" w14:textId="66EB21D9" w:rsidR="009112F4" w:rsidRDefault="007E0FB4" w:rsidP="009112F4">
      <w:r w:rsidRPr="00FD2C67">
        <w:t>Reflection, however, has also shown areas of improvement. In some situations, I have been hesitant to share my opinions with others who are more experienced. This, at times, restricted my engagement and diminished opportunities to promote ideas which might be helpful to service users. Ethics has also been an important learning area for ethical practice. I appreciate the need to be confidential, respectful and dignified, but have learned that when there are conflicting priorities, ethical choices can be more complicated. Francis (2013) highlighted the weaknesses in the quality of care, particularly when the organisation's pressures are not offset by professional values. This has added weight to the focus on meeting the needs and well-being of people despite operational challenges. Theoretically, my reflections resonate with Maslow's Hierarchy of Needs (Dar and Sakthivel, 2022)</w:t>
      </w:r>
      <w:r>
        <w:t xml:space="preserve">, for example, </w:t>
      </w:r>
      <w:r w:rsidRPr="00FD2C67">
        <w:t>I have noticed that people really want to give support if they feel respected, valued and understood.</w:t>
      </w:r>
    </w:p>
    <w:p w14:paraId="657E7080" w14:textId="77777777" w:rsidR="004A74E3" w:rsidRDefault="004A74E3" w:rsidP="009112F4"/>
    <w:p w14:paraId="6ECD9CD9" w14:textId="78BD6564" w:rsidR="0035738D" w:rsidRDefault="007E0FB4" w:rsidP="00FF6E1D">
      <w:pPr>
        <w:pStyle w:val="Heading2"/>
      </w:pPr>
      <w:bookmarkStart w:id="6" w:name="_Toc232791290"/>
      <w:r>
        <w:t>Now What?</w:t>
      </w:r>
      <w:bookmarkEnd w:id="6"/>
    </w:p>
    <w:p w14:paraId="51838086" w14:textId="00427ED9" w:rsidR="004A74E3" w:rsidRDefault="007E0FB4" w:rsidP="0035738D">
      <w:r w:rsidRPr="00C57944">
        <w:t>Moving forward, I will further develop the skills of using a person-centred approach, partnership working and an ethical approach to working professionally. I also want to get more hands-on experience in the healthcare sector, hopefully by doing some voluntary work or work experience within a healthcare environment, to work directly with a service user, but also with multidisciplinary teams. I can become more confident in the application of theory in real-life situations as a result of exposure to a range and variety of care settings. I also intend to participate in continued training focused on communication, safeguarding, equality and diversity and person-centred approaches to care.</w:t>
      </w:r>
    </w:p>
    <w:p w14:paraId="7E672A7D" w14:textId="0F7259A0" w:rsidR="00C57944" w:rsidRDefault="007E0FB4" w:rsidP="0035738D">
      <w:r w:rsidRPr="004A0F06">
        <w:t xml:space="preserve">The Health and Care Professions Council (2017) emphasise lifelong learning as a key component of professional practice, and I recognise the importance of continuously updating my knowledge. The opportunity to learn from experienced practitioners and get constructive feedback will be </w:t>
      </w:r>
      <w:r w:rsidRPr="004A0F06">
        <w:lastRenderedPageBreak/>
        <w:t>found through seeking mentorship. I also plan to make reflective practice models, such as Rolfe's, which are frequently used to look back at what has happened and what could be improved further. I want to use these skills and embrace professional values to bring about safe, ethical, person-centred care for good outcomes for individuals and communities.</w:t>
      </w:r>
    </w:p>
    <w:p w14:paraId="362AB1B8" w14:textId="1EF0AAA0" w:rsidR="009112F4" w:rsidRDefault="009112F4" w:rsidP="0035738D"/>
    <w:p w14:paraId="6AE608FA" w14:textId="31C29B42" w:rsidR="00041E78" w:rsidRDefault="007E0FB4" w:rsidP="00041E78">
      <w:pPr>
        <w:pStyle w:val="Heading1"/>
      </w:pPr>
      <w:bookmarkStart w:id="7" w:name="_Toc232791291"/>
      <w:r>
        <w:t>Conclusion</w:t>
      </w:r>
      <w:bookmarkEnd w:id="7"/>
    </w:p>
    <w:p w14:paraId="4C8831DD" w14:textId="6C672375" w:rsidR="0098314F" w:rsidRDefault="007E0FB4" w:rsidP="00041E78">
      <w:r w:rsidRPr="000C11C7">
        <w:t>Three principles which underpin effective health and social care delivery are those of person-centred care, partnership working and ethical practice. These principles combine to make sure that people are treated with dignity and respect; support them in decisions that relate to their care; and provide coordinated support to address their individual needs. The case of Joan illustrates the application of these principles to enhance engagement, self-management, well-being, and service outcomes. Reflection also identified that communication, collaboration and values in practice are significant. Relationship building and teamwork have been identified as strengths, but ongoing development is required to build confidence, enhance skills in decision making and to improve experience. These principles will be consistently applied through ongoing learning, reflective practice and professional learning.</w:t>
      </w:r>
    </w:p>
    <w:p w14:paraId="2D24D1C1" w14:textId="788FAE9A" w:rsidR="00041E78" w:rsidRDefault="007E0FB4">
      <w:pPr>
        <w:spacing w:line="259" w:lineRule="auto"/>
      </w:pPr>
      <w:r>
        <w:br w:type="page"/>
      </w:r>
    </w:p>
    <w:p w14:paraId="3B2A53D0" w14:textId="1E0203D6" w:rsidR="00041E78" w:rsidRDefault="007E0FB4" w:rsidP="00885117">
      <w:pPr>
        <w:pStyle w:val="Heading1"/>
      </w:pPr>
      <w:bookmarkStart w:id="8" w:name="_Toc232791292"/>
      <w:r>
        <w:lastRenderedPageBreak/>
        <w:t>References</w:t>
      </w:r>
      <w:bookmarkEnd w:id="8"/>
    </w:p>
    <w:p w14:paraId="572C8253" w14:textId="72ED85E7" w:rsidR="00072892" w:rsidRDefault="007E0FB4" w:rsidP="00072892">
      <w:pPr>
        <w:ind w:left="720" w:hanging="720"/>
      </w:pPr>
      <w:r w:rsidRPr="000E72BF">
        <w:t xml:space="preserve">Ahmed, A., van den Muijsenbergh, M.E. and Vrijhoef, H.J., </w:t>
      </w:r>
      <w:r w:rsidR="00F225B0">
        <w:t>(</w:t>
      </w:r>
      <w:r w:rsidRPr="000E72BF">
        <w:t>2022</w:t>
      </w:r>
      <w:r w:rsidR="00F225B0">
        <w:t>)</w:t>
      </w:r>
      <w:r w:rsidRPr="000E72BF">
        <w:t>. Person‐centred care in primary care: what works for whom, how and in what circumstances?. </w:t>
      </w:r>
      <w:r w:rsidRPr="000E72BF">
        <w:rPr>
          <w:i/>
          <w:iCs/>
        </w:rPr>
        <w:t>Health &amp; social care in the community</w:t>
      </w:r>
      <w:r w:rsidRPr="000E72BF">
        <w:t>, </w:t>
      </w:r>
      <w:r w:rsidRPr="000E72BF">
        <w:rPr>
          <w:i/>
          <w:iCs/>
        </w:rPr>
        <w:t>30</w:t>
      </w:r>
      <w:r w:rsidRPr="000E72BF">
        <w:t>(6), pp.e3328-e3341.</w:t>
      </w:r>
    </w:p>
    <w:p w14:paraId="619091C7" w14:textId="5F46CC98" w:rsidR="00072892" w:rsidRDefault="007E0FB4" w:rsidP="00072892">
      <w:pPr>
        <w:ind w:left="720" w:hanging="720"/>
      </w:pPr>
      <w:r w:rsidRPr="000E72BF">
        <w:t xml:space="preserve">Amali, N.A.K., Ridzuan, M.U.M., Rahmat, N.H., Seng, H.Z. and Mustafa, N.C., </w:t>
      </w:r>
      <w:r w:rsidR="00F225B0">
        <w:t>(</w:t>
      </w:r>
      <w:r w:rsidRPr="000E72BF">
        <w:t>2023</w:t>
      </w:r>
      <w:r w:rsidR="00F225B0">
        <w:t>)</w:t>
      </w:r>
      <w:r w:rsidRPr="000E72BF">
        <w:t>. Exploring learning environment through Bronfenbrenner’s ecological systems theory. </w:t>
      </w:r>
      <w:r w:rsidRPr="000E72BF">
        <w:rPr>
          <w:i/>
          <w:iCs/>
        </w:rPr>
        <w:t>Journal of Academic Research in Progressive Education and Development</w:t>
      </w:r>
      <w:r w:rsidRPr="000E72BF">
        <w:t>, </w:t>
      </w:r>
      <w:r w:rsidRPr="000E72BF">
        <w:rPr>
          <w:i/>
          <w:iCs/>
        </w:rPr>
        <w:t>12</w:t>
      </w:r>
      <w:r w:rsidRPr="000E72BF">
        <w:t>(2), pp.144-162.</w:t>
      </w:r>
    </w:p>
    <w:p w14:paraId="02356127" w14:textId="77777777" w:rsidR="00072892" w:rsidRDefault="007E0FB4" w:rsidP="00072892">
      <w:pPr>
        <w:ind w:left="720" w:hanging="720"/>
      </w:pPr>
      <w:r w:rsidRPr="00072892">
        <w:t xml:space="preserve">CQC (2026). </w:t>
      </w:r>
      <w:r w:rsidRPr="00072892">
        <w:rPr>
          <w:i/>
          <w:iCs/>
        </w:rPr>
        <w:t>Coordinated care - Care Quality Commission</w:t>
      </w:r>
      <w:r w:rsidRPr="00072892">
        <w:t xml:space="preserve">. [online] Cqc.org.uk. Available at: </w:t>
      </w:r>
      <w:hyperlink r:id="rId8" w:history="1">
        <w:r w:rsidRPr="00891AD8">
          <w:rPr>
            <w:rStyle w:val="Hyperlink"/>
          </w:rPr>
          <w:t>https://www.cqc.org.uk/coordinated-care</w:t>
        </w:r>
      </w:hyperlink>
      <w:r>
        <w:t xml:space="preserve"> </w:t>
      </w:r>
      <w:r w:rsidRPr="00072892">
        <w:t>[Accessed 19 Jun. 2026].</w:t>
      </w:r>
    </w:p>
    <w:p w14:paraId="54DCD12F" w14:textId="09ED450B" w:rsidR="00072892" w:rsidRDefault="007E0FB4" w:rsidP="00072892">
      <w:pPr>
        <w:ind w:left="720" w:hanging="720"/>
      </w:pPr>
      <w:r w:rsidRPr="000E72BF">
        <w:t xml:space="preserve">Dar, S.A. and Sakthivel, P., </w:t>
      </w:r>
      <w:r w:rsidR="00F225B0">
        <w:t>(</w:t>
      </w:r>
      <w:r w:rsidRPr="000E72BF">
        <w:t>2022</w:t>
      </w:r>
      <w:r w:rsidR="00F225B0">
        <w:t>)</w:t>
      </w:r>
      <w:r w:rsidRPr="000E72BF">
        <w:t>. Maslow’s hierarchy of needs is still relevant in the 21st century. </w:t>
      </w:r>
      <w:r w:rsidRPr="000E72BF">
        <w:rPr>
          <w:i/>
          <w:iCs/>
        </w:rPr>
        <w:t>Journal of Learning and Educational Policy</w:t>
      </w:r>
      <w:r w:rsidRPr="000E72BF">
        <w:t>, </w:t>
      </w:r>
      <w:r w:rsidRPr="000E72BF">
        <w:rPr>
          <w:i/>
          <w:iCs/>
        </w:rPr>
        <w:t>2</w:t>
      </w:r>
      <w:r w:rsidRPr="000E72BF">
        <w:t>(5), pp.1-9.</w:t>
      </w:r>
    </w:p>
    <w:p w14:paraId="3651E4E0" w14:textId="0587B5F3" w:rsidR="00072892" w:rsidRDefault="007E0FB4" w:rsidP="00072892">
      <w:pPr>
        <w:ind w:left="720" w:hanging="720"/>
      </w:pPr>
      <w:r w:rsidRPr="00072892">
        <w:t xml:space="preserve">Ferrara, L., </w:t>
      </w:r>
      <w:r w:rsidR="00F225B0">
        <w:t>(</w:t>
      </w:r>
      <w:r w:rsidRPr="00072892">
        <w:t>2024</w:t>
      </w:r>
      <w:r w:rsidR="00F225B0">
        <w:t>)</w:t>
      </w:r>
      <w:r w:rsidRPr="00072892">
        <w:t>. Ethical Principles. In </w:t>
      </w:r>
      <w:r w:rsidRPr="00072892">
        <w:rPr>
          <w:i/>
          <w:iCs/>
        </w:rPr>
        <w:t>Ethical Reasoning in Forensic Science</w:t>
      </w:r>
      <w:r w:rsidRPr="00072892">
        <w:t> (pp. 5-13). Cham: Springer International Publishing.</w:t>
      </w:r>
    </w:p>
    <w:p w14:paraId="7EC625F6" w14:textId="77777777" w:rsidR="00072892" w:rsidRDefault="007E0FB4" w:rsidP="00072892">
      <w:pPr>
        <w:ind w:left="720" w:hanging="720"/>
      </w:pPr>
      <w:r w:rsidRPr="00072892">
        <w:t xml:space="preserve">Francis, R. (2013). </w:t>
      </w:r>
      <w:r w:rsidRPr="00072892">
        <w:rPr>
          <w:i/>
          <w:iCs/>
        </w:rPr>
        <w:t>The Mid Staffordshire NHS Foundation Trust Public Inquiry Report of the Mid Staffordshire NHS Foundation Trust Public Inquiry Executive summary</w:t>
      </w:r>
      <w:r w:rsidRPr="00072892">
        <w:t xml:space="preserve">. [online] Available at: </w:t>
      </w:r>
      <w:hyperlink r:id="rId9" w:history="1">
        <w:r w:rsidRPr="00891AD8">
          <w:rPr>
            <w:rStyle w:val="Hyperlink"/>
          </w:rPr>
          <w:t>https://assets.publishing.service.gov.uk/media/5a7ba0faed915d13110607c8/0947.pdf</w:t>
        </w:r>
      </w:hyperlink>
      <w:r>
        <w:t xml:space="preserve"> </w:t>
      </w:r>
      <w:r w:rsidRPr="00072892">
        <w:t>[Accessed 19 Jun. 2026].</w:t>
      </w:r>
    </w:p>
    <w:p w14:paraId="12AB3E3D" w14:textId="77777777" w:rsidR="00072892" w:rsidRDefault="007E0FB4" w:rsidP="00072892">
      <w:pPr>
        <w:ind w:left="720" w:hanging="720"/>
      </w:pPr>
      <w:r w:rsidRPr="000E72BF">
        <w:t xml:space="preserve">GOV.UK (2014). </w:t>
      </w:r>
      <w:r w:rsidRPr="000E72BF">
        <w:rPr>
          <w:i/>
          <w:iCs/>
        </w:rPr>
        <w:t>Care Act 2014</w:t>
      </w:r>
      <w:r w:rsidRPr="000E72BF">
        <w:t xml:space="preserve">. [online] Legislation.gov.uk. Available at: </w:t>
      </w:r>
      <w:hyperlink r:id="rId10" w:history="1">
        <w:r w:rsidRPr="00891AD8">
          <w:rPr>
            <w:rStyle w:val="Hyperlink"/>
          </w:rPr>
          <w:t>https://www.legislation.gov.uk/ukpga/2014/23/contents</w:t>
        </w:r>
      </w:hyperlink>
      <w:r>
        <w:t xml:space="preserve"> </w:t>
      </w:r>
      <w:r w:rsidRPr="000E72BF">
        <w:t>[Accessed 19 Jun. 2026].</w:t>
      </w:r>
    </w:p>
    <w:p w14:paraId="4E7F64FA" w14:textId="77777777" w:rsidR="00072892" w:rsidRDefault="007E0FB4" w:rsidP="00072892">
      <w:pPr>
        <w:ind w:left="720" w:hanging="720"/>
      </w:pPr>
      <w:r w:rsidRPr="00072892">
        <w:t xml:space="preserve">GOV.UK (2022). </w:t>
      </w:r>
      <w:r w:rsidRPr="00072892">
        <w:rPr>
          <w:i/>
          <w:iCs/>
        </w:rPr>
        <w:t>Health and Care Act 2022</w:t>
      </w:r>
      <w:r w:rsidRPr="00072892">
        <w:t xml:space="preserve">. [online] Legislation.gov.uk. Available at: </w:t>
      </w:r>
      <w:hyperlink r:id="rId11" w:history="1">
        <w:r w:rsidRPr="00891AD8">
          <w:rPr>
            <w:rStyle w:val="Hyperlink"/>
          </w:rPr>
          <w:t>https://www.legislation.gov.uk/ukpga/2022/31/contents</w:t>
        </w:r>
      </w:hyperlink>
      <w:r>
        <w:t xml:space="preserve"> </w:t>
      </w:r>
      <w:r w:rsidRPr="00072892">
        <w:t>[Accessed 19 Jun. 2026].</w:t>
      </w:r>
    </w:p>
    <w:p w14:paraId="0851BB37" w14:textId="579A7983" w:rsidR="00072892" w:rsidRDefault="007E0FB4" w:rsidP="00072892">
      <w:pPr>
        <w:ind w:left="720" w:hanging="720"/>
      </w:pPr>
      <w:r w:rsidRPr="000E72BF">
        <w:t xml:space="preserve">Haile, S.T., Joelsson-Alm, E., Johansson, U.B., Lööf, H., Palmer-Kazen, U., Gillgren, P. and Linné, A., </w:t>
      </w:r>
      <w:r w:rsidR="00F225B0">
        <w:t>(</w:t>
      </w:r>
      <w:r w:rsidRPr="000E72BF">
        <w:t>2022</w:t>
      </w:r>
      <w:r w:rsidR="00F225B0">
        <w:t>)</w:t>
      </w:r>
      <w:r w:rsidRPr="000E72BF">
        <w:t>. Effects of a person-centred, nurse-led follow-up programme on adherence to prescribed medication among patients surgically treated for intermittent claudication: randomized clinical trial. </w:t>
      </w:r>
      <w:r w:rsidRPr="000E72BF">
        <w:rPr>
          <w:i/>
          <w:iCs/>
        </w:rPr>
        <w:t>British Journal of Surgery</w:t>
      </w:r>
      <w:r w:rsidRPr="000E72BF">
        <w:t>, </w:t>
      </w:r>
      <w:r w:rsidRPr="000E72BF">
        <w:rPr>
          <w:i/>
          <w:iCs/>
        </w:rPr>
        <w:t>109</w:t>
      </w:r>
      <w:r w:rsidRPr="000E72BF">
        <w:t>(9), pp.846-856.</w:t>
      </w:r>
    </w:p>
    <w:p w14:paraId="4287F224" w14:textId="77777777" w:rsidR="00072892" w:rsidRPr="00885117" w:rsidRDefault="007E0FB4" w:rsidP="00072892">
      <w:pPr>
        <w:ind w:left="720" w:hanging="720"/>
      </w:pPr>
      <w:r w:rsidRPr="00072892">
        <w:t xml:space="preserve">Health and Care Professions Council (2017). </w:t>
      </w:r>
      <w:r w:rsidRPr="00072892">
        <w:rPr>
          <w:i/>
          <w:iCs/>
        </w:rPr>
        <w:t>Standards of Continuing Professional Development</w:t>
      </w:r>
      <w:r w:rsidRPr="00072892">
        <w:t xml:space="preserve">. [online] HCPC. Available at: </w:t>
      </w:r>
      <w:hyperlink r:id="rId12" w:history="1">
        <w:r w:rsidRPr="00891AD8">
          <w:rPr>
            <w:rStyle w:val="Hyperlink"/>
          </w:rPr>
          <w:t>https://www.hcpc-uk.org/standards/standards-of-continuing-professional-development/</w:t>
        </w:r>
      </w:hyperlink>
      <w:r>
        <w:t xml:space="preserve"> </w:t>
      </w:r>
      <w:r w:rsidRPr="00072892">
        <w:t>[Accessed 19 Jun. 2026].</w:t>
      </w:r>
    </w:p>
    <w:p w14:paraId="74611BA7" w14:textId="62FDBB4E" w:rsidR="00072892" w:rsidRDefault="007E0FB4" w:rsidP="00072892">
      <w:pPr>
        <w:ind w:left="720" w:hanging="720"/>
      </w:pPr>
      <w:r w:rsidRPr="000E72BF">
        <w:t xml:space="preserve">Khatri, R., Endalamaw, A., Erku, D., Wolka, E., Nigatu, F., Zewdie, A. and Assefa, Y., </w:t>
      </w:r>
      <w:r w:rsidR="00F225B0">
        <w:t>(</w:t>
      </w:r>
      <w:r w:rsidRPr="000E72BF">
        <w:t>2023</w:t>
      </w:r>
      <w:r w:rsidR="00F225B0">
        <w:t>)</w:t>
      </w:r>
      <w:r w:rsidRPr="000E72BF">
        <w:t>. Continuity and care coordination of primary health care: a scoping review. </w:t>
      </w:r>
      <w:r w:rsidRPr="000E72BF">
        <w:rPr>
          <w:i/>
          <w:iCs/>
        </w:rPr>
        <w:t>BMC Health Services Research</w:t>
      </w:r>
      <w:r w:rsidRPr="000E72BF">
        <w:t>, </w:t>
      </w:r>
      <w:r w:rsidRPr="000E72BF">
        <w:rPr>
          <w:i/>
          <w:iCs/>
        </w:rPr>
        <w:t>23</w:t>
      </w:r>
      <w:r w:rsidRPr="000E72BF">
        <w:t>(1), p.750.</w:t>
      </w:r>
    </w:p>
    <w:p w14:paraId="4C6EC7EF" w14:textId="29110166" w:rsidR="00072892" w:rsidRDefault="007E0FB4" w:rsidP="00072892">
      <w:pPr>
        <w:ind w:left="720" w:hanging="720"/>
      </w:pPr>
      <w:r w:rsidRPr="000E72BF">
        <w:lastRenderedPageBreak/>
        <w:t xml:space="preserve">Knezevic, B., Lewandowski, R.A., Goncharuk, A. and Vajagic, M., </w:t>
      </w:r>
      <w:r w:rsidR="00F225B0">
        <w:t>(</w:t>
      </w:r>
      <w:r w:rsidRPr="000E72BF">
        <w:t>2022</w:t>
      </w:r>
      <w:r w:rsidR="00F225B0">
        <w:t>)</w:t>
      </w:r>
      <w:r w:rsidRPr="000E72BF">
        <w:t>. Studying the impact of human resources on the efficiency of healthcare systems and person-centred care. In </w:t>
      </w:r>
      <w:r w:rsidRPr="000E72BF">
        <w:rPr>
          <w:i/>
          <w:iCs/>
        </w:rPr>
        <w:t>Intelligent systems for sustainable person-centred healthcare</w:t>
      </w:r>
      <w:r w:rsidRPr="000E72BF">
        <w:t> (pp. 145-164). Cham: Springer International Publishing.</w:t>
      </w:r>
    </w:p>
    <w:p w14:paraId="50F8F5D0" w14:textId="77777777" w:rsidR="00072892" w:rsidRDefault="007E0FB4" w:rsidP="00072892">
      <w:pPr>
        <w:ind w:left="720" w:hanging="720"/>
      </w:pPr>
      <w:r w:rsidRPr="00072892">
        <w:t xml:space="preserve">Laming, L. (2003). </w:t>
      </w:r>
      <w:r w:rsidRPr="00072892">
        <w:rPr>
          <w:i/>
          <w:iCs/>
        </w:rPr>
        <w:t>The Inquiry Victoria Climbié</w:t>
      </w:r>
      <w:r w:rsidRPr="00072892">
        <w:t xml:space="preserve">. [online] Available at: </w:t>
      </w:r>
      <w:hyperlink r:id="rId13" w:history="1">
        <w:r w:rsidRPr="00891AD8">
          <w:rPr>
            <w:rStyle w:val="Hyperlink"/>
          </w:rPr>
          <w:t>https://assets.publishing.service.gov.uk/media/5a7c5edeed915d696ccfc51b/5730.pdf</w:t>
        </w:r>
      </w:hyperlink>
      <w:r>
        <w:t xml:space="preserve"> </w:t>
      </w:r>
      <w:r w:rsidRPr="00072892">
        <w:t>[Accessed 19 Jun. 2026].</w:t>
      </w:r>
    </w:p>
    <w:p w14:paraId="79FB0C2B" w14:textId="2C6D8728" w:rsidR="00072892" w:rsidRDefault="007E0FB4" w:rsidP="00072892">
      <w:pPr>
        <w:ind w:left="720" w:hanging="720"/>
      </w:pPr>
      <w:r w:rsidRPr="00072892">
        <w:t xml:space="preserve">Litchfield, I., Kingston, B., Narga, D. and Turner, A., </w:t>
      </w:r>
      <w:r w:rsidR="00F225B0">
        <w:t>(</w:t>
      </w:r>
      <w:r w:rsidRPr="00072892">
        <w:t>2022</w:t>
      </w:r>
      <w:r w:rsidR="00F225B0">
        <w:t>)</w:t>
      </w:r>
      <w:r w:rsidRPr="00072892">
        <w:t>. The move towards integrated care: lessons learnt from managing patients with multiple morbidities in the UK. </w:t>
      </w:r>
      <w:r w:rsidRPr="00072892">
        <w:rPr>
          <w:i/>
          <w:iCs/>
        </w:rPr>
        <w:t>Health policy</w:t>
      </w:r>
      <w:r w:rsidRPr="00072892">
        <w:t>, </w:t>
      </w:r>
      <w:r w:rsidRPr="00072892">
        <w:rPr>
          <w:i/>
          <w:iCs/>
        </w:rPr>
        <w:t>126</w:t>
      </w:r>
      <w:r w:rsidRPr="00072892">
        <w:t>(8), pp.777-785.</w:t>
      </w:r>
    </w:p>
    <w:p w14:paraId="2F0EC522" w14:textId="3509810C" w:rsidR="00072892" w:rsidRDefault="007E0FB4" w:rsidP="00072892">
      <w:pPr>
        <w:ind w:left="720" w:hanging="720"/>
      </w:pPr>
      <w:r w:rsidRPr="00072892">
        <w:t xml:space="preserve">McCormack, B. and McCance, T., </w:t>
      </w:r>
      <w:r w:rsidR="00F225B0">
        <w:t>(</w:t>
      </w:r>
      <w:r w:rsidRPr="00072892">
        <w:t>2021</w:t>
      </w:r>
      <w:r w:rsidR="00F225B0">
        <w:t>)</w:t>
      </w:r>
      <w:r w:rsidRPr="00072892">
        <w:t>. The person-centred nursing framework. In </w:t>
      </w:r>
      <w:r w:rsidRPr="00072892">
        <w:rPr>
          <w:i/>
          <w:iCs/>
        </w:rPr>
        <w:t>Person-centred nursing research: Methodology, methods and outcomes</w:t>
      </w:r>
      <w:r w:rsidRPr="00072892">
        <w:t> (pp. 13-27). Cham: Springer International Publishing.</w:t>
      </w:r>
    </w:p>
    <w:p w14:paraId="64AD7866" w14:textId="77777777" w:rsidR="00072892" w:rsidRDefault="007E0FB4" w:rsidP="00072892">
      <w:pPr>
        <w:ind w:left="720" w:hanging="720"/>
      </w:pPr>
      <w:r w:rsidRPr="00072892">
        <w:t xml:space="preserve">NHS England (2015). </w:t>
      </w:r>
      <w:r w:rsidRPr="00072892">
        <w:rPr>
          <w:i/>
          <w:iCs/>
        </w:rPr>
        <w:t>Introducing the 6 C’s</w:t>
      </w:r>
      <w:r w:rsidRPr="00072892">
        <w:t xml:space="preserve">. [online] NHS England. Available at: </w:t>
      </w:r>
      <w:hyperlink r:id="rId14" w:history="1">
        <w:r w:rsidRPr="00891AD8">
          <w:rPr>
            <w:rStyle w:val="Hyperlink"/>
          </w:rPr>
          <w:t>https://www.england.nhs.uk/6cs/wp-content/uploads/sites/25/2015/03/introducing-the-6cs.pdf</w:t>
        </w:r>
      </w:hyperlink>
      <w:r>
        <w:t xml:space="preserve"> </w:t>
      </w:r>
      <w:r w:rsidRPr="00072892">
        <w:t>[Accessed 19 Jun. 2026].</w:t>
      </w:r>
    </w:p>
    <w:p w14:paraId="6DF0D318" w14:textId="77777777" w:rsidR="00072892" w:rsidRDefault="007E0FB4" w:rsidP="00072892">
      <w:pPr>
        <w:ind w:left="720" w:hanging="720"/>
      </w:pPr>
      <w:r w:rsidRPr="00072892">
        <w:t xml:space="preserve">NICE (2021). </w:t>
      </w:r>
      <w:r w:rsidRPr="00072892">
        <w:rPr>
          <w:i/>
          <w:iCs/>
        </w:rPr>
        <w:t>Shared Decision Making</w:t>
      </w:r>
      <w:r w:rsidRPr="00072892">
        <w:t xml:space="preserve">. [online] www.nice.org.uk. Available at: </w:t>
      </w:r>
      <w:hyperlink r:id="rId15" w:history="1">
        <w:r w:rsidRPr="00891AD8">
          <w:rPr>
            <w:rStyle w:val="Hyperlink"/>
          </w:rPr>
          <w:t>https://www.nice.org.uk/guidance/ng197/chapter/Recommendations</w:t>
        </w:r>
      </w:hyperlink>
      <w:r>
        <w:t xml:space="preserve"> </w:t>
      </w:r>
      <w:r w:rsidRPr="00072892">
        <w:t>[Accessed 19 Jun. 2026].</w:t>
      </w:r>
    </w:p>
    <w:p w14:paraId="4ADF2B17" w14:textId="0128F673" w:rsidR="00072892" w:rsidRDefault="007E0FB4" w:rsidP="00072892">
      <w:pPr>
        <w:ind w:left="720" w:hanging="720"/>
      </w:pPr>
      <w:r w:rsidRPr="00072892">
        <w:t xml:space="preserve">O’Dwyer, M., Filieri, R. and O’Malley, L., </w:t>
      </w:r>
      <w:r w:rsidR="00F225B0">
        <w:t>(</w:t>
      </w:r>
      <w:r w:rsidRPr="00072892">
        <w:t>2023</w:t>
      </w:r>
      <w:r w:rsidR="00F225B0">
        <w:t>)</w:t>
      </w:r>
      <w:r w:rsidRPr="00072892">
        <w:t>. Establishing successful university–industry collaborations: barriers and enablers deconstructed. </w:t>
      </w:r>
      <w:r w:rsidRPr="00072892">
        <w:rPr>
          <w:i/>
          <w:iCs/>
        </w:rPr>
        <w:t>The Journal of Technology Transfer</w:t>
      </w:r>
      <w:r w:rsidRPr="00072892">
        <w:t>, </w:t>
      </w:r>
      <w:r w:rsidRPr="00072892">
        <w:rPr>
          <w:i/>
          <w:iCs/>
        </w:rPr>
        <w:t>48</w:t>
      </w:r>
      <w:r w:rsidRPr="00072892">
        <w:t>(3), pp.900-931.</w:t>
      </w:r>
    </w:p>
    <w:p w14:paraId="6E84F66E" w14:textId="17A7A33F" w:rsidR="00072892" w:rsidRDefault="007E0FB4" w:rsidP="00072892">
      <w:pPr>
        <w:ind w:left="720" w:hanging="720"/>
      </w:pPr>
      <w:r w:rsidRPr="000E72BF">
        <w:t xml:space="preserve">Whittington, C., </w:t>
      </w:r>
      <w:r w:rsidR="00F225B0">
        <w:t>(</w:t>
      </w:r>
      <w:r w:rsidRPr="000E72BF">
        <w:t>2023</w:t>
      </w:r>
      <w:r w:rsidR="00F225B0">
        <w:t>)</w:t>
      </w:r>
      <w:r w:rsidRPr="000E72BF">
        <w:t>. Collaboration and partnership in context. In </w:t>
      </w:r>
      <w:r w:rsidRPr="000E72BF">
        <w:rPr>
          <w:i/>
          <w:iCs/>
        </w:rPr>
        <w:t>Social Work</w:t>
      </w:r>
      <w:r w:rsidRPr="000E72BF">
        <w:t> (pp. 240-246). Routledge.</w:t>
      </w:r>
    </w:p>
    <w:p w14:paraId="7DEEDB6F" w14:textId="77777777" w:rsidR="00072892" w:rsidRDefault="007E0FB4" w:rsidP="00072892">
      <w:pPr>
        <w:ind w:left="720" w:hanging="720"/>
      </w:pPr>
      <w:r w:rsidRPr="000E72BF">
        <w:t xml:space="preserve">WHO (2023). </w:t>
      </w:r>
      <w:r w:rsidRPr="000E72BF">
        <w:rPr>
          <w:i/>
          <w:iCs/>
        </w:rPr>
        <w:t>Integrated people-centred care - GLOBAL</w:t>
      </w:r>
      <w:r w:rsidRPr="000E72BF">
        <w:t xml:space="preserve">. [online] www.who.int. Available at: </w:t>
      </w:r>
      <w:hyperlink r:id="rId16" w:anchor="tab=tab_1" w:history="1">
        <w:r w:rsidRPr="00891AD8">
          <w:rPr>
            <w:rStyle w:val="Hyperlink"/>
          </w:rPr>
          <w:t>https://www.who.int/health-topics/integrated-people-centered-care#tab=tab_1</w:t>
        </w:r>
      </w:hyperlink>
      <w:r>
        <w:t xml:space="preserve"> </w:t>
      </w:r>
      <w:r w:rsidRPr="000E72BF">
        <w:t>[Accessed 19 Jun. 2026].</w:t>
      </w:r>
    </w:p>
    <w:sectPr w:rsidR="00072892">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CCF6D5" w14:textId="77777777" w:rsidR="00C53E67" w:rsidRDefault="00C53E67">
      <w:pPr>
        <w:spacing w:after="0" w:line="240" w:lineRule="auto"/>
      </w:pPr>
      <w:r>
        <w:separator/>
      </w:r>
    </w:p>
  </w:endnote>
  <w:endnote w:type="continuationSeparator" w:id="0">
    <w:p w14:paraId="26E2845A" w14:textId="77777777" w:rsidR="00C53E67" w:rsidRDefault="00C53E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634DC" w14:textId="77777777" w:rsidR="00540FF6" w:rsidRDefault="00540F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4A205B" w14:textId="77777777" w:rsidR="00540FF6" w:rsidRDefault="00540F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430A06" w14:textId="77777777" w:rsidR="00540FF6" w:rsidRDefault="00540F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427196" w14:textId="77777777" w:rsidR="00C53E67" w:rsidRDefault="00C53E67">
      <w:pPr>
        <w:spacing w:after="0" w:line="240" w:lineRule="auto"/>
      </w:pPr>
      <w:r>
        <w:separator/>
      </w:r>
    </w:p>
  </w:footnote>
  <w:footnote w:type="continuationSeparator" w:id="0">
    <w:p w14:paraId="7424AC66" w14:textId="77777777" w:rsidR="00C53E67" w:rsidRDefault="00C53E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A8DDB8" w14:textId="77777777" w:rsidR="00540FF6" w:rsidRDefault="00540F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327924"/>
      <w:docPartObj>
        <w:docPartGallery w:val="Page Numbers (Top of Page)"/>
        <w:docPartUnique/>
      </w:docPartObj>
    </w:sdtPr>
    <w:sdtEndPr>
      <w:rPr>
        <w:noProof/>
      </w:rPr>
    </w:sdtEndPr>
    <w:sdtContent>
      <w:p w14:paraId="4A3AFE00" w14:textId="2FC86290" w:rsidR="00540FF6" w:rsidRDefault="007E0FB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FB6753B" w14:textId="77777777" w:rsidR="00A87576" w:rsidRDefault="00A87576" w:rsidP="007029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9D13B0" w14:textId="77777777" w:rsidR="00540FF6" w:rsidRDefault="00540F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11F25"/>
    <w:multiLevelType w:val="hybridMultilevel"/>
    <w:tmpl w:val="25F0AD82"/>
    <w:lvl w:ilvl="0" w:tplc="8A52DB92">
      <w:start w:val="1"/>
      <w:numFmt w:val="bullet"/>
      <w:lvlText w:val=""/>
      <w:lvlJc w:val="left"/>
      <w:pPr>
        <w:ind w:left="720" w:hanging="360"/>
      </w:pPr>
      <w:rPr>
        <w:rFonts w:ascii="Symbol" w:hAnsi="Symbol" w:hint="default"/>
      </w:rPr>
    </w:lvl>
    <w:lvl w:ilvl="1" w:tplc="F416866E" w:tentative="1">
      <w:start w:val="1"/>
      <w:numFmt w:val="bullet"/>
      <w:lvlText w:val="o"/>
      <w:lvlJc w:val="left"/>
      <w:pPr>
        <w:ind w:left="1440" w:hanging="360"/>
      </w:pPr>
      <w:rPr>
        <w:rFonts w:ascii="Courier New" w:hAnsi="Courier New" w:cs="Courier New" w:hint="default"/>
      </w:rPr>
    </w:lvl>
    <w:lvl w:ilvl="2" w:tplc="8B70C1FE" w:tentative="1">
      <w:start w:val="1"/>
      <w:numFmt w:val="bullet"/>
      <w:lvlText w:val=""/>
      <w:lvlJc w:val="left"/>
      <w:pPr>
        <w:ind w:left="2160" w:hanging="360"/>
      </w:pPr>
      <w:rPr>
        <w:rFonts w:ascii="Wingdings" w:hAnsi="Wingdings" w:hint="default"/>
      </w:rPr>
    </w:lvl>
    <w:lvl w:ilvl="3" w:tplc="CB225774" w:tentative="1">
      <w:start w:val="1"/>
      <w:numFmt w:val="bullet"/>
      <w:lvlText w:val=""/>
      <w:lvlJc w:val="left"/>
      <w:pPr>
        <w:ind w:left="2880" w:hanging="360"/>
      </w:pPr>
      <w:rPr>
        <w:rFonts w:ascii="Symbol" w:hAnsi="Symbol" w:hint="default"/>
      </w:rPr>
    </w:lvl>
    <w:lvl w:ilvl="4" w:tplc="6D1C5278" w:tentative="1">
      <w:start w:val="1"/>
      <w:numFmt w:val="bullet"/>
      <w:lvlText w:val="o"/>
      <w:lvlJc w:val="left"/>
      <w:pPr>
        <w:ind w:left="3600" w:hanging="360"/>
      </w:pPr>
      <w:rPr>
        <w:rFonts w:ascii="Courier New" w:hAnsi="Courier New" w:cs="Courier New" w:hint="default"/>
      </w:rPr>
    </w:lvl>
    <w:lvl w:ilvl="5" w:tplc="3C0E697C" w:tentative="1">
      <w:start w:val="1"/>
      <w:numFmt w:val="bullet"/>
      <w:lvlText w:val=""/>
      <w:lvlJc w:val="left"/>
      <w:pPr>
        <w:ind w:left="4320" w:hanging="360"/>
      </w:pPr>
      <w:rPr>
        <w:rFonts w:ascii="Wingdings" w:hAnsi="Wingdings" w:hint="default"/>
      </w:rPr>
    </w:lvl>
    <w:lvl w:ilvl="6" w:tplc="57DE7412" w:tentative="1">
      <w:start w:val="1"/>
      <w:numFmt w:val="bullet"/>
      <w:lvlText w:val=""/>
      <w:lvlJc w:val="left"/>
      <w:pPr>
        <w:ind w:left="5040" w:hanging="360"/>
      </w:pPr>
      <w:rPr>
        <w:rFonts w:ascii="Symbol" w:hAnsi="Symbol" w:hint="default"/>
      </w:rPr>
    </w:lvl>
    <w:lvl w:ilvl="7" w:tplc="66F2E90C" w:tentative="1">
      <w:start w:val="1"/>
      <w:numFmt w:val="bullet"/>
      <w:lvlText w:val="o"/>
      <w:lvlJc w:val="left"/>
      <w:pPr>
        <w:ind w:left="5760" w:hanging="360"/>
      </w:pPr>
      <w:rPr>
        <w:rFonts w:ascii="Courier New" w:hAnsi="Courier New" w:cs="Courier New" w:hint="default"/>
      </w:rPr>
    </w:lvl>
    <w:lvl w:ilvl="8" w:tplc="12E087EA" w:tentative="1">
      <w:start w:val="1"/>
      <w:numFmt w:val="bullet"/>
      <w:lvlText w:val=""/>
      <w:lvlJc w:val="left"/>
      <w:pPr>
        <w:ind w:left="6480" w:hanging="360"/>
      </w:pPr>
      <w:rPr>
        <w:rFonts w:ascii="Wingdings" w:hAnsi="Wingdings" w:hint="default"/>
      </w:rPr>
    </w:lvl>
  </w:abstractNum>
  <w:abstractNum w:abstractNumId="1" w15:restartNumberingAfterBreak="0">
    <w:nsid w:val="16586BF2"/>
    <w:multiLevelType w:val="hybridMultilevel"/>
    <w:tmpl w:val="E5C8BE4E"/>
    <w:lvl w:ilvl="0" w:tplc="C8AC127E">
      <w:start w:val="1"/>
      <w:numFmt w:val="bullet"/>
      <w:lvlText w:val=""/>
      <w:lvlJc w:val="left"/>
      <w:pPr>
        <w:ind w:left="720" w:hanging="360"/>
      </w:pPr>
      <w:rPr>
        <w:rFonts w:ascii="Symbol" w:hAnsi="Symbol" w:hint="default"/>
      </w:rPr>
    </w:lvl>
    <w:lvl w:ilvl="1" w:tplc="BD04D49E" w:tentative="1">
      <w:start w:val="1"/>
      <w:numFmt w:val="bullet"/>
      <w:lvlText w:val="o"/>
      <w:lvlJc w:val="left"/>
      <w:pPr>
        <w:ind w:left="1440" w:hanging="360"/>
      </w:pPr>
      <w:rPr>
        <w:rFonts w:ascii="Courier New" w:hAnsi="Courier New" w:cs="Courier New" w:hint="default"/>
      </w:rPr>
    </w:lvl>
    <w:lvl w:ilvl="2" w:tplc="5F1AEE98" w:tentative="1">
      <w:start w:val="1"/>
      <w:numFmt w:val="bullet"/>
      <w:lvlText w:val=""/>
      <w:lvlJc w:val="left"/>
      <w:pPr>
        <w:ind w:left="2160" w:hanging="360"/>
      </w:pPr>
      <w:rPr>
        <w:rFonts w:ascii="Wingdings" w:hAnsi="Wingdings" w:hint="default"/>
      </w:rPr>
    </w:lvl>
    <w:lvl w:ilvl="3" w:tplc="E09EBEB6" w:tentative="1">
      <w:start w:val="1"/>
      <w:numFmt w:val="bullet"/>
      <w:lvlText w:val=""/>
      <w:lvlJc w:val="left"/>
      <w:pPr>
        <w:ind w:left="2880" w:hanging="360"/>
      </w:pPr>
      <w:rPr>
        <w:rFonts w:ascii="Symbol" w:hAnsi="Symbol" w:hint="default"/>
      </w:rPr>
    </w:lvl>
    <w:lvl w:ilvl="4" w:tplc="BEFE9EC0" w:tentative="1">
      <w:start w:val="1"/>
      <w:numFmt w:val="bullet"/>
      <w:lvlText w:val="o"/>
      <w:lvlJc w:val="left"/>
      <w:pPr>
        <w:ind w:left="3600" w:hanging="360"/>
      </w:pPr>
      <w:rPr>
        <w:rFonts w:ascii="Courier New" w:hAnsi="Courier New" w:cs="Courier New" w:hint="default"/>
      </w:rPr>
    </w:lvl>
    <w:lvl w:ilvl="5" w:tplc="C1241436" w:tentative="1">
      <w:start w:val="1"/>
      <w:numFmt w:val="bullet"/>
      <w:lvlText w:val=""/>
      <w:lvlJc w:val="left"/>
      <w:pPr>
        <w:ind w:left="4320" w:hanging="360"/>
      </w:pPr>
      <w:rPr>
        <w:rFonts w:ascii="Wingdings" w:hAnsi="Wingdings" w:hint="default"/>
      </w:rPr>
    </w:lvl>
    <w:lvl w:ilvl="6" w:tplc="AADAFF2A" w:tentative="1">
      <w:start w:val="1"/>
      <w:numFmt w:val="bullet"/>
      <w:lvlText w:val=""/>
      <w:lvlJc w:val="left"/>
      <w:pPr>
        <w:ind w:left="5040" w:hanging="360"/>
      </w:pPr>
      <w:rPr>
        <w:rFonts w:ascii="Symbol" w:hAnsi="Symbol" w:hint="default"/>
      </w:rPr>
    </w:lvl>
    <w:lvl w:ilvl="7" w:tplc="98E8899C" w:tentative="1">
      <w:start w:val="1"/>
      <w:numFmt w:val="bullet"/>
      <w:lvlText w:val="o"/>
      <w:lvlJc w:val="left"/>
      <w:pPr>
        <w:ind w:left="5760" w:hanging="360"/>
      </w:pPr>
      <w:rPr>
        <w:rFonts w:ascii="Courier New" w:hAnsi="Courier New" w:cs="Courier New" w:hint="default"/>
      </w:rPr>
    </w:lvl>
    <w:lvl w:ilvl="8" w:tplc="CF0ED156" w:tentative="1">
      <w:start w:val="1"/>
      <w:numFmt w:val="bullet"/>
      <w:lvlText w:val=""/>
      <w:lvlJc w:val="left"/>
      <w:pPr>
        <w:ind w:left="6480" w:hanging="360"/>
      </w:pPr>
      <w:rPr>
        <w:rFonts w:ascii="Wingdings" w:hAnsi="Wingdings" w:hint="default"/>
      </w:rPr>
    </w:lvl>
  </w:abstractNum>
  <w:abstractNum w:abstractNumId="2" w15:restartNumberingAfterBreak="0">
    <w:nsid w:val="5C671407"/>
    <w:multiLevelType w:val="hybridMultilevel"/>
    <w:tmpl w:val="274E4772"/>
    <w:lvl w:ilvl="0" w:tplc="14D0C102">
      <w:start w:val="1"/>
      <w:numFmt w:val="decimal"/>
      <w:lvlText w:val="%1."/>
      <w:lvlJc w:val="left"/>
      <w:pPr>
        <w:ind w:left="720" w:hanging="360"/>
      </w:pPr>
    </w:lvl>
    <w:lvl w:ilvl="1" w:tplc="0CA4339A" w:tentative="1">
      <w:start w:val="1"/>
      <w:numFmt w:val="lowerLetter"/>
      <w:lvlText w:val="%2."/>
      <w:lvlJc w:val="left"/>
      <w:pPr>
        <w:ind w:left="1440" w:hanging="360"/>
      </w:pPr>
    </w:lvl>
    <w:lvl w:ilvl="2" w:tplc="E522DA88" w:tentative="1">
      <w:start w:val="1"/>
      <w:numFmt w:val="lowerRoman"/>
      <w:lvlText w:val="%3."/>
      <w:lvlJc w:val="right"/>
      <w:pPr>
        <w:ind w:left="2160" w:hanging="180"/>
      </w:pPr>
    </w:lvl>
    <w:lvl w:ilvl="3" w:tplc="354ADD64" w:tentative="1">
      <w:start w:val="1"/>
      <w:numFmt w:val="decimal"/>
      <w:lvlText w:val="%4."/>
      <w:lvlJc w:val="left"/>
      <w:pPr>
        <w:ind w:left="2880" w:hanging="360"/>
      </w:pPr>
    </w:lvl>
    <w:lvl w:ilvl="4" w:tplc="C7CA3040" w:tentative="1">
      <w:start w:val="1"/>
      <w:numFmt w:val="lowerLetter"/>
      <w:lvlText w:val="%5."/>
      <w:lvlJc w:val="left"/>
      <w:pPr>
        <w:ind w:left="3600" w:hanging="360"/>
      </w:pPr>
    </w:lvl>
    <w:lvl w:ilvl="5" w:tplc="623E7B28" w:tentative="1">
      <w:start w:val="1"/>
      <w:numFmt w:val="lowerRoman"/>
      <w:lvlText w:val="%6."/>
      <w:lvlJc w:val="right"/>
      <w:pPr>
        <w:ind w:left="4320" w:hanging="180"/>
      </w:pPr>
    </w:lvl>
    <w:lvl w:ilvl="6" w:tplc="29F02FAE" w:tentative="1">
      <w:start w:val="1"/>
      <w:numFmt w:val="decimal"/>
      <w:lvlText w:val="%7."/>
      <w:lvlJc w:val="left"/>
      <w:pPr>
        <w:ind w:left="5040" w:hanging="360"/>
      </w:pPr>
    </w:lvl>
    <w:lvl w:ilvl="7" w:tplc="B04CD8A8" w:tentative="1">
      <w:start w:val="1"/>
      <w:numFmt w:val="lowerLetter"/>
      <w:lvlText w:val="%8."/>
      <w:lvlJc w:val="left"/>
      <w:pPr>
        <w:ind w:left="5760" w:hanging="360"/>
      </w:pPr>
    </w:lvl>
    <w:lvl w:ilvl="8" w:tplc="4F24A04C" w:tentative="1">
      <w:start w:val="1"/>
      <w:numFmt w:val="lowerRoman"/>
      <w:lvlText w:val="%9."/>
      <w:lvlJc w:val="right"/>
      <w:pPr>
        <w:ind w:left="6480" w:hanging="180"/>
      </w:pPr>
    </w:lvl>
  </w:abstractNum>
  <w:num w:numId="1" w16cid:durableId="1854028409">
    <w:abstractNumId w:val="0"/>
  </w:num>
  <w:num w:numId="2" w16cid:durableId="246305169">
    <w:abstractNumId w:val="1"/>
  </w:num>
  <w:num w:numId="3" w16cid:durableId="9625371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F89"/>
    <w:rsid w:val="00001AA3"/>
    <w:rsid w:val="000023DB"/>
    <w:rsid w:val="00017183"/>
    <w:rsid w:val="00022609"/>
    <w:rsid w:val="00023B30"/>
    <w:rsid w:val="0002792F"/>
    <w:rsid w:val="00031F8C"/>
    <w:rsid w:val="00034E85"/>
    <w:rsid w:val="000403DC"/>
    <w:rsid w:val="00040DA7"/>
    <w:rsid w:val="00041E78"/>
    <w:rsid w:val="00043794"/>
    <w:rsid w:val="000528D5"/>
    <w:rsid w:val="0006684D"/>
    <w:rsid w:val="00070302"/>
    <w:rsid w:val="00071CEB"/>
    <w:rsid w:val="00072892"/>
    <w:rsid w:val="000745A1"/>
    <w:rsid w:val="0008149D"/>
    <w:rsid w:val="000918C7"/>
    <w:rsid w:val="000923E2"/>
    <w:rsid w:val="00093C6D"/>
    <w:rsid w:val="00096B36"/>
    <w:rsid w:val="000A31C2"/>
    <w:rsid w:val="000B2B02"/>
    <w:rsid w:val="000B5713"/>
    <w:rsid w:val="000C011D"/>
    <w:rsid w:val="000C11C7"/>
    <w:rsid w:val="000D56EF"/>
    <w:rsid w:val="000E4057"/>
    <w:rsid w:val="000E72BF"/>
    <w:rsid w:val="000F0C31"/>
    <w:rsid w:val="00102444"/>
    <w:rsid w:val="00104C71"/>
    <w:rsid w:val="0010740F"/>
    <w:rsid w:val="00107498"/>
    <w:rsid w:val="00112346"/>
    <w:rsid w:val="00124993"/>
    <w:rsid w:val="00126C75"/>
    <w:rsid w:val="0013495F"/>
    <w:rsid w:val="0013527A"/>
    <w:rsid w:val="00144F69"/>
    <w:rsid w:val="00145914"/>
    <w:rsid w:val="00145C7E"/>
    <w:rsid w:val="001574FE"/>
    <w:rsid w:val="00160724"/>
    <w:rsid w:val="00170916"/>
    <w:rsid w:val="001732CE"/>
    <w:rsid w:val="001817CB"/>
    <w:rsid w:val="0018235D"/>
    <w:rsid w:val="0018545A"/>
    <w:rsid w:val="001863CD"/>
    <w:rsid w:val="00187995"/>
    <w:rsid w:val="00191971"/>
    <w:rsid w:val="00192B0D"/>
    <w:rsid w:val="001A3032"/>
    <w:rsid w:val="001A7B9C"/>
    <w:rsid w:val="001B0942"/>
    <w:rsid w:val="001B187D"/>
    <w:rsid w:val="001C159B"/>
    <w:rsid w:val="001C299F"/>
    <w:rsid w:val="001D7C27"/>
    <w:rsid w:val="001F10CC"/>
    <w:rsid w:val="001F47B9"/>
    <w:rsid w:val="00205FBC"/>
    <w:rsid w:val="0022050C"/>
    <w:rsid w:val="00236136"/>
    <w:rsid w:val="00250BAF"/>
    <w:rsid w:val="00252656"/>
    <w:rsid w:val="00256644"/>
    <w:rsid w:val="00256E5C"/>
    <w:rsid w:val="00257C58"/>
    <w:rsid w:val="00282D65"/>
    <w:rsid w:val="00284E30"/>
    <w:rsid w:val="002871B1"/>
    <w:rsid w:val="00287DEB"/>
    <w:rsid w:val="002C6D6A"/>
    <w:rsid w:val="002D45C2"/>
    <w:rsid w:val="002D4E24"/>
    <w:rsid w:val="002E1060"/>
    <w:rsid w:val="002E277F"/>
    <w:rsid w:val="002E45EB"/>
    <w:rsid w:val="002F31F6"/>
    <w:rsid w:val="00300340"/>
    <w:rsid w:val="00307E34"/>
    <w:rsid w:val="00320241"/>
    <w:rsid w:val="00321D69"/>
    <w:rsid w:val="00324C80"/>
    <w:rsid w:val="0035013F"/>
    <w:rsid w:val="00350909"/>
    <w:rsid w:val="00351AC8"/>
    <w:rsid w:val="00354E9B"/>
    <w:rsid w:val="0035738D"/>
    <w:rsid w:val="003600BE"/>
    <w:rsid w:val="0036526B"/>
    <w:rsid w:val="00381AFE"/>
    <w:rsid w:val="00392165"/>
    <w:rsid w:val="003966CB"/>
    <w:rsid w:val="00397A12"/>
    <w:rsid w:val="003B2E32"/>
    <w:rsid w:val="003B6220"/>
    <w:rsid w:val="003B6D98"/>
    <w:rsid w:val="003D3815"/>
    <w:rsid w:val="003D6908"/>
    <w:rsid w:val="003F0F03"/>
    <w:rsid w:val="003F1E6B"/>
    <w:rsid w:val="003F2565"/>
    <w:rsid w:val="003F312E"/>
    <w:rsid w:val="003F3465"/>
    <w:rsid w:val="00407E47"/>
    <w:rsid w:val="00440D8C"/>
    <w:rsid w:val="00447CA9"/>
    <w:rsid w:val="00454DC2"/>
    <w:rsid w:val="00463A29"/>
    <w:rsid w:val="0046442B"/>
    <w:rsid w:val="00466B61"/>
    <w:rsid w:val="00466B91"/>
    <w:rsid w:val="004768E0"/>
    <w:rsid w:val="00486402"/>
    <w:rsid w:val="004959F3"/>
    <w:rsid w:val="0049655F"/>
    <w:rsid w:val="00496A07"/>
    <w:rsid w:val="004A02E4"/>
    <w:rsid w:val="004A0F06"/>
    <w:rsid w:val="004A351B"/>
    <w:rsid w:val="004A6BCA"/>
    <w:rsid w:val="004A74E3"/>
    <w:rsid w:val="004B0727"/>
    <w:rsid w:val="004C085F"/>
    <w:rsid w:val="004C0D17"/>
    <w:rsid w:val="004C30B1"/>
    <w:rsid w:val="004C5212"/>
    <w:rsid w:val="004D1454"/>
    <w:rsid w:val="004D1F75"/>
    <w:rsid w:val="004F6F58"/>
    <w:rsid w:val="00521BE3"/>
    <w:rsid w:val="005236E9"/>
    <w:rsid w:val="005278B8"/>
    <w:rsid w:val="00530E5A"/>
    <w:rsid w:val="00532E4D"/>
    <w:rsid w:val="0054023C"/>
    <w:rsid w:val="00540FF6"/>
    <w:rsid w:val="00542712"/>
    <w:rsid w:val="005475A8"/>
    <w:rsid w:val="00554008"/>
    <w:rsid w:val="00561E7A"/>
    <w:rsid w:val="005775D8"/>
    <w:rsid w:val="0058580A"/>
    <w:rsid w:val="005968B9"/>
    <w:rsid w:val="005A0FCA"/>
    <w:rsid w:val="005A6D79"/>
    <w:rsid w:val="005B2A8C"/>
    <w:rsid w:val="005B61EA"/>
    <w:rsid w:val="005C0391"/>
    <w:rsid w:val="005C1D9B"/>
    <w:rsid w:val="005C3969"/>
    <w:rsid w:val="005E1D3B"/>
    <w:rsid w:val="005F1FBF"/>
    <w:rsid w:val="006006B0"/>
    <w:rsid w:val="0060528A"/>
    <w:rsid w:val="00614071"/>
    <w:rsid w:val="00632FB5"/>
    <w:rsid w:val="006468C0"/>
    <w:rsid w:val="006475B8"/>
    <w:rsid w:val="0065581E"/>
    <w:rsid w:val="00671D41"/>
    <w:rsid w:val="00693C5D"/>
    <w:rsid w:val="006A3C3F"/>
    <w:rsid w:val="006A7E2F"/>
    <w:rsid w:val="006B4F83"/>
    <w:rsid w:val="006B55F4"/>
    <w:rsid w:val="006D1A78"/>
    <w:rsid w:val="006D7BF8"/>
    <w:rsid w:val="006E1ED1"/>
    <w:rsid w:val="006E3122"/>
    <w:rsid w:val="006E4C6E"/>
    <w:rsid w:val="006E6917"/>
    <w:rsid w:val="006E7D34"/>
    <w:rsid w:val="006F3115"/>
    <w:rsid w:val="006F5378"/>
    <w:rsid w:val="006F789B"/>
    <w:rsid w:val="007029F9"/>
    <w:rsid w:val="00704C54"/>
    <w:rsid w:val="007130AA"/>
    <w:rsid w:val="00713C96"/>
    <w:rsid w:val="00730027"/>
    <w:rsid w:val="00742BA4"/>
    <w:rsid w:val="00745758"/>
    <w:rsid w:val="0075171F"/>
    <w:rsid w:val="007521CF"/>
    <w:rsid w:val="007642F4"/>
    <w:rsid w:val="00780C04"/>
    <w:rsid w:val="00791442"/>
    <w:rsid w:val="007978B8"/>
    <w:rsid w:val="007A3A32"/>
    <w:rsid w:val="007B21A0"/>
    <w:rsid w:val="007B3780"/>
    <w:rsid w:val="007C1D00"/>
    <w:rsid w:val="007C5313"/>
    <w:rsid w:val="007D4718"/>
    <w:rsid w:val="007E07BB"/>
    <w:rsid w:val="007E0FB4"/>
    <w:rsid w:val="007E69F0"/>
    <w:rsid w:val="007E74A7"/>
    <w:rsid w:val="007F54F4"/>
    <w:rsid w:val="008006A9"/>
    <w:rsid w:val="0080576D"/>
    <w:rsid w:val="008142FA"/>
    <w:rsid w:val="00823052"/>
    <w:rsid w:val="00840E87"/>
    <w:rsid w:val="00843E71"/>
    <w:rsid w:val="00853131"/>
    <w:rsid w:val="00854362"/>
    <w:rsid w:val="008678FD"/>
    <w:rsid w:val="008718F9"/>
    <w:rsid w:val="00872DEB"/>
    <w:rsid w:val="00875D86"/>
    <w:rsid w:val="0088274F"/>
    <w:rsid w:val="00885117"/>
    <w:rsid w:val="00891AD8"/>
    <w:rsid w:val="008A2C07"/>
    <w:rsid w:val="008A72F3"/>
    <w:rsid w:val="008B2E17"/>
    <w:rsid w:val="008B3E1A"/>
    <w:rsid w:val="008C22C6"/>
    <w:rsid w:val="008D2616"/>
    <w:rsid w:val="008D27B5"/>
    <w:rsid w:val="008D404B"/>
    <w:rsid w:val="008E78C9"/>
    <w:rsid w:val="009112F4"/>
    <w:rsid w:val="0091483F"/>
    <w:rsid w:val="0091704F"/>
    <w:rsid w:val="00921602"/>
    <w:rsid w:val="009255DA"/>
    <w:rsid w:val="0092632C"/>
    <w:rsid w:val="00926EFB"/>
    <w:rsid w:val="00927825"/>
    <w:rsid w:val="00930600"/>
    <w:rsid w:val="00931C9C"/>
    <w:rsid w:val="00934C10"/>
    <w:rsid w:val="00935075"/>
    <w:rsid w:val="00937C07"/>
    <w:rsid w:val="00937C4B"/>
    <w:rsid w:val="0094411A"/>
    <w:rsid w:val="00951EEF"/>
    <w:rsid w:val="00955871"/>
    <w:rsid w:val="009721F0"/>
    <w:rsid w:val="009728E9"/>
    <w:rsid w:val="0098314F"/>
    <w:rsid w:val="009835FF"/>
    <w:rsid w:val="00983947"/>
    <w:rsid w:val="00991F89"/>
    <w:rsid w:val="0099341C"/>
    <w:rsid w:val="00993DE1"/>
    <w:rsid w:val="009953C5"/>
    <w:rsid w:val="009A4EAD"/>
    <w:rsid w:val="009A53C4"/>
    <w:rsid w:val="009A5B17"/>
    <w:rsid w:val="009A5F09"/>
    <w:rsid w:val="009B6724"/>
    <w:rsid w:val="009C11DB"/>
    <w:rsid w:val="009C60F1"/>
    <w:rsid w:val="009C7A9F"/>
    <w:rsid w:val="009D3A90"/>
    <w:rsid w:val="009F6BDF"/>
    <w:rsid w:val="00A030FF"/>
    <w:rsid w:val="00A05A71"/>
    <w:rsid w:val="00A0768B"/>
    <w:rsid w:val="00A105DC"/>
    <w:rsid w:val="00A11547"/>
    <w:rsid w:val="00A22778"/>
    <w:rsid w:val="00A344B7"/>
    <w:rsid w:val="00A478DB"/>
    <w:rsid w:val="00A50A0E"/>
    <w:rsid w:val="00A50C9B"/>
    <w:rsid w:val="00A53E0A"/>
    <w:rsid w:val="00A56384"/>
    <w:rsid w:val="00A610B5"/>
    <w:rsid w:val="00A67CE4"/>
    <w:rsid w:val="00A70EA7"/>
    <w:rsid w:val="00A723F4"/>
    <w:rsid w:val="00A731A5"/>
    <w:rsid w:val="00A74605"/>
    <w:rsid w:val="00A85BE5"/>
    <w:rsid w:val="00A87576"/>
    <w:rsid w:val="00A87622"/>
    <w:rsid w:val="00A94AE9"/>
    <w:rsid w:val="00AA1F03"/>
    <w:rsid w:val="00AD3547"/>
    <w:rsid w:val="00AD4684"/>
    <w:rsid w:val="00AD5B39"/>
    <w:rsid w:val="00AF01F3"/>
    <w:rsid w:val="00AF1065"/>
    <w:rsid w:val="00B04C54"/>
    <w:rsid w:val="00B0777A"/>
    <w:rsid w:val="00B12550"/>
    <w:rsid w:val="00B214DE"/>
    <w:rsid w:val="00B2501B"/>
    <w:rsid w:val="00B44CA7"/>
    <w:rsid w:val="00B45FD2"/>
    <w:rsid w:val="00B46594"/>
    <w:rsid w:val="00B47BEB"/>
    <w:rsid w:val="00B55170"/>
    <w:rsid w:val="00B62BF5"/>
    <w:rsid w:val="00B6710C"/>
    <w:rsid w:val="00B83D0E"/>
    <w:rsid w:val="00BA4BE3"/>
    <w:rsid w:val="00BA5040"/>
    <w:rsid w:val="00BB0603"/>
    <w:rsid w:val="00BB2EB4"/>
    <w:rsid w:val="00BB7F9F"/>
    <w:rsid w:val="00BC6237"/>
    <w:rsid w:val="00BE1926"/>
    <w:rsid w:val="00BE2228"/>
    <w:rsid w:val="00C000B2"/>
    <w:rsid w:val="00C019D3"/>
    <w:rsid w:val="00C07098"/>
    <w:rsid w:val="00C141D4"/>
    <w:rsid w:val="00C23CE5"/>
    <w:rsid w:val="00C33318"/>
    <w:rsid w:val="00C404C2"/>
    <w:rsid w:val="00C40DF5"/>
    <w:rsid w:val="00C4185F"/>
    <w:rsid w:val="00C53E67"/>
    <w:rsid w:val="00C55470"/>
    <w:rsid w:val="00C57944"/>
    <w:rsid w:val="00C579D7"/>
    <w:rsid w:val="00C60C92"/>
    <w:rsid w:val="00C67B6F"/>
    <w:rsid w:val="00C71C6A"/>
    <w:rsid w:val="00C76260"/>
    <w:rsid w:val="00C809C2"/>
    <w:rsid w:val="00C87318"/>
    <w:rsid w:val="00C91D4B"/>
    <w:rsid w:val="00C9395F"/>
    <w:rsid w:val="00C93A96"/>
    <w:rsid w:val="00C95BB2"/>
    <w:rsid w:val="00CA0925"/>
    <w:rsid w:val="00CA4D05"/>
    <w:rsid w:val="00CC6206"/>
    <w:rsid w:val="00CD4538"/>
    <w:rsid w:val="00CE0351"/>
    <w:rsid w:val="00CE149A"/>
    <w:rsid w:val="00CE20FE"/>
    <w:rsid w:val="00CF40DB"/>
    <w:rsid w:val="00CF4B40"/>
    <w:rsid w:val="00D0750F"/>
    <w:rsid w:val="00D150D6"/>
    <w:rsid w:val="00D165ED"/>
    <w:rsid w:val="00D1759C"/>
    <w:rsid w:val="00D23C88"/>
    <w:rsid w:val="00D33EED"/>
    <w:rsid w:val="00D35459"/>
    <w:rsid w:val="00D410CC"/>
    <w:rsid w:val="00D4604A"/>
    <w:rsid w:val="00D51288"/>
    <w:rsid w:val="00D82749"/>
    <w:rsid w:val="00D82995"/>
    <w:rsid w:val="00D94C23"/>
    <w:rsid w:val="00D95D66"/>
    <w:rsid w:val="00DB6CEB"/>
    <w:rsid w:val="00DC364E"/>
    <w:rsid w:val="00DC7F97"/>
    <w:rsid w:val="00DD5E48"/>
    <w:rsid w:val="00DD6690"/>
    <w:rsid w:val="00DE1E73"/>
    <w:rsid w:val="00DF2D4A"/>
    <w:rsid w:val="00E07A97"/>
    <w:rsid w:val="00E13095"/>
    <w:rsid w:val="00E13BAC"/>
    <w:rsid w:val="00E14F3D"/>
    <w:rsid w:val="00E30880"/>
    <w:rsid w:val="00E34E69"/>
    <w:rsid w:val="00E40E34"/>
    <w:rsid w:val="00E4349A"/>
    <w:rsid w:val="00E47C7D"/>
    <w:rsid w:val="00E56D9A"/>
    <w:rsid w:val="00E7014C"/>
    <w:rsid w:val="00E7116D"/>
    <w:rsid w:val="00EB191A"/>
    <w:rsid w:val="00EB526A"/>
    <w:rsid w:val="00EB5E21"/>
    <w:rsid w:val="00EB6749"/>
    <w:rsid w:val="00ED13D9"/>
    <w:rsid w:val="00ED63A9"/>
    <w:rsid w:val="00EE16C6"/>
    <w:rsid w:val="00EF6D1E"/>
    <w:rsid w:val="00EF7B52"/>
    <w:rsid w:val="00F01B92"/>
    <w:rsid w:val="00F02540"/>
    <w:rsid w:val="00F04923"/>
    <w:rsid w:val="00F1201B"/>
    <w:rsid w:val="00F1212A"/>
    <w:rsid w:val="00F150A3"/>
    <w:rsid w:val="00F21FB0"/>
    <w:rsid w:val="00F225B0"/>
    <w:rsid w:val="00F307B6"/>
    <w:rsid w:val="00F3521B"/>
    <w:rsid w:val="00F3599C"/>
    <w:rsid w:val="00F42366"/>
    <w:rsid w:val="00F42650"/>
    <w:rsid w:val="00F43EE8"/>
    <w:rsid w:val="00F45D9F"/>
    <w:rsid w:val="00F47358"/>
    <w:rsid w:val="00F47FFB"/>
    <w:rsid w:val="00F66F3F"/>
    <w:rsid w:val="00F720F0"/>
    <w:rsid w:val="00F76964"/>
    <w:rsid w:val="00F81F0A"/>
    <w:rsid w:val="00F859EC"/>
    <w:rsid w:val="00F85D3D"/>
    <w:rsid w:val="00F9239F"/>
    <w:rsid w:val="00F951D6"/>
    <w:rsid w:val="00F9787E"/>
    <w:rsid w:val="00FC32D4"/>
    <w:rsid w:val="00FC46A5"/>
    <w:rsid w:val="00FC501E"/>
    <w:rsid w:val="00FC7838"/>
    <w:rsid w:val="00FD2C67"/>
    <w:rsid w:val="00FE5044"/>
    <w:rsid w:val="00FF07B6"/>
    <w:rsid w:val="00FF2BCC"/>
    <w:rsid w:val="00FF6E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60C50"/>
  <w15:chartTrackingRefBased/>
  <w15:docId w15:val="{79099797-2882-46FF-A135-79B0BFD1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9F9"/>
    <w:pPr>
      <w:spacing w:line="276" w:lineRule="auto"/>
    </w:pPr>
    <w:rPr>
      <w:rFonts w:ascii="Times New Roman" w:hAnsi="Times New Roman"/>
      <w:sz w:val="24"/>
      <w:lang w:val="en-GB"/>
    </w:rPr>
  </w:style>
  <w:style w:type="paragraph" w:styleId="Heading1">
    <w:name w:val="heading 1"/>
    <w:basedOn w:val="Normal"/>
    <w:next w:val="Normal"/>
    <w:link w:val="Heading1Char"/>
    <w:uiPriority w:val="9"/>
    <w:qFormat/>
    <w:rsid w:val="00991F89"/>
    <w:pPr>
      <w:keepNext/>
      <w:keepLines/>
      <w:spacing w:after="24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91F89"/>
    <w:pPr>
      <w:keepNext/>
      <w:keepLines/>
      <w:spacing w:after="2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991F89"/>
    <w:pPr>
      <w:keepNext/>
      <w:keepLines/>
      <w:spacing w:after="240"/>
      <w:jc w:val="center"/>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35738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F89"/>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991F8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991F89"/>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A875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576"/>
    <w:rPr>
      <w:rFonts w:ascii="Times New Roman" w:hAnsi="Times New Roman"/>
      <w:sz w:val="24"/>
    </w:rPr>
  </w:style>
  <w:style w:type="paragraph" w:styleId="Footer">
    <w:name w:val="footer"/>
    <w:basedOn w:val="Normal"/>
    <w:link w:val="FooterChar"/>
    <w:uiPriority w:val="99"/>
    <w:unhideWhenUsed/>
    <w:rsid w:val="00A87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576"/>
    <w:rPr>
      <w:rFonts w:ascii="Times New Roman" w:hAnsi="Times New Roman"/>
      <w:sz w:val="24"/>
    </w:rPr>
  </w:style>
  <w:style w:type="paragraph" w:styleId="Caption">
    <w:name w:val="caption"/>
    <w:basedOn w:val="Normal"/>
    <w:next w:val="Normal"/>
    <w:uiPriority w:val="35"/>
    <w:unhideWhenUsed/>
    <w:qFormat/>
    <w:rsid w:val="001A3032"/>
    <w:pPr>
      <w:spacing w:after="200" w:line="240" w:lineRule="auto"/>
    </w:pPr>
    <w:rPr>
      <w:i/>
      <w:iCs/>
      <w:color w:val="44546A" w:themeColor="text2"/>
      <w:sz w:val="18"/>
      <w:szCs w:val="18"/>
    </w:rPr>
  </w:style>
  <w:style w:type="paragraph" w:styleId="ListParagraph">
    <w:name w:val="List Paragraph"/>
    <w:basedOn w:val="Normal"/>
    <w:uiPriority w:val="34"/>
    <w:qFormat/>
    <w:rsid w:val="00FC46A5"/>
    <w:pPr>
      <w:ind w:left="720"/>
      <w:contextualSpacing/>
    </w:pPr>
  </w:style>
  <w:style w:type="character" w:styleId="Hyperlink">
    <w:name w:val="Hyperlink"/>
    <w:basedOn w:val="DefaultParagraphFont"/>
    <w:uiPriority w:val="99"/>
    <w:unhideWhenUsed/>
    <w:rsid w:val="00F307B6"/>
    <w:rPr>
      <w:color w:val="0563C1" w:themeColor="hyperlink"/>
      <w:u w:val="single"/>
    </w:rPr>
  </w:style>
  <w:style w:type="character" w:styleId="UnresolvedMention">
    <w:name w:val="Unresolved Mention"/>
    <w:basedOn w:val="DefaultParagraphFont"/>
    <w:uiPriority w:val="99"/>
    <w:semiHidden/>
    <w:unhideWhenUsed/>
    <w:rsid w:val="00F307B6"/>
    <w:rPr>
      <w:color w:val="605E5C"/>
      <w:shd w:val="clear" w:color="auto" w:fill="E1DFDD"/>
    </w:rPr>
  </w:style>
  <w:style w:type="paragraph" w:styleId="NormalWeb">
    <w:name w:val="Normal (Web)"/>
    <w:basedOn w:val="Normal"/>
    <w:uiPriority w:val="99"/>
    <w:semiHidden/>
    <w:unhideWhenUsed/>
    <w:rsid w:val="00C33318"/>
    <w:pPr>
      <w:spacing w:before="100" w:beforeAutospacing="1" w:after="100" w:afterAutospacing="1" w:line="240" w:lineRule="auto"/>
    </w:pPr>
    <w:rPr>
      <w:rFonts w:eastAsia="Times New Roman" w:cs="Times New Roman"/>
      <w:szCs w:val="24"/>
    </w:rPr>
  </w:style>
  <w:style w:type="paragraph" w:customStyle="1" w:styleId="hhd2">
    <w:name w:val="hhd2"/>
    <w:basedOn w:val="Normal"/>
    <w:rsid w:val="00C33318"/>
    <w:pPr>
      <w:spacing w:before="100" w:beforeAutospacing="1" w:after="100" w:afterAutospacing="1" w:line="240" w:lineRule="auto"/>
    </w:pPr>
    <w:rPr>
      <w:rFonts w:eastAsia="Times New Roman" w:cs="Times New Roman"/>
      <w:szCs w:val="24"/>
    </w:rPr>
  </w:style>
  <w:style w:type="character" w:customStyle="1" w:styleId="Heading4Char">
    <w:name w:val="Heading 4 Char"/>
    <w:basedOn w:val="DefaultParagraphFont"/>
    <w:link w:val="Heading4"/>
    <w:uiPriority w:val="9"/>
    <w:semiHidden/>
    <w:rsid w:val="0035738D"/>
    <w:rPr>
      <w:rFonts w:asciiTheme="majorHAnsi" w:eastAsiaTheme="majorEastAsia" w:hAnsiTheme="majorHAnsi" w:cstheme="majorBidi"/>
      <w:i/>
      <w:iCs/>
      <w:color w:val="2F5496" w:themeColor="accent1" w:themeShade="BF"/>
      <w:sz w:val="24"/>
      <w:lang w:val="en-GB"/>
    </w:rPr>
  </w:style>
  <w:style w:type="paragraph" w:styleId="TOCHeading">
    <w:name w:val="TOC Heading"/>
    <w:basedOn w:val="Heading1"/>
    <w:next w:val="Normal"/>
    <w:uiPriority w:val="39"/>
    <w:unhideWhenUsed/>
    <w:qFormat/>
    <w:rsid w:val="00DC7F97"/>
    <w:pPr>
      <w:spacing w:before="240" w:after="0" w:line="259" w:lineRule="auto"/>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DC7F97"/>
    <w:pPr>
      <w:spacing w:after="100"/>
    </w:pPr>
  </w:style>
  <w:style w:type="paragraph" w:styleId="TOC2">
    <w:name w:val="toc 2"/>
    <w:basedOn w:val="Normal"/>
    <w:next w:val="Normal"/>
    <w:autoRedefine/>
    <w:uiPriority w:val="39"/>
    <w:unhideWhenUsed/>
    <w:rsid w:val="00DC7F9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coordinated-care" TargetMode="External"/><Relationship Id="rId13" Type="http://schemas.openxmlformats.org/officeDocument/2006/relationships/hyperlink" Target="https://assets.publishing.service.gov.uk/media/5a7c5edeed915d696ccfc51b/5730.pdf"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hcpc-uk.org/standards/standards-of-continuing-professional-development/"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who.int/health-topics/integrated-people-centered-care"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22/31/content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ice.org.uk/guidance/ng197/chapter/Recommendations" TargetMode="External"/><Relationship Id="rId23" Type="http://schemas.openxmlformats.org/officeDocument/2006/relationships/fontTable" Target="fontTable.xml"/><Relationship Id="rId10" Type="http://schemas.openxmlformats.org/officeDocument/2006/relationships/hyperlink" Target="https://www.legislation.gov.uk/ukpga/2014/23/content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assets.publishing.service.gov.uk/media/5a7ba0faed915d13110607c8/0947.pdf" TargetMode="External"/><Relationship Id="rId14" Type="http://schemas.openxmlformats.org/officeDocument/2006/relationships/hyperlink" Target="https://www.england.nhs.uk/6cs/wp-content/uploads/sites/25/2015/03/introducing-the-6cs.pdf"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C59B4C-2AD4-4E34-875A-659D882AA3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2929</Words>
  <Characters>16701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Ifat Hussain</dc:creator>
  <cp:lastModifiedBy>Ifat Hussain (2419347)</cp:lastModifiedBy>
  <cp:revision>2</cp:revision>
  <dcterms:created xsi:type="dcterms:W3CDTF">2026-06-24T18:26:00Z</dcterms:created>
  <dcterms:modified xsi:type="dcterms:W3CDTF">2026-06-24T18:26:00Z</dcterms:modified>
</cp:coreProperties>
</file>