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3C828C" w14:textId="77777777" w:rsidR="00AC7A6F" w:rsidRDefault="008A29E7" w:rsidP="008A29E7">
      <w:pPr>
        <w:jc w:val="center"/>
        <w:rPr>
          <w:sz w:val="24"/>
          <w:szCs w:val="24"/>
          <w:u w:val="single"/>
        </w:rPr>
      </w:pPr>
      <w:r>
        <w:rPr>
          <w:sz w:val="24"/>
          <w:szCs w:val="24"/>
          <w:u w:val="single"/>
        </w:rPr>
        <w:t>To what extent was the reign of Henry I</w:t>
      </w:r>
    </w:p>
    <w:p w14:paraId="346906E8" w14:textId="77777777" w:rsidR="008A29E7" w:rsidRDefault="008A29E7" w:rsidP="008A29E7">
      <w:pPr>
        <w:jc w:val="center"/>
        <w:rPr>
          <w:sz w:val="24"/>
          <w:szCs w:val="24"/>
          <w:u w:val="single"/>
        </w:rPr>
      </w:pPr>
      <w:r>
        <w:rPr>
          <w:sz w:val="24"/>
          <w:szCs w:val="24"/>
          <w:u w:val="single"/>
        </w:rPr>
        <w:t>a turning point in English history?</w:t>
      </w:r>
    </w:p>
    <w:p w14:paraId="3C3AC826" w14:textId="69E236E8" w:rsidR="008A29E7" w:rsidRDefault="008A29E7" w:rsidP="008A29E7">
      <w:pPr>
        <w:jc w:val="center"/>
        <w:rPr>
          <w:sz w:val="24"/>
          <w:szCs w:val="24"/>
          <w:u w:val="single"/>
        </w:rPr>
      </w:pPr>
      <w:r>
        <w:rPr>
          <w:sz w:val="24"/>
          <w:szCs w:val="24"/>
          <w:u w:val="single"/>
        </w:rPr>
        <w:t>Rosanna Jevon</w:t>
      </w:r>
    </w:p>
    <w:p w14:paraId="0EA8C321" w14:textId="2EA9D5C0" w:rsidR="000D3621" w:rsidRDefault="000D3621" w:rsidP="000D3621">
      <w:pPr>
        <w:rPr>
          <w:sz w:val="24"/>
          <w:szCs w:val="24"/>
          <w:u w:val="single"/>
        </w:rPr>
      </w:pPr>
    </w:p>
    <w:p w14:paraId="015118DC" w14:textId="77777777" w:rsidR="0024736E" w:rsidRDefault="00A31BF4" w:rsidP="000D3621">
      <w:pPr>
        <w:rPr>
          <w:sz w:val="24"/>
          <w:szCs w:val="24"/>
        </w:rPr>
      </w:pPr>
      <w:r>
        <w:rPr>
          <w:sz w:val="24"/>
          <w:szCs w:val="24"/>
        </w:rPr>
        <w:t>T</w:t>
      </w:r>
      <w:r w:rsidR="001323A4">
        <w:rPr>
          <w:sz w:val="24"/>
          <w:szCs w:val="24"/>
        </w:rPr>
        <w:t xml:space="preserve">o establish if the reign of Henry I was indeed a turning point in English history, it is important to ascertain how the nation was changed, whether the changes were social, political or financial. It is also necessary to establish the methods by which these changes took place, and finally to what extent was Henry himself directly responsible for the turning point, if there was one, in English history. This essay will set out to establish the facts and the opinions on the subject with the use of both primary and secondary sources </w:t>
      </w:r>
      <w:proofErr w:type="gramStart"/>
      <w:r w:rsidR="002A3226">
        <w:rPr>
          <w:sz w:val="24"/>
          <w:szCs w:val="24"/>
        </w:rPr>
        <w:t>in an attempt to</w:t>
      </w:r>
      <w:proofErr w:type="gramEnd"/>
      <w:r w:rsidR="002A3226">
        <w:rPr>
          <w:sz w:val="24"/>
          <w:szCs w:val="24"/>
        </w:rPr>
        <w:t xml:space="preserve"> form an answer to the posed question.</w:t>
      </w:r>
    </w:p>
    <w:p w14:paraId="38FE5AA6" w14:textId="7B6A4099" w:rsidR="003632E8" w:rsidRDefault="0024736E" w:rsidP="000D3621">
      <w:pPr>
        <w:rPr>
          <w:sz w:val="24"/>
          <w:szCs w:val="24"/>
        </w:rPr>
      </w:pPr>
      <w:r w:rsidRPr="0024736E">
        <w:rPr>
          <w:sz w:val="24"/>
          <w:szCs w:val="24"/>
        </w:rPr>
        <w:t>The reign of Henry I was long, especially by the standards of the day, and the country was still reeling, in many respects, from the 1066 invasion and conquest. It is hard to imagine, therefore, that a significant shift in social and political life wouldn’t have occurred in a country still coming to terms with a new ruling elite over such a long period of time. Although this may be true, the behaviour of Henry I from the very start of his reign shows that he was not a passive monarch, he was dedicated and determined in his new role to establish himself as the dominant force in both England and Normandy. This point can be illustrated by Henry’s, ‘Charter of Liberties’, set out and distributed throughout the shires of England.</w:t>
      </w:r>
      <w:r w:rsidRPr="0024736E">
        <w:rPr>
          <w:sz w:val="24"/>
          <w:szCs w:val="24"/>
          <w:vertAlign w:val="superscript"/>
        </w:rPr>
        <w:footnoteReference w:id="1"/>
      </w:r>
      <w:r w:rsidRPr="0024736E">
        <w:rPr>
          <w:sz w:val="24"/>
          <w:szCs w:val="24"/>
        </w:rPr>
        <w:t xml:space="preserve"> The charter reads as a very enlightened document, in </w:t>
      </w:r>
      <w:proofErr w:type="spellStart"/>
      <w:r w:rsidRPr="0024736E">
        <w:rPr>
          <w:sz w:val="24"/>
          <w:szCs w:val="24"/>
        </w:rPr>
        <w:t>it</w:t>
      </w:r>
      <w:proofErr w:type="spellEnd"/>
      <w:r w:rsidRPr="0024736E">
        <w:rPr>
          <w:sz w:val="24"/>
          <w:szCs w:val="24"/>
        </w:rPr>
        <w:t xml:space="preserve"> Henry sets out many laws for the benefit of his people, including the right to inheritance without payment, freedom of the church and a return to the laws of Edward the Confessor.</w:t>
      </w:r>
    </w:p>
    <w:p w14:paraId="35F73FE1" w14:textId="659EF7EB" w:rsidR="000A63A1" w:rsidRPr="000A63A1" w:rsidRDefault="003632E8" w:rsidP="000D3621">
      <w:pPr>
        <w:rPr>
          <w:sz w:val="24"/>
          <w:szCs w:val="24"/>
        </w:rPr>
      </w:pPr>
      <w:r w:rsidRPr="003632E8">
        <w:rPr>
          <w:sz w:val="24"/>
          <w:szCs w:val="24"/>
        </w:rPr>
        <w:t>The first law laid out in Henry’s charter was his promise to the church, Henry assured the clergy that the churches money was no longer to be taken by the crown, and that the church would be free from oppression. The fact that this clause was first on his agenda, shows how Henry must have viewed the church as an important potential ally which needed to be appeased. His appeasement of the church culminated in his attempts to coax Archbishop Anselm out of exile, this was a very astute manoeuvre, by persuading Anselm to return to England, Henry not only ingratiated himself with the English clergy but also the Pope, and during the 1101 outbreak of civil war, Anselm’s support proved invaluable.</w:t>
      </w:r>
      <w:r w:rsidRPr="003632E8">
        <w:rPr>
          <w:sz w:val="24"/>
          <w:szCs w:val="24"/>
          <w:vertAlign w:val="superscript"/>
        </w:rPr>
        <w:footnoteReference w:id="2"/>
      </w:r>
      <w:r w:rsidR="00DD3FBF">
        <w:rPr>
          <w:sz w:val="24"/>
          <w:szCs w:val="24"/>
        </w:rPr>
        <w:t xml:space="preserve"> </w:t>
      </w:r>
      <w:r w:rsidR="007E31A1">
        <w:rPr>
          <w:sz w:val="24"/>
          <w:szCs w:val="24"/>
        </w:rPr>
        <w:t>Henry’s relationship with the church continued to improve, as Anselm wrote to Pope Paschal declaring that, ‘the king, in choosing people for advancement, does not consult his own wishes but relies entirely on the advice of men of religion.</w:t>
      </w:r>
      <w:r w:rsidR="0024736E">
        <w:rPr>
          <w:sz w:val="24"/>
          <w:szCs w:val="24"/>
        </w:rPr>
        <w:t>’</w:t>
      </w:r>
      <w:r w:rsidR="007E31A1">
        <w:rPr>
          <w:rStyle w:val="FootnoteReference"/>
          <w:sz w:val="24"/>
          <w:szCs w:val="24"/>
        </w:rPr>
        <w:footnoteReference w:id="3"/>
      </w:r>
      <w:r w:rsidR="007E31A1">
        <w:rPr>
          <w:sz w:val="24"/>
          <w:szCs w:val="24"/>
        </w:rPr>
        <w:t xml:space="preserve"> </w:t>
      </w:r>
      <w:r w:rsidR="00856BD3">
        <w:rPr>
          <w:sz w:val="24"/>
          <w:szCs w:val="24"/>
        </w:rPr>
        <w:t xml:space="preserve">Although this statement did not prove to be entirely accurate, it does illustrate the positive relationship that Henry managed to cultivate with the church. </w:t>
      </w:r>
      <w:r w:rsidR="00D95AAF">
        <w:rPr>
          <w:sz w:val="24"/>
          <w:szCs w:val="24"/>
        </w:rPr>
        <w:t>The eighth chapter of Henry’s charter deals with his barons, the law states that any of his noblemen</w:t>
      </w:r>
      <w:r w:rsidR="00057439">
        <w:rPr>
          <w:sz w:val="24"/>
          <w:szCs w:val="24"/>
        </w:rPr>
        <w:t xml:space="preserve"> who are guilty of a crime were to make amends for the crime and not attempt to obtain the kings mercy. This seems to be an </w:t>
      </w:r>
      <w:r w:rsidR="00057439">
        <w:rPr>
          <w:sz w:val="24"/>
          <w:szCs w:val="24"/>
        </w:rPr>
        <w:lastRenderedPageBreak/>
        <w:t xml:space="preserve">attempt by Henry to assert himself, he wanted his barons to know exactly who was in charge and, although in many respects his charter was designed to coax support from the nobility, it was also designed to assert his superiority over them. This point is further illustrated by Henry’s control of his </w:t>
      </w:r>
      <w:r w:rsidR="00057439">
        <w:rPr>
          <w:i/>
          <w:sz w:val="24"/>
          <w:szCs w:val="24"/>
        </w:rPr>
        <w:t xml:space="preserve">curia </w:t>
      </w:r>
      <w:proofErr w:type="spellStart"/>
      <w:r w:rsidR="00057439">
        <w:rPr>
          <w:i/>
          <w:sz w:val="24"/>
          <w:szCs w:val="24"/>
        </w:rPr>
        <w:t>regis</w:t>
      </w:r>
      <w:proofErr w:type="spellEnd"/>
      <w:r w:rsidR="00057439">
        <w:rPr>
          <w:i/>
          <w:sz w:val="24"/>
          <w:szCs w:val="24"/>
        </w:rPr>
        <w:t xml:space="preserve">, </w:t>
      </w:r>
      <w:r w:rsidR="00057439">
        <w:rPr>
          <w:sz w:val="24"/>
          <w:szCs w:val="24"/>
        </w:rPr>
        <w:t xml:space="preserve">this was essentially Henry’s royal court. The </w:t>
      </w:r>
      <w:r w:rsidR="00057439">
        <w:rPr>
          <w:i/>
          <w:sz w:val="24"/>
          <w:szCs w:val="24"/>
        </w:rPr>
        <w:t xml:space="preserve">curia </w:t>
      </w:r>
      <w:proofErr w:type="spellStart"/>
      <w:r w:rsidR="00057439">
        <w:rPr>
          <w:i/>
          <w:sz w:val="24"/>
          <w:szCs w:val="24"/>
        </w:rPr>
        <w:t>regis</w:t>
      </w:r>
      <w:proofErr w:type="spellEnd"/>
      <w:r w:rsidR="00057439">
        <w:rPr>
          <w:i/>
          <w:sz w:val="24"/>
          <w:szCs w:val="24"/>
        </w:rPr>
        <w:t xml:space="preserve"> </w:t>
      </w:r>
      <w:r w:rsidR="00057439">
        <w:rPr>
          <w:sz w:val="24"/>
          <w:szCs w:val="24"/>
        </w:rPr>
        <w:t xml:space="preserve">were notorious for terrorising the lower classes wherever and whenever they travelled with the king. In response to this in about 1108, Henry ordered that anyone in his entourage </w:t>
      </w:r>
      <w:r w:rsidR="00DF7735">
        <w:rPr>
          <w:sz w:val="24"/>
          <w:szCs w:val="24"/>
        </w:rPr>
        <w:t>who engaged in plunder, extortion, theft or rape be blinded and castrated, this reform immediately stopped the appalling behaviour.</w:t>
      </w:r>
      <w:r w:rsidR="00DF7735">
        <w:rPr>
          <w:rStyle w:val="FootnoteReference"/>
          <w:sz w:val="24"/>
          <w:szCs w:val="24"/>
        </w:rPr>
        <w:footnoteReference w:id="4"/>
      </w:r>
      <w:r w:rsidR="00057439">
        <w:rPr>
          <w:i/>
          <w:sz w:val="24"/>
          <w:szCs w:val="24"/>
        </w:rPr>
        <w:t xml:space="preserve"> </w:t>
      </w:r>
      <w:r w:rsidR="00DF7735">
        <w:rPr>
          <w:sz w:val="24"/>
          <w:szCs w:val="24"/>
        </w:rPr>
        <w:t xml:space="preserve">This further proves the level of control that Henry exerted over his nobles. </w:t>
      </w:r>
    </w:p>
    <w:p w14:paraId="0909166C" w14:textId="5172013D" w:rsidR="00C72D43" w:rsidRDefault="006C41EB" w:rsidP="000D3621">
      <w:pPr>
        <w:rPr>
          <w:sz w:val="24"/>
          <w:szCs w:val="24"/>
        </w:rPr>
      </w:pPr>
      <w:r>
        <w:rPr>
          <w:sz w:val="24"/>
          <w:szCs w:val="24"/>
        </w:rPr>
        <w:t>These laws</w:t>
      </w:r>
      <w:r w:rsidR="0024736E">
        <w:rPr>
          <w:sz w:val="24"/>
          <w:szCs w:val="24"/>
        </w:rPr>
        <w:t xml:space="preserve"> of Henry’s charter</w:t>
      </w:r>
      <w:r>
        <w:rPr>
          <w:sz w:val="24"/>
          <w:szCs w:val="24"/>
        </w:rPr>
        <w:t xml:space="preserve"> clearly</w:t>
      </w:r>
      <w:r w:rsidR="00511C29">
        <w:rPr>
          <w:sz w:val="24"/>
          <w:szCs w:val="24"/>
        </w:rPr>
        <w:t xml:space="preserve"> seem to be</w:t>
      </w:r>
      <w:r>
        <w:rPr>
          <w:sz w:val="24"/>
          <w:szCs w:val="24"/>
        </w:rPr>
        <w:t xml:space="preserve"> </w:t>
      </w:r>
      <w:r w:rsidR="00C72D43">
        <w:rPr>
          <w:sz w:val="24"/>
          <w:szCs w:val="24"/>
        </w:rPr>
        <w:t>designed</w:t>
      </w:r>
      <w:r>
        <w:rPr>
          <w:sz w:val="24"/>
          <w:szCs w:val="24"/>
        </w:rPr>
        <w:t xml:space="preserve"> to benefit the people and not directly himself; however,</w:t>
      </w:r>
      <w:r w:rsidR="005E4662">
        <w:rPr>
          <w:sz w:val="24"/>
          <w:szCs w:val="24"/>
        </w:rPr>
        <w:t xml:space="preserve"> an argument put forward by Cannon suggests that a different tactic was being employed by Henry. Cannon states that the first section of the charter deals with feudal law which renders it Norman and not Anglo-Saxon,</w:t>
      </w:r>
      <w:r w:rsidR="0054280F">
        <w:rPr>
          <w:rStyle w:val="FootnoteReference"/>
          <w:sz w:val="24"/>
          <w:szCs w:val="24"/>
        </w:rPr>
        <w:footnoteReference w:id="5"/>
      </w:r>
      <w:r w:rsidR="005E4662">
        <w:rPr>
          <w:sz w:val="24"/>
          <w:szCs w:val="24"/>
        </w:rPr>
        <w:t xml:space="preserve"> this would suggest that Henry was attempting to surreptitiously transform English society into Norman society</w:t>
      </w:r>
      <w:r w:rsidR="00511C29">
        <w:rPr>
          <w:sz w:val="24"/>
          <w:szCs w:val="24"/>
        </w:rPr>
        <w:t>,</w:t>
      </w:r>
      <w:r w:rsidR="005E4662">
        <w:rPr>
          <w:sz w:val="24"/>
          <w:szCs w:val="24"/>
        </w:rPr>
        <w:t xml:space="preserve"> albeit through more peaceful means than his father</w:t>
      </w:r>
      <w:r w:rsidR="00862E03">
        <w:rPr>
          <w:sz w:val="24"/>
          <w:szCs w:val="24"/>
        </w:rPr>
        <w:t>. The charter is also considered to be the forerunner of the Magna Carta</w:t>
      </w:r>
      <w:r w:rsidR="009E47A8">
        <w:rPr>
          <w:sz w:val="24"/>
          <w:szCs w:val="24"/>
        </w:rPr>
        <w:t>, Cannon once again points out that Henry’s charter is essentially a borough charter, this would reduce the likelihood of the Magna Carta being primarily influenced by Henry’s charter as, it could just as easily have been influenced by any borough charter in existence at the time. In Cannons essay he claims that the charter was a written</w:t>
      </w:r>
      <w:r w:rsidR="00A31BF4">
        <w:rPr>
          <w:sz w:val="24"/>
          <w:szCs w:val="24"/>
        </w:rPr>
        <w:t xml:space="preserve"> </w:t>
      </w:r>
      <w:r w:rsidR="00091EBA">
        <w:rPr>
          <w:sz w:val="24"/>
          <w:szCs w:val="24"/>
        </w:rPr>
        <w:t xml:space="preserve">and embellished </w:t>
      </w:r>
      <w:r w:rsidR="009E47A8">
        <w:rPr>
          <w:sz w:val="24"/>
          <w:szCs w:val="24"/>
        </w:rPr>
        <w:t xml:space="preserve">version of </w:t>
      </w:r>
      <w:r w:rsidR="00091EBA">
        <w:rPr>
          <w:sz w:val="24"/>
          <w:szCs w:val="24"/>
        </w:rPr>
        <w:t>an earlier</w:t>
      </w:r>
      <w:r w:rsidR="0024736E">
        <w:rPr>
          <w:sz w:val="24"/>
          <w:szCs w:val="24"/>
        </w:rPr>
        <w:t xml:space="preserve"> oral</w:t>
      </w:r>
      <w:r w:rsidR="00091EBA">
        <w:rPr>
          <w:sz w:val="24"/>
          <w:szCs w:val="24"/>
        </w:rPr>
        <w:t xml:space="preserve"> pledge made by his brother</w:t>
      </w:r>
      <w:r w:rsidR="0024736E">
        <w:rPr>
          <w:sz w:val="24"/>
          <w:szCs w:val="24"/>
        </w:rPr>
        <w:t>,</w:t>
      </w:r>
      <w:r w:rsidR="00091EBA">
        <w:rPr>
          <w:sz w:val="24"/>
          <w:szCs w:val="24"/>
        </w:rPr>
        <w:t xml:space="preserve"> William Rufus. William was forced to make certain promises to his barons in exchange for their military support during the 1088 rebellion.</w:t>
      </w:r>
      <w:r w:rsidR="00091EBA">
        <w:rPr>
          <w:rStyle w:val="FootnoteReference"/>
          <w:sz w:val="24"/>
          <w:szCs w:val="24"/>
        </w:rPr>
        <w:footnoteReference w:id="6"/>
      </w:r>
      <w:r w:rsidR="009E47A8">
        <w:rPr>
          <w:sz w:val="24"/>
          <w:szCs w:val="24"/>
        </w:rPr>
        <w:t xml:space="preserve"> </w:t>
      </w:r>
      <w:r w:rsidR="00091EBA">
        <w:rPr>
          <w:sz w:val="24"/>
          <w:szCs w:val="24"/>
        </w:rPr>
        <w:t>As Henry had essentially usurped his older brother Robert Curthose from the throne it would have been beneficial for him to have made the same promises to his barons that William had, Henry would have been aware that an attack from his brother was imminent and he needed the support of the nobility.</w:t>
      </w:r>
      <w:r w:rsidR="000C7FBA" w:rsidRPr="000C7FBA">
        <w:rPr>
          <w:sz w:val="24"/>
          <w:szCs w:val="24"/>
        </w:rPr>
        <w:t xml:space="preserve"> In the eleventh section of his charter Henry grants the rights to his knights to live tax free, on the condition that they </w:t>
      </w:r>
      <w:r w:rsidR="0024736E">
        <w:rPr>
          <w:sz w:val="24"/>
          <w:szCs w:val="24"/>
        </w:rPr>
        <w:t>were</w:t>
      </w:r>
      <w:r w:rsidR="000C7FBA" w:rsidRPr="000C7FBA">
        <w:rPr>
          <w:sz w:val="24"/>
          <w:szCs w:val="24"/>
        </w:rPr>
        <w:t xml:space="preserve"> ready to call into service at his request and, that they properly equip</w:t>
      </w:r>
      <w:r w:rsidR="0024736E">
        <w:rPr>
          <w:sz w:val="24"/>
          <w:szCs w:val="24"/>
        </w:rPr>
        <w:t>ped</w:t>
      </w:r>
      <w:r w:rsidR="000C7FBA" w:rsidRPr="000C7FBA">
        <w:rPr>
          <w:sz w:val="24"/>
          <w:szCs w:val="24"/>
        </w:rPr>
        <w:t xml:space="preserve"> and train</w:t>
      </w:r>
      <w:r w:rsidR="0024736E">
        <w:rPr>
          <w:sz w:val="24"/>
          <w:szCs w:val="24"/>
        </w:rPr>
        <w:t>ed</w:t>
      </w:r>
      <w:r w:rsidR="000C7FBA" w:rsidRPr="000C7FBA">
        <w:rPr>
          <w:sz w:val="24"/>
          <w:szCs w:val="24"/>
        </w:rPr>
        <w:t xml:space="preserve"> themselves for service. </w:t>
      </w:r>
      <w:r w:rsidR="000C7FBA">
        <w:rPr>
          <w:sz w:val="24"/>
          <w:szCs w:val="24"/>
        </w:rPr>
        <w:t>This clause would have served Henry very well as it would have provided him with a well-equipped and relatively</w:t>
      </w:r>
      <w:r w:rsidR="00A31BF4">
        <w:rPr>
          <w:sz w:val="24"/>
          <w:szCs w:val="24"/>
        </w:rPr>
        <w:t xml:space="preserve"> well</w:t>
      </w:r>
      <w:r w:rsidR="000C7FBA">
        <w:rPr>
          <w:sz w:val="24"/>
          <w:szCs w:val="24"/>
        </w:rPr>
        <w:t xml:space="preserve"> organised fighting force.</w:t>
      </w:r>
      <w:r w:rsidR="009E47A8">
        <w:rPr>
          <w:sz w:val="24"/>
          <w:szCs w:val="24"/>
        </w:rPr>
        <w:t xml:space="preserve"> </w:t>
      </w:r>
      <w:r w:rsidR="00091EBA" w:rsidRPr="00091EBA">
        <w:rPr>
          <w:sz w:val="24"/>
          <w:szCs w:val="24"/>
        </w:rPr>
        <w:t>In 1101 Robert did launch an attack against Henry, the two armies met near Winchester, no battle was fought however, and the two brothers settled the issue diplomatically with the creation of the ‘Treaty of Alton’.</w:t>
      </w:r>
      <w:r w:rsidR="00C72D43">
        <w:rPr>
          <w:rStyle w:val="FootnoteReference"/>
          <w:sz w:val="24"/>
          <w:szCs w:val="24"/>
        </w:rPr>
        <w:footnoteReference w:id="7"/>
      </w:r>
      <w:r w:rsidR="000C7FBA">
        <w:rPr>
          <w:sz w:val="24"/>
          <w:szCs w:val="24"/>
        </w:rPr>
        <w:t xml:space="preserve"> </w:t>
      </w:r>
      <w:r w:rsidR="000C3495">
        <w:rPr>
          <w:sz w:val="24"/>
          <w:szCs w:val="24"/>
        </w:rPr>
        <w:t xml:space="preserve">All of these facts </w:t>
      </w:r>
      <w:proofErr w:type="gramStart"/>
      <w:r w:rsidR="000C3495">
        <w:rPr>
          <w:sz w:val="24"/>
          <w:szCs w:val="24"/>
        </w:rPr>
        <w:t>taken into account</w:t>
      </w:r>
      <w:proofErr w:type="gramEnd"/>
      <w:r w:rsidR="000C3495">
        <w:rPr>
          <w:sz w:val="24"/>
          <w:szCs w:val="24"/>
        </w:rPr>
        <w:t xml:space="preserve"> along with Cannon’s argument, portray Henry as an intelligent and competent ruler. However, a</w:t>
      </w:r>
      <w:r w:rsidR="000C7FBA">
        <w:rPr>
          <w:sz w:val="24"/>
          <w:szCs w:val="24"/>
        </w:rPr>
        <w:t xml:space="preserve">lthough </w:t>
      </w:r>
      <w:r w:rsidR="00C72D43">
        <w:rPr>
          <w:sz w:val="24"/>
          <w:szCs w:val="24"/>
        </w:rPr>
        <w:t>Henry’s charter was</w:t>
      </w:r>
      <w:r w:rsidR="000C7FBA">
        <w:rPr>
          <w:sz w:val="24"/>
          <w:szCs w:val="24"/>
        </w:rPr>
        <w:t xml:space="preserve"> intelligently</w:t>
      </w:r>
      <w:r w:rsidR="00C72D43">
        <w:rPr>
          <w:sz w:val="24"/>
          <w:szCs w:val="24"/>
        </w:rPr>
        <w:t xml:space="preserve"> designed to ingratiate him with his people, the church and the nobility</w:t>
      </w:r>
      <w:r w:rsidR="000C7FBA">
        <w:rPr>
          <w:sz w:val="24"/>
          <w:szCs w:val="24"/>
        </w:rPr>
        <w:t xml:space="preserve">, it was by no means unique or innovative.   </w:t>
      </w:r>
    </w:p>
    <w:p w14:paraId="53AE440C" w14:textId="3DB9A550" w:rsidR="00E044FE" w:rsidRDefault="00E044FE" w:rsidP="000D3621">
      <w:pPr>
        <w:rPr>
          <w:sz w:val="24"/>
          <w:szCs w:val="24"/>
        </w:rPr>
      </w:pPr>
      <w:r w:rsidRPr="00E044FE">
        <w:rPr>
          <w:sz w:val="24"/>
          <w:szCs w:val="24"/>
        </w:rPr>
        <w:t>The twelfth law laid out in Henrys Charter states, ‘I impose a strict peace upon my whole kingdom and command that it be maintained henceforth.’</w:t>
      </w:r>
      <w:r w:rsidRPr="00E044FE">
        <w:rPr>
          <w:sz w:val="24"/>
          <w:szCs w:val="24"/>
          <w:vertAlign w:val="superscript"/>
        </w:rPr>
        <w:footnoteReference w:id="8"/>
      </w:r>
      <w:r w:rsidRPr="00E044FE">
        <w:rPr>
          <w:sz w:val="24"/>
          <w:szCs w:val="24"/>
        </w:rPr>
        <w:t xml:space="preserve"> Although this may have seemed </w:t>
      </w:r>
      <w:r w:rsidRPr="00E044FE">
        <w:rPr>
          <w:sz w:val="24"/>
          <w:szCs w:val="24"/>
        </w:rPr>
        <w:lastRenderedPageBreak/>
        <w:t>an almost impossible task, Henry did maintain peace throughout England for thirty-three years, he loved peace and it was this love of peace which led to prosperity and the stability needed for legal and political reform.</w:t>
      </w:r>
      <w:r w:rsidRPr="00E044FE">
        <w:rPr>
          <w:sz w:val="24"/>
          <w:szCs w:val="24"/>
          <w:vertAlign w:val="superscript"/>
        </w:rPr>
        <w:footnoteReference w:id="9"/>
      </w:r>
      <w:r w:rsidR="00C72D43">
        <w:rPr>
          <w:sz w:val="24"/>
          <w:szCs w:val="24"/>
        </w:rPr>
        <w:t xml:space="preserve"> </w:t>
      </w:r>
      <w:r w:rsidRPr="00E044FE">
        <w:rPr>
          <w:sz w:val="24"/>
          <w:szCs w:val="24"/>
        </w:rPr>
        <w:t>It is arguable; however, that Henry was not fully responsible for the peace in his domains, his brother William Rufus, had put down a revolt by the Scottish</w:t>
      </w:r>
      <w:r w:rsidR="00D233B0">
        <w:rPr>
          <w:sz w:val="24"/>
          <w:szCs w:val="24"/>
        </w:rPr>
        <w:t xml:space="preserve"> </w:t>
      </w:r>
      <w:r w:rsidR="00F24A88">
        <w:rPr>
          <w:sz w:val="24"/>
          <w:szCs w:val="24"/>
        </w:rPr>
        <w:t>k</w:t>
      </w:r>
      <w:r w:rsidR="00D233B0">
        <w:rPr>
          <w:sz w:val="24"/>
          <w:szCs w:val="24"/>
        </w:rPr>
        <w:t>ing Malcom.</w:t>
      </w:r>
      <w:r w:rsidRPr="00E044FE">
        <w:rPr>
          <w:sz w:val="24"/>
          <w:szCs w:val="24"/>
          <w:vertAlign w:val="superscript"/>
        </w:rPr>
        <w:footnoteReference w:id="10"/>
      </w:r>
      <w:r w:rsidR="00D233B0">
        <w:rPr>
          <w:sz w:val="24"/>
          <w:szCs w:val="24"/>
        </w:rPr>
        <w:t xml:space="preserve"> This </w:t>
      </w:r>
      <w:r w:rsidR="00F24A88">
        <w:rPr>
          <w:sz w:val="24"/>
          <w:szCs w:val="24"/>
        </w:rPr>
        <w:t>defeat</w:t>
      </w:r>
      <w:r w:rsidRPr="00E044FE">
        <w:rPr>
          <w:sz w:val="24"/>
          <w:szCs w:val="24"/>
        </w:rPr>
        <w:t xml:space="preserve"> secur</w:t>
      </w:r>
      <w:r w:rsidR="00432062">
        <w:rPr>
          <w:sz w:val="24"/>
          <w:szCs w:val="24"/>
        </w:rPr>
        <w:t>ed</w:t>
      </w:r>
      <w:r w:rsidRPr="00E044FE">
        <w:rPr>
          <w:sz w:val="24"/>
          <w:szCs w:val="24"/>
        </w:rPr>
        <w:t xml:space="preserve"> the border in the north</w:t>
      </w:r>
      <w:r w:rsidR="00432062">
        <w:rPr>
          <w:sz w:val="24"/>
          <w:szCs w:val="24"/>
        </w:rPr>
        <w:t>.</w:t>
      </w:r>
      <w:r w:rsidR="004E0EC7">
        <w:rPr>
          <w:sz w:val="24"/>
          <w:szCs w:val="24"/>
        </w:rPr>
        <w:t xml:space="preserve"> </w:t>
      </w:r>
      <w:proofErr w:type="spellStart"/>
      <w:r w:rsidR="004E0EC7">
        <w:rPr>
          <w:sz w:val="24"/>
          <w:szCs w:val="24"/>
        </w:rPr>
        <w:t>Malmesbury</w:t>
      </w:r>
      <w:proofErr w:type="spellEnd"/>
      <w:r w:rsidR="004E0EC7">
        <w:rPr>
          <w:sz w:val="24"/>
          <w:szCs w:val="24"/>
        </w:rPr>
        <w:t xml:space="preserve"> describes how William welcomed a peaceful resolution, ‘by the industry of earl Robert, who had</w:t>
      </w:r>
      <w:r w:rsidR="00C72D43">
        <w:rPr>
          <w:sz w:val="24"/>
          <w:szCs w:val="24"/>
        </w:rPr>
        <w:t xml:space="preserve"> </w:t>
      </w:r>
      <w:r w:rsidR="004E0EC7">
        <w:rPr>
          <w:sz w:val="24"/>
          <w:szCs w:val="24"/>
        </w:rPr>
        <w:t>long since gained the good graces of the Scot, the basis of a peace was laid between Malcom and William.’</w:t>
      </w:r>
      <w:r w:rsidR="004E0EC7">
        <w:rPr>
          <w:rStyle w:val="FootnoteReference"/>
          <w:sz w:val="24"/>
          <w:szCs w:val="24"/>
        </w:rPr>
        <w:footnoteReference w:id="11"/>
      </w:r>
      <w:r w:rsidR="00F24A88">
        <w:rPr>
          <w:sz w:val="24"/>
          <w:szCs w:val="24"/>
        </w:rPr>
        <w:t xml:space="preserve"> </w:t>
      </w:r>
      <w:r w:rsidR="00072172">
        <w:rPr>
          <w:sz w:val="24"/>
          <w:szCs w:val="24"/>
        </w:rPr>
        <w:t>The actions of Henry</w:t>
      </w:r>
      <w:r w:rsidR="0024736E">
        <w:rPr>
          <w:sz w:val="24"/>
          <w:szCs w:val="24"/>
        </w:rPr>
        <w:t>’</w:t>
      </w:r>
      <w:r w:rsidR="00072172">
        <w:rPr>
          <w:sz w:val="24"/>
          <w:szCs w:val="24"/>
        </w:rPr>
        <w:t>s father also must be taken into account, it is well documented that he acted with</w:t>
      </w:r>
      <w:r w:rsidRPr="00E044FE">
        <w:rPr>
          <w:sz w:val="24"/>
          <w:szCs w:val="24"/>
        </w:rPr>
        <w:t xml:space="preserve"> such ferocity during the ‘harrowing of the north’</w:t>
      </w:r>
      <w:r w:rsidR="00072172">
        <w:rPr>
          <w:sz w:val="24"/>
          <w:szCs w:val="24"/>
        </w:rPr>
        <w:t xml:space="preserve"> and displayed such military skill when dealing with later rebellions, that homegrown insurrections became a rarity and Henry was not plagued by them. </w:t>
      </w:r>
      <w:r w:rsidR="00F24A88">
        <w:rPr>
          <w:sz w:val="24"/>
          <w:szCs w:val="24"/>
        </w:rPr>
        <w:t xml:space="preserve">William of </w:t>
      </w:r>
      <w:proofErr w:type="spellStart"/>
      <w:r w:rsidR="00F24A88">
        <w:rPr>
          <w:sz w:val="24"/>
          <w:szCs w:val="24"/>
        </w:rPr>
        <w:t>Malmesbury</w:t>
      </w:r>
      <w:proofErr w:type="spellEnd"/>
      <w:r w:rsidR="00F24A88">
        <w:rPr>
          <w:sz w:val="24"/>
          <w:szCs w:val="24"/>
        </w:rPr>
        <w:t>,</w:t>
      </w:r>
      <w:r w:rsidR="00072172">
        <w:rPr>
          <w:sz w:val="24"/>
          <w:szCs w:val="24"/>
        </w:rPr>
        <w:t xml:space="preserve"> describes the consequences of the conquerors destruction of the north</w:t>
      </w:r>
      <w:r w:rsidR="0048211C">
        <w:rPr>
          <w:sz w:val="24"/>
          <w:szCs w:val="24"/>
        </w:rPr>
        <w:t>,</w:t>
      </w:r>
      <w:r w:rsidR="00F24A88">
        <w:rPr>
          <w:sz w:val="24"/>
          <w:szCs w:val="24"/>
        </w:rPr>
        <w:t xml:space="preserve"> ‘the ground, for more than sixty miles, totally uncultivated and unproductive remains bare even to this present day.’</w:t>
      </w:r>
      <w:proofErr w:type="spellStart"/>
      <w:r w:rsidR="00F24A88">
        <w:rPr>
          <w:sz w:val="24"/>
          <w:szCs w:val="24"/>
        </w:rPr>
        <w:t>Malmesbury</w:t>
      </w:r>
      <w:proofErr w:type="spellEnd"/>
      <w:r w:rsidR="00F24A88">
        <w:rPr>
          <w:sz w:val="24"/>
          <w:szCs w:val="24"/>
        </w:rPr>
        <w:t xml:space="preserve"> further describes how William</w:t>
      </w:r>
      <w:r w:rsidRPr="00E044FE">
        <w:rPr>
          <w:sz w:val="24"/>
          <w:szCs w:val="24"/>
        </w:rPr>
        <w:t xml:space="preserve"> had been equally adept at foiling later rebellions</w:t>
      </w:r>
      <w:r w:rsidR="00F24A88">
        <w:rPr>
          <w:sz w:val="24"/>
          <w:szCs w:val="24"/>
        </w:rPr>
        <w:t>, ‘he followed the device of Caesar, who drove out the Germans concealed in the vast forest</w:t>
      </w:r>
      <w:r w:rsidR="0048211C">
        <w:rPr>
          <w:sz w:val="24"/>
          <w:szCs w:val="24"/>
        </w:rPr>
        <w:t>.</w:t>
      </w:r>
      <w:r w:rsidR="00F24A88">
        <w:rPr>
          <w:sz w:val="24"/>
          <w:szCs w:val="24"/>
        </w:rPr>
        <w:t>’</w:t>
      </w:r>
      <w:r w:rsidRPr="00E044FE">
        <w:rPr>
          <w:sz w:val="24"/>
          <w:szCs w:val="24"/>
          <w:vertAlign w:val="superscript"/>
        </w:rPr>
        <w:footnoteReference w:id="12"/>
      </w:r>
      <w:r w:rsidR="0048211C">
        <w:rPr>
          <w:sz w:val="24"/>
          <w:szCs w:val="24"/>
        </w:rPr>
        <w:t xml:space="preserve"> Although Henry</w:t>
      </w:r>
      <w:r w:rsidR="0024736E">
        <w:rPr>
          <w:sz w:val="24"/>
          <w:szCs w:val="24"/>
        </w:rPr>
        <w:t>’</w:t>
      </w:r>
      <w:r w:rsidR="0048211C">
        <w:rPr>
          <w:sz w:val="24"/>
          <w:szCs w:val="24"/>
        </w:rPr>
        <w:t>s reign may have benefitted from the earlier accomplishments of previous monarchs, it</w:t>
      </w:r>
      <w:r w:rsidRPr="00E044FE">
        <w:rPr>
          <w:sz w:val="24"/>
          <w:szCs w:val="24"/>
        </w:rPr>
        <w:t xml:space="preserve"> does not change the fact that by 1106 Henry had defeated his brother</w:t>
      </w:r>
      <w:r w:rsidR="0024736E">
        <w:rPr>
          <w:sz w:val="24"/>
          <w:szCs w:val="24"/>
        </w:rPr>
        <w:t>,</w:t>
      </w:r>
      <w:r w:rsidRPr="00E044FE">
        <w:rPr>
          <w:sz w:val="24"/>
          <w:szCs w:val="24"/>
        </w:rPr>
        <w:t xml:space="preserve"> Robert Curthose</w:t>
      </w:r>
      <w:r w:rsidR="0024736E">
        <w:rPr>
          <w:sz w:val="24"/>
          <w:szCs w:val="24"/>
        </w:rPr>
        <w:t>,</w:t>
      </w:r>
      <w:r w:rsidRPr="00E044FE">
        <w:rPr>
          <w:sz w:val="24"/>
          <w:szCs w:val="24"/>
        </w:rPr>
        <w:t xml:space="preserve"> in battle at </w:t>
      </w:r>
      <w:proofErr w:type="spellStart"/>
      <w:r w:rsidRPr="00E044FE">
        <w:rPr>
          <w:sz w:val="24"/>
          <w:szCs w:val="24"/>
        </w:rPr>
        <w:t>Tinchebra</w:t>
      </w:r>
      <w:r>
        <w:rPr>
          <w:sz w:val="24"/>
          <w:szCs w:val="24"/>
        </w:rPr>
        <w:t>i</w:t>
      </w:r>
      <w:proofErr w:type="spellEnd"/>
      <w:r w:rsidRPr="00E044FE">
        <w:rPr>
          <w:sz w:val="24"/>
          <w:szCs w:val="24"/>
        </w:rPr>
        <w:t xml:space="preserve"> before imprisoning him for the remainder of his life. He then took Normandy for himself, therefore securing England’s southern border against attack</w:t>
      </w:r>
      <w:r w:rsidR="0048211C">
        <w:rPr>
          <w:sz w:val="24"/>
          <w:szCs w:val="24"/>
        </w:rPr>
        <w:t xml:space="preserve"> and</w:t>
      </w:r>
      <w:r w:rsidRPr="00E044FE">
        <w:rPr>
          <w:sz w:val="24"/>
          <w:szCs w:val="24"/>
        </w:rPr>
        <w:t xml:space="preserve"> further maintaining peace.</w:t>
      </w:r>
      <w:r w:rsidRPr="00E044FE">
        <w:rPr>
          <w:sz w:val="24"/>
          <w:szCs w:val="24"/>
          <w:vertAlign w:val="superscript"/>
        </w:rPr>
        <w:footnoteReference w:id="13"/>
      </w:r>
      <w:r w:rsidRPr="00E044FE">
        <w:rPr>
          <w:sz w:val="24"/>
          <w:szCs w:val="24"/>
        </w:rPr>
        <w:t xml:space="preserve"> The securing of Normandy for himself did; however, cause some issues </w:t>
      </w:r>
      <w:r w:rsidR="0048211C">
        <w:rPr>
          <w:sz w:val="24"/>
          <w:szCs w:val="24"/>
        </w:rPr>
        <w:t>primarily</w:t>
      </w:r>
      <w:r w:rsidRPr="00E044FE">
        <w:rPr>
          <w:sz w:val="24"/>
          <w:szCs w:val="24"/>
        </w:rPr>
        <w:t xml:space="preserve"> that</w:t>
      </w:r>
      <w:r w:rsidR="00C72D43">
        <w:rPr>
          <w:sz w:val="24"/>
          <w:szCs w:val="24"/>
        </w:rPr>
        <w:t>,</w:t>
      </w:r>
      <w:r w:rsidRPr="00E044FE">
        <w:rPr>
          <w:sz w:val="24"/>
          <w:szCs w:val="24"/>
        </w:rPr>
        <w:t xml:space="preserve"> many of his barons in England were also landowners in Normandy, Henrys exploits caused political unrest in England and caused many aristocrats to lose land.</w:t>
      </w:r>
      <w:r w:rsidRPr="00E044FE">
        <w:rPr>
          <w:sz w:val="24"/>
          <w:szCs w:val="24"/>
          <w:vertAlign w:val="superscript"/>
        </w:rPr>
        <w:footnoteReference w:id="14"/>
      </w:r>
      <w:r w:rsidR="000C3495">
        <w:rPr>
          <w:sz w:val="24"/>
          <w:szCs w:val="24"/>
        </w:rPr>
        <w:t xml:space="preserve"> Although some political chaos may have been caused due to Henry’s ambitions in Normandy the securing of the southern border was an integral part of Henry’s peace strategy. </w:t>
      </w:r>
    </w:p>
    <w:p w14:paraId="1D66E468" w14:textId="5AD2772B" w:rsidR="00FB4DE0" w:rsidRDefault="005B094C" w:rsidP="000D3621">
      <w:pPr>
        <w:rPr>
          <w:sz w:val="24"/>
          <w:szCs w:val="24"/>
        </w:rPr>
      </w:pPr>
      <w:r>
        <w:rPr>
          <w:sz w:val="24"/>
          <w:szCs w:val="24"/>
        </w:rPr>
        <w:t>One of the most significant developments in the reign of Henry was the creation of the exchequer, the system by which all money in the country was counted out and recorded twice a year, once at Easter and once at Michaelmas. The process was overseen by Bishop Roger of Salisbury who had been appointed the first ever chief justiciar.</w:t>
      </w:r>
      <w:r>
        <w:rPr>
          <w:rStyle w:val="FootnoteReference"/>
          <w:sz w:val="24"/>
          <w:szCs w:val="24"/>
        </w:rPr>
        <w:footnoteReference w:id="15"/>
      </w:r>
      <w:r>
        <w:rPr>
          <w:sz w:val="24"/>
          <w:szCs w:val="24"/>
        </w:rPr>
        <w:t xml:space="preserve"> </w:t>
      </w:r>
      <w:r w:rsidR="003632E8">
        <w:rPr>
          <w:sz w:val="24"/>
          <w:szCs w:val="24"/>
        </w:rPr>
        <w:t>Bishop Roger was Henry’s chief advisor, Henry was almost totally dependent upon him and</w:t>
      </w:r>
      <w:r w:rsidR="00DC5C6D">
        <w:rPr>
          <w:sz w:val="24"/>
          <w:szCs w:val="24"/>
        </w:rPr>
        <w:t>,</w:t>
      </w:r>
      <w:r w:rsidR="003632E8">
        <w:rPr>
          <w:sz w:val="24"/>
          <w:szCs w:val="24"/>
        </w:rPr>
        <w:t xml:space="preserve"> Bishop Roger acted as viceroy in England during the kings extensive and frequent trips to Normandy.</w:t>
      </w:r>
      <w:r w:rsidR="003632E8">
        <w:rPr>
          <w:rStyle w:val="FootnoteReference"/>
          <w:sz w:val="24"/>
          <w:szCs w:val="24"/>
        </w:rPr>
        <w:footnoteReference w:id="16"/>
      </w:r>
      <w:r w:rsidR="003632E8">
        <w:rPr>
          <w:sz w:val="24"/>
          <w:szCs w:val="24"/>
        </w:rPr>
        <w:t xml:space="preserve"> </w:t>
      </w:r>
      <w:r>
        <w:rPr>
          <w:sz w:val="24"/>
          <w:szCs w:val="24"/>
        </w:rPr>
        <w:t>The importance of this development is debatable</w:t>
      </w:r>
      <w:r w:rsidR="001835F7">
        <w:rPr>
          <w:sz w:val="24"/>
          <w:szCs w:val="24"/>
        </w:rPr>
        <w:t>, although the word exchequer derives from the chequered cloth used for the first time in Henrys reign</w:t>
      </w:r>
      <w:r w:rsidR="00DC5C6D">
        <w:rPr>
          <w:sz w:val="24"/>
          <w:szCs w:val="24"/>
        </w:rPr>
        <w:t>,</w:t>
      </w:r>
      <w:r w:rsidR="001835F7">
        <w:rPr>
          <w:sz w:val="24"/>
          <w:szCs w:val="24"/>
        </w:rPr>
        <w:t xml:space="preserve"> this does not necessarily mean </w:t>
      </w:r>
      <w:r w:rsidR="003A205D">
        <w:rPr>
          <w:sz w:val="24"/>
          <w:szCs w:val="24"/>
        </w:rPr>
        <w:t>t</w:t>
      </w:r>
      <w:r w:rsidR="001835F7">
        <w:rPr>
          <w:sz w:val="24"/>
          <w:szCs w:val="24"/>
        </w:rPr>
        <w:t>hat the whole system was created simultaneously. The exchequer had been referred to</w:t>
      </w:r>
      <w:r w:rsidR="003A205D">
        <w:rPr>
          <w:sz w:val="24"/>
          <w:szCs w:val="24"/>
        </w:rPr>
        <w:t xml:space="preserve"> in the courts of William I and</w:t>
      </w:r>
      <w:r w:rsidR="00A31BF4">
        <w:rPr>
          <w:sz w:val="24"/>
          <w:szCs w:val="24"/>
        </w:rPr>
        <w:t xml:space="preserve"> William</w:t>
      </w:r>
      <w:r w:rsidR="003A205D">
        <w:rPr>
          <w:sz w:val="24"/>
          <w:szCs w:val="24"/>
        </w:rPr>
        <w:t xml:space="preserve"> II</w:t>
      </w:r>
      <w:r w:rsidR="001835F7">
        <w:rPr>
          <w:sz w:val="24"/>
          <w:szCs w:val="24"/>
        </w:rPr>
        <w:t xml:space="preserve"> as ‘at the tallies’,</w:t>
      </w:r>
      <w:r w:rsidR="001835F7">
        <w:rPr>
          <w:rStyle w:val="FootnoteReference"/>
          <w:sz w:val="24"/>
          <w:szCs w:val="24"/>
        </w:rPr>
        <w:footnoteReference w:id="17"/>
      </w:r>
      <w:r>
        <w:rPr>
          <w:sz w:val="24"/>
          <w:szCs w:val="24"/>
        </w:rPr>
        <w:t xml:space="preserve"> </w:t>
      </w:r>
      <w:r w:rsidR="001835F7">
        <w:rPr>
          <w:sz w:val="24"/>
          <w:szCs w:val="24"/>
        </w:rPr>
        <w:t xml:space="preserve">and from 991 a sophisticated </w:t>
      </w:r>
      <w:r w:rsidR="001835F7">
        <w:rPr>
          <w:sz w:val="24"/>
          <w:szCs w:val="24"/>
        </w:rPr>
        <w:lastRenderedPageBreak/>
        <w:t>tax system must already have been in place</w:t>
      </w:r>
      <w:r w:rsidR="003A205D">
        <w:rPr>
          <w:sz w:val="24"/>
          <w:szCs w:val="24"/>
        </w:rPr>
        <w:t xml:space="preserve"> or</w:t>
      </w:r>
      <w:r w:rsidR="000C3495">
        <w:rPr>
          <w:sz w:val="24"/>
          <w:szCs w:val="24"/>
        </w:rPr>
        <w:t>,</w:t>
      </w:r>
      <w:r w:rsidR="003A205D">
        <w:rPr>
          <w:sz w:val="24"/>
          <w:szCs w:val="24"/>
        </w:rPr>
        <w:t xml:space="preserve"> had to be established</w:t>
      </w:r>
      <w:r w:rsidR="000C3495">
        <w:rPr>
          <w:sz w:val="24"/>
          <w:szCs w:val="24"/>
        </w:rPr>
        <w:t>,</w:t>
      </w:r>
      <w:r w:rsidR="001835F7">
        <w:rPr>
          <w:sz w:val="24"/>
          <w:szCs w:val="24"/>
        </w:rPr>
        <w:t xml:space="preserve"> in order to pay the Danegeld.</w:t>
      </w:r>
      <w:r w:rsidR="001835F7">
        <w:rPr>
          <w:rStyle w:val="FootnoteReference"/>
          <w:sz w:val="24"/>
          <w:szCs w:val="24"/>
        </w:rPr>
        <w:footnoteReference w:id="18"/>
      </w:r>
      <w:r>
        <w:rPr>
          <w:sz w:val="24"/>
          <w:szCs w:val="24"/>
        </w:rPr>
        <w:t xml:space="preserve"> </w:t>
      </w:r>
      <w:r w:rsidR="002D2292">
        <w:rPr>
          <w:sz w:val="24"/>
          <w:szCs w:val="24"/>
        </w:rPr>
        <w:t xml:space="preserve">Richardson and Sayles define the </w:t>
      </w:r>
      <w:r w:rsidR="00806C22">
        <w:rPr>
          <w:sz w:val="24"/>
          <w:szCs w:val="24"/>
        </w:rPr>
        <w:t xml:space="preserve">creation of the exchequer as the point at which two treasurers had to be operating simultaneously, one in Normandy and one in England. This is </w:t>
      </w:r>
      <w:proofErr w:type="gramStart"/>
      <w:r w:rsidR="00806C22">
        <w:rPr>
          <w:sz w:val="24"/>
          <w:szCs w:val="24"/>
        </w:rPr>
        <w:t>due to the fact that</w:t>
      </w:r>
      <w:proofErr w:type="gramEnd"/>
      <w:r w:rsidR="000C3495">
        <w:rPr>
          <w:sz w:val="24"/>
          <w:szCs w:val="24"/>
        </w:rPr>
        <w:t xml:space="preserve">, </w:t>
      </w:r>
      <w:r w:rsidR="00806C22">
        <w:rPr>
          <w:sz w:val="24"/>
          <w:szCs w:val="24"/>
        </w:rPr>
        <w:t xml:space="preserve">the treasury needed to be overseen on both sides of the channel and therefore the treasurers could no longer be considered full members of the royal household, rather their new status signalled the creation of the first </w:t>
      </w:r>
      <w:r w:rsidR="000C3495">
        <w:rPr>
          <w:sz w:val="24"/>
          <w:szCs w:val="24"/>
        </w:rPr>
        <w:t xml:space="preserve">ever </w:t>
      </w:r>
      <w:r w:rsidR="00806C22">
        <w:rPr>
          <w:sz w:val="24"/>
          <w:szCs w:val="24"/>
        </w:rPr>
        <w:t>governmental department.</w:t>
      </w:r>
      <w:r w:rsidR="00806C22">
        <w:rPr>
          <w:rStyle w:val="FootnoteReference"/>
          <w:sz w:val="24"/>
          <w:szCs w:val="24"/>
        </w:rPr>
        <w:footnoteReference w:id="19"/>
      </w:r>
      <w:r w:rsidR="00806C22">
        <w:rPr>
          <w:sz w:val="24"/>
          <w:szCs w:val="24"/>
        </w:rPr>
        <w:t xml:space="preserve"> This theory would place the creation of the exchequer in the immediate aftermath if the conquest. </w:t>
      </w:r>
      <w:r w:rsidR="00FC4D8E">
        <w:rPr>
          <w:sz w:val="24"/>
          <w:szCs w:val="24"/>
        </w:rPr>
        <w:t>They also stress the issue that the treasury and the exchequer are two separate entities and</w:t>
      </w:r>
      <w:r w:rsidR="009A5E4A">
        <w:rPr>
          <w:sz w:val="24"/>
          <w:szCs w:val="24"/>
        </w:rPr>
        <w:t>,</w:t>
      </w:r>
      <w:r w:rsidR="00FC4D8E">
        <w:rPr>
          <w:sz w:val="24"/>
          <w:szCs w:val="24"/>
        </w:rPr>
        <w:t xml:space="preserve"> that over time the treasury bec</w:t>
      </w:r>
      <w:r w:rsidR="00A31BF4">
        <w:rPr>
          <w:sz w:val="24"/>
          <w:szCs w:val="24"/>
        </w:rPr>
        <w:t>a</w:t>
      </w:r>
      <w:r w:rsidR="00FC4D8E">
        <w:rPr>
          <w:sz w:val="24"/>
          <w:szCs w:val="24"/>
        </w:rPr>
        <w:t>me absorbed into the exchequer, but still remain</w:t>
      </w:r>
      <w:r w:rsidR="00A31BF4">
        <w:rPr>
          <w:sz w:val="24"/>
          <w:szCs w:val="24"/>
        </w:rPr>
        <w:t>ed</w:t>
      </w:r>
      <w:r w:rsidR="00FC4D8E">
        <w:rPr>
          <w:sz w:val="24"/>
          <w:szCs w:val="24"/>
        </w:rPr>
        <w:t xml:space="preserve"> a separate entity within it.</w:t>
      </w:r>
      <w:r w:rsidR="00FC4D8E">
        <w:rPr>
          <w:rStyle w:val="FootnoteReference"/>
          <w:sz w:val="24"/>
          <w:szCs w:val="24"/>
        </w:rPr>
        <w:footnoteReference w:id="20"/>
      </w:r>
      <w:r w:rsidR="009A5E4A">
        <w:rPr>
          <w:sz w:val="24"/>
          <w:szCs w:val="24"/>
        </w:rPr>
        <w:t xml:space="preserve"> These opinions would support the theory that, the only contribution to the creation of the exchequer during the reign of Henry I was the chequered cloth from which it </w:t>
      </w:r>
      <w:r w:rsidR="000C3495">
        <w:rPr>
          <w:sz w:val="24"/>
          <w:szCs w:val="24"/>
        </w:rPr>
        <w:t>took its</w:t>
      </w:r>
      <w:r w:rsidR="009A5E4A">
        <w:rPr>
          <w:sz w:val="24"/>
          <w:szCs w:val="24"/>
        </w:rPr>
        <w:t xml:space="preserve"> named. Poole, however; credits the creation of the exchequer to Bishop Roger of Salisbury</w:t>
      </w:r>
      <w:r w:rsidR="00606A00">
        <w:rPr>
          <w:sz w:val="24"/>
          <w:szCs w:val="24"/>
        </w:rPr>
        <w:t>.</w:t>
      </w:r>
      <w:r w:rsidR="00606A00">
        <w:rPr>
          <w:rStyle w:val="FootnoteReference"/>
          <w:sz w:val="24"/>
          <w:szCs w:val="24"/>
        </w:rPr>
        <w:footnoteReference w:id="21"/>
      </w:r>
      <w:r w:rsidR="00606A00">
        <w:rPr>
          <w:sz w:val="24"/>
          <w:szCs w:val="24"/>
        </w:rPr>
        <w:t xml:space="preserve"> His argument continues with the theory that the institution of the exchequer coincides precisely with the introduction of the abacus into the treasury and, was also influenced by the mathematician and court employee </w:t>
      </w:r>
      <w:proofErr w:type="spellStart"/>
      <w:r w:rsidR="00606A00">
        <w:rPr>
          <w:sz w:val="24"/>
          <w:szCs w:val="24"/>
        </w:rPr>
        <w:t>Adelard</w:t>
      </w:r>
      <w:proofErr w:type="spellEnd"/>
      <w:r w:rsidR="00606A00">
        <w:rPr>
          <w:sz w:val="24"/>
          <w:szCs w:val="24"/>
        </w:rPr>
        <w:t xml:space="preserve"> of Bath. </w:t>
      </w:r>
      <w:r w:rsidR="004D1393">
        <w:rPr>
          <w:sz w:val="24"/>
          <w:szCs w:val="24"/>
        </w:rPr>
        <w:t>Poole continues on to state that the exchequers in Normandy and England developed simultaneously during the reign of Henry through the association of Bishop Roger of Salisbury and Bishop John of Lisieux. Bishop John was trained in England before becoming head of the exchequer in Normandy.</w:t>
      </w:r>
      <w:r w:rsidR="004D1393">
        <w:rPr>
          <w:rStyle w:val="FootnoteReference"/>
          <w:sz w:val="24"/>
          <w:szCs w:val="24"/>
        </w:rPr>
        <w:footnoteReference w:id="22"/>
      </w:r>
      <w:r w:rsidR="004D1393">
        <w:rPr>
          <w:sz w:val="24"/>
          <w:szCs w:val="24"/>
        </w:rPr>
        <w:t xml:space="preserve"> </w:t>
      </w:r>
      <w:r w:rsidR="00690173">
        <w:rPr>
          <w:sz w:val="24"/>
          <w:szCs w:val="24"/>
        </w:rPr>
        <w:t>Although both of these theories are plausible, neither of them credit Henry with any direct influence over the institution of the exchequer, whichever theory is to be believed would place the creation of the exchequer either as a direct consequence of the conquest or</w:t>
      </w:r>
      <w:r w:rsidR="00A31BF4">
        <w:rPr>
          <w:sz w:val="24"/>
          <w:szCs w:val="24"/>
        </w:rPr>
        <w:t>,</w:t>
      </w:r>
      <w:r w:rsidR="00690173">
        <w:rPr>
          <w:sz w:val="24"/>
          <w:szCs w:val="24"/>
        </w:rPr>
        <w:t xml:space="preserve"> as the result of Roger of Salisbury’s intelligence and innovation.</w:t>
      </w:r>
      <w:r w:rsidR="00FB4DE0">
        <w:rPr>
          <w:sz w:val="24"/>
          <w:szCs w:val="24"/>
        </w:rPr>
        <w:t xml:space="preserve"> This idea is supported by Kealey’s statement about Henry’s governmental contributions, ‘governmental success in Henry’s reign was largely the achievement of his carefully chosen ministers.’</w:t>
      </w:r>
      <w:r w:rsidR="00FB4DE0">
        <w:rPr>
          <w:rStyle w:val="FootnoteReference"/>
          <w:sz w:val="24"/>
          <w:szCs w:val="24"/>
        </w:rPr>
        <w:footnoteReference w:id="23"/>
      </w:r>
      <w:r w:rsidR="00690173">
        <w:rPr>
          <w:sz w:val="24"/>
          <w:szCs w:val="24"/>
        </w:rPr>
        <w:t xml:space="preserve"> </w:t>
      </w:r>
    </w:p>
    <w:p w14:paraId="075829EA" w14:textId="2EA7092B" w:rsidR="00D256C9" w:rsidRDefault="00D95AAF" w:rsidP="000D3621">
      <w:pPr>
        <w:rPr>
          <w:sz w:val="24"/>
          <w:szCs w:val="24"/>
        </w:rPr>
      </w:pPr>
      <w:r>
        <w:rPr>
          <w:sz w:val="24"/>
          <w:szCs w:val="24"/>
        </w:rPr>
        <w:t>In conclusion,</w:t>
      </w:r>
      <w:r w:rsidR="00BA0A2C">
        <w:rPr>
          <w:sz w:val="24"/>
          <w:szCs w:val="24"/>
        </w:rPr>
        <w:t xml:space="preserve"> Henry’s reign did see many changes in the social, and political arenas of English society. However, this essay has shown that the financial reforms often attributed to Henry’s reign have perhaps been wrongly attributed. It is very likely that the only contribution to the creation of the exchequer was the</w:t>
      </w:r>
      <w:r w:rsidR="00FC063B">
        <w:rPr>
          <w:sz w:val="24"/>
          <w:szCs w:val="24"/>
        </w:rPr>
        <w:t xml:space="preserve"> chequered cloth and the name, therefore Henry’s reign did not signify a turning point in the financial aspects of English society. The political reforms brought in, not only during </w:t>
      </w:r>
      <w:proofErr w:type="spellStart"/>
      <w:r w:rsidR="00FC063B">
        <w:rPr>
          <w:sz w:val="24"/>
          <w:szCs w:val="24"/>
        </w:rPr>
        <w:t>Herny’s</w:t>
      </w:r>
      <w:proofErr w:type="spellEnd"/>
      <w:r w:rsidR="00FC063B">
        <w:rPr>
          <w:sz w:val="24"/>
          <w:szCs w:val="24"/>
        </w:rPr>
        <w:t xml:space="preserve"> reign but by Henry himself, however; do indicate a turning point. Although, as indicated by Cannon, Henry’s charter may not have been revolutionary and</w:t>
      </w:r>
      <w:r w:rsidR="009D3190">
        <w:rPr>
          <w:sz w:val="24"/>
          <w:szCs w:val="24"/>
        </w:rPr>
        <w:t xml:space="preserve"> was</w:t>
      </w:r>
      <w:r w:rsidR="00FC063B">
        <w:rPr>
          <w:sz w:val="24"/>
          <w:szCs w:val="24"/>
        </w:rPr>
        <w:t xml:space="preserve"> not the only document responsible for influencing the creation of the </w:t>
      </w:r>
      <w:r w:rsidR="00FC063B">
        <w:rPr>
          <w:i/>
          <w:sz w:val="24"/>
          <w:szCs w:val="24"/>
        </w:rPr>
        <w:t>magna carta</w:t>
      </w:r>
      <w:r w:rsidR="009D3190">
        <w:rPr>
          <w:i/>
          <w:sz w:val="24"/>
          <w:szCs w:val="24"/>
        </w:rPr>
        <w:t xml:space="preserve">, </w:t>
      </w:r>
      <w:r w:rsidR="009D3190">
        <w:rPr>
          <w:sz w:val="24"/>
          <w:szCs w:val="24"/>
        </w:rPr>
        <w:t xml:space="preserve">it did set a precedent in law for future generations to build on. The political changes which took place in Henry’s court with regards to his reforms of the actions of the </w:t>
      </w:r>
      <w:r w:rsidR="009D3190">
        <w:rPr>
          <w:i/>
          <w:sz w:val="24"/>
          <w:szCs w:val="24"/>
        </w:rPr>
        <w:t xml:space="preserve">curia </w:t>
      </w:r>
      <w:proofErr w:type="spellStart"/>
      <w:r w:rsidR="009D3190">
        <w:rPr>
          <w:i/>
          <w:sz w:val="24"/>
          <w:szCs w:val="24"/>
        </w:rPr>
        <w:t>regis</w:t>
      </w:r>
      <w:proofErr w:type="spellEnd"/>
      <w:r w:rsidR="009D3190">
        <w:rPr>
          <w:i/>
          <w:sz w:val="24"/>
          <w:szCs w:val="24"/>
        </w:rPr>
        <w:t xml:space="preserve"> </w:t>
      </w:r>
      <w:r w:rsidR="009D3190">
        <w:rPr>
          <w:sz w:val="24"/>
          <w:szCs w:val="24"/>
        </w:rPr>
        <w:t xml:space="preserve">also set a precedent, not only did he fully </w:t>
      </w:r>
      <w:r w:rsidR="009D3190">
        <w:rPr>
          <w:sz w:val="24"/>
          <w:szCs w:val="24"/>
        </w:rPr>
        <w:lastRenderedPageBreak/>
        <w:t xml:space="preserve">establish himself as a forceful and effective </w:t>
      </w:r>
      <w:r w:rsidR="002D1EF5">
        <w:rPr>
          <w:sz w:val="24"/>
          <w:szCs w:val="24"/>
        </w:rPr>
        <w:t>leader,</w:t>
      </w:r>
      <w:r w:rsidR="009D3190">
        <w:rPr>
          <w:sz w:val="24"/>
          <w:szCs w:val="24"/>
        </w:rPr>
        <w:t xml:space="preserve"> but he also established a code of conduct by which the nobility </w:t>
      </w:r>
      <w:r w:rsidR="002D1EF5">
        <w:rPr>
          <w:sz w:val="24"/>
          <w:szCs w:val="24"/>
        </w:rPr>
        <w:t>was</w:t>
      </w:r>
      <w:r w:rsidR="009D3190">
        <w:rPr>
          <w:sz w:val="24"/>
          <w:szCs w:val="24"/>
        </w:rPr>
        <w:t xml:space="preserve"> to live. </w:t>
      </w:r>
      <w:r w:rsidR="002D1EF5">
        <w:rPr>
          <w:sz w:val="24"/>
          <w:szCs w:val="24"/>
        </w:rPr>
        <w:t>The biggest change to have taken place during Henry’s reign was social, not only did Henry give the church freedom to act as they wished, which would have influenced the mass population, as the main influence in a medieval person’s life was the church, but he created a lasting peace. For the population of England to have experienced thirty-three years of peace must have been extraordinary</w:t>
      </w:r>
      <w:r w:rsidR="00B55884">
        <w:rPr>
          <w:sz w:val="24"/>
          <w:szCs w:val="24"/>
        </w:rPr>
        <w:t>,</w:t>
      </w:r>
      <w:r w:rsidR="002D1EF5">
        <w:rPr>
          <w:sz w:val="24"/>
          <w:szCs w:val="24"/>
        </w:rPr>
        <w:t xml:space="preserve"> the sense of security felt by the</w:t>
      </w:r>
      <w:r w:rsidR="00B55884">
        <w:rPr>
          <w:sz w:val="24"/>
          <w:szCs w:val="24"/>
        </w:rPr>
        <w:t xml:space="preserve"> </w:t>
      </w:r>
      <w:proofErr w:type="gramStart"/>
      <w:r w:rsidR="00B55884">
        <w:rPr>
          <w:sz w:val="24"/>
          <w:szCs w:val="24"/>
        </w:rPr>
        <w:t>vast majority</w:t>
      </w:r>
      <w:proofErr w:type="gramEnd"/>
      <w:r w:rsidR="00B55884">
        <w:rPr>
          <w:sz w:val="24"/>
          <w:szCs w:val="24"/>
        </w:rPr>
        <w:t xml:space="preserve"> of people would have been unprecedented. Ironically for a king who was so dedicated to peace, it was his behaviour which created a brutal civil war which tore the country apart, in this way Henry’s reign was a massive turning point, to go from peace lasting decades to a bloody civil war would certainly have hit society hard at all levels. Had Henry, a notorious adulterer, spent less time producing illegitimate offspring and more time with his wives</w:t>
      </w:r>
      <w:r w:rsidR="00DB682A">
        <w:rPr>
          <w:sz w:val="24"/>
          <w:szCs w:val="24"/>
        </w:rPr>
        <w:t>,</w:t>
      </w:r>
      <w:r w:rsidR="00B55884">
        <w:rPr>
          <w:sz w:val="24"/>
          <w:szCs w:val="24"/>
        </w:rPr>
        <w:t xml:space="preserve"> he may well have produced a second male heir to replace his eldest son</w:t>
      </w:r>
      <w:r w:rsidR="00DC5C6D">
        <w:rPr>
          <w:sz w:val="24"/>
          <w:szCs w:val="24"/>
        </w:rPr>
        <w:t>,</w:t>
      </w:r>
      <w:r w:rsidR="00B55884">
        <w:rPr>
          <w:sz w:val="24"/>
          <w:szCs w:val="24"/>
        </w:rPr>
        <w:t xml:space="preserve"> after his tragic death</w:t>
      </w:r>
      <w:r w:rsidR="00DC5C6D">
        <w:rPr>
          <w:sz w:val="24"/>
          <w:szCs w:val="24"/>
        </w:rPr>
        <w:t>,</w:t>
      </w:r>
      <w:r w:rsidR="00B55884">
        <w:rPr>
          <w:sz w:val="24"/>
          <w:szCs w:val="24"/>
        </w:rPr>
        <w:t xml:space="preserve"> and the war </w:t>
      </w:r>
      <w:r w:rsidR="00DC5C6D">
        <w:rPr>
          <w:sz w:val="24"/>
          <w:szCs w:val="24"/>
        </w:rPr>
        <w:t>c</w:t>
      </w:r>
      <w:r w:rsidR="00B55884">
        <w:rPr>
          <w:sz w:val="24"/>
          <w:szCs w:val="24"/>
        </w:rPr>
        <w:t>ould have been avoided. When all the facts in this essay are considered,</w:t>
      </w:r>
      <w:r w:rsidR="00B82AD1">
        <w:rPr>
          <w:sz w:val="24"/>
          <w:szCs w:val="24"/>
        </w:rPr>
        <w:t xml:space="preserve"> the answer to the question posed is,</w:t>
      </w:r>
      <w:r w:rsidR="00B55884">
        <w:rPr>
          <w:sz w:val="24"/>
          <w:szCs w:val="24"/>
        </w:rPr>
        <w:t xml:space="preserve"> although Henry’s reign was a time of reform and change, it did not amount to a turning point, and the massive effect of </w:t>
      </w:r>
      <w:r w:rsidR="00DB682A">
        <w:rPr>
          <w:sz w:val="24"/>
          <w:szCs w:val="24"/>
        </w:rPr>
        <w:t>the civil war did not happen until long after his death.</w:t>
      </w:r>
      <w:r w:rsidR="002D1EF5">
        <w:rPr>
          <w:sz w:val="24"/>
          <w:szCs w:val="24"/>
        </w:rPr>
        <w:t xml:space="preserve"> </w:t>
      </w:r>
    </w:p>
    <w:p w14:paraId="04006C5F" w14:textId="77777777" w:rsidR="00D256C9" w:rsidRDefault="00D256C9" w:rsidP="000D3621">
      <w:pPr>
        <w:rPr>
          <w:sz w:val="24"/>
          <w:szCs w:val="24"/>
        </w:rPr>
      </w:pPr>
    </w:p>
    <w:p w14:paraId="5751807B" w14:textId="31A294FC" w:rsidR="00D256C9" w:rsidRDefault="00D256C9" w:rsidP="00D256C9">
      <w:pPr>
        <w:rPr>
          <w:sz w:val="24"/>
          <w:szCs w:val="24"/>
          <w:u w:val="single"/>
        </w:rPr>
      </w:pPr>
      <w:r>
        <w:rPr>
          <w:sz w:val="24"/>
          <w:szCs w:val="24"/>
          <w:u w:val="single"/>
        </w:rPr>
        <w:t>Bibliography</w:t>
      </w:r>
    </w:p>
    <w:p w14:paraId="4147D922" w14:textId="59BF6AF8" w:rsidR="00DC5C6D" w:rsidRDefault="00DC5C6D" w:rsidP="00DC5C6D">
      <w:pPr>
        <w:rPr>
          <w:sz w:val="24"/>
          <w:szCs w:val="24"/>
        </w:rPr>
      </w:pPr>
      <w:r w:rsidRPr="00DC5C6D">
        <w:rPr>
          <w:sz w:val="24"/>
          <w:szCs w:val="24"/>
        </w:rPr>
        <w:t>Charter of Liberties of Henry I, 1100</w:t>
      </w:r>
    </w:p>
    <w:p w14:paraId="1F779BF7" w14:textId="3E50F9FF" w:rsidR="00DC5C6D" w:rsidRPr="00DC5C6D" w:rsidRDefault="00DC5C6D" w:rsidP="00DC5C6D">
      <w:pPr>
        <w:rPr>
          <w:sz w:val="24"/>
          <w:szCs w:val="24"/>
        </w:rPr>
      </w:pPr>
      <w:proofErr w:type="spellStart"/>
      <w:r w:rsidRPr="00DC5C6D">
        <w:rPr>
          <w:i/>
          <w:iCs/>
          <w:sz w:val="24"/>
          <w:szCs w:val="24"/>
        </w:rPr>
        <w:t>Leges</w:t>
      </w:r>
      <w:proofErr w:type="spellEnd"/>
      <w:r w:rsidRPr="00DC5C6D">
        <w:rPr>
          <w:i/>
          <w:iCs/>
          <w:sz w:val="24"/>
          <w:szCs w:val="24"/>
        </w:rPr>
        <w:t xml:space="preserve"> Henrici </w:t>
      </w:r>
      <w:proofErr w:type="spellStart"/>
      <w:r w:rsidRPr="00DC5C6D">
        <w:rPr>
          <w:i/>
          <w:iCs/>
          <w:sz w:val="24"/>
          <w:szCs w:val="24"/>
        </w:rPr>
        <w:t>Primi</w:t>
      </w:r>
      <w:proofErr w:type="spellEnd"/>
      <w:r w:rsidRPr="00DC5C6D">
        <w:rPr>
          <w:i/>
          <w:iCs/>
          <w:sz w:val="24"/>
          <w:szCs w:val="24"/>
        </w:rPr>
        <w:t xml:space="preserve"> </w:t>
      </w:r>
      <w:r w:rsidRPr="00DC5C6D">
        <w:rPr>
          <w:sz w:val="24"/>
          <w:szCs w:val="24"/>
        </w:rPr>
        <w:t xml:space="preserve">(Oxford: Clarendon press. 1972) </w:t>
      </w:r>
    </w:p>
    <w:p w14:paraId="453A4A28" w14:textId="5BCC35B8" w:rsidR="00DC5C6D" w:rsidRPr="00DC5C6D" w:rsidRDefault="00DC5C6D" w:rsidP="00D256C9">
      <w:pPr>
        <w:rPr>
          <w:sz w:val="24"/>
          <w:szCs w:val="24"/>
        </w:rPr>
      </w:pPr>
      <w:r w:rsidRPr="00DC5C6D">
        <w:rPr>
          <w:sz w:val="24"/>
          <w:szCs w:val="24"/>
        </w:rPr>
        <w:t xml:space="preserve">William of </w:t>
      </w:r>
      <w:proofErr w:type="spellStart"/>
      <w:r w:rsidRPr="00DC5C6D">
        <w:rPr>
          <w:sz w:val="24"/>
          <w:szCs w:val="24"/>
        </w:rPr>
        <w:t>Malmesbury</w:t>
      </w:r>
      <w:proofErr w:type="spellEnd"/>
      <w:r w:rsidRPr="00DC5C6D">
        <w:rPr>
          <w:sz w:val="24"/>
          <w:szCs w:val="24"/>
        </w:rPr>
        <w:t xml:space="preserve">., </w:t>
      </w:r>
      <w:r w:rsidRPr="00DC5C6D">
        <w:rPr>
          <w:i/>
          <w:iCs/>
          <w:sz w:val="24"/>
          <w:szCs w:val="24"/>
        </w:rPr>
        <w:t xml:space="preserve">A History of the Norman Kings (1066-1125). </w:t>
      </w:r>
      <w:r w:rsidRPr="00DC5C6D">
        <w:rPr>
          <w:iCs/>
          <w:sz w:val="24"/>
          <w:szCs w:val="24"/>
        </w:rPr>
        <w:t>(</w:t>
      </w:r>
      <w:r w:rsidRPr="00DC5C6D">
        <w:rPr>
          <w:sz w:val="24"/>
          <w:szCs w:val="24"/>
        </w:rPr>
        <w:t xml:space="preserve">London: </w:t>
      </w:r>
      <w:proofErr w:type="spellStart"/>
      <w:r w:rsidRPr="00DC5C6D">
        <w:rPr>
          <w:sz w:val="24"/>
          <w:szCs w:val="24"/>
        </w:rPr>
        <w:t>Llanerch</w:t>
      </w:r>
      <w:proofErr w:type="spellEnd"/>
      <w:r w:rsidRPr="00DC5C6D">
        <w:rPr>
          <w:sz w:val="24"/>
          <w:szCs w:val="24"/>
        </w:rPr>
        <w:t xml:space="preserve"> enterprises. 1989)</w:t>
      </w:r>
    </w:p>
    <w:p w14:paraId="27775840" w14:textId="6CBAD51C" w:rsidR="00D256C9" w:rsidRPr="00D256C9" w:rsidRDefault="00D256C9" w:rsidP="00D256C9">
      <w:pPr>
        <w:rPr>
          <w:sz w:val="24"/>
          <w:szCs w:val="24"/>
          <w:u w:val="single"/>
        </w:rPr>
      </w:pPr>
      <w:r w:rsidRPr="00D256C9">
        <w:rPr>
          <w:sz w:val="24"/>
          <w:szCs w:val="24"/>
        </w:rPr>
        <w:t xml:space="preserve">Barlow, F., </w:t>
      </w:r>
      <w:r w:rsidRPr="00D256C9">
        <w:rPr>
          <w:i/>
          <w:iCs/>
          <w:sz w:val="24"/>
          <w:szCs w:val="24"/>
        </w:rPr>
        <w:t xml:space="preserve">William Rufus </w:t>
      </w:r>
      <w:r w:rsidRPr="00D256C9">
        <w:rPr>
          <w:iCs/>
          <w:sz w:val="24"/>
          <w:szCs w:val="24"/>
        </w:rPr>
        <w:t>(</w:t>
      </w:r>
      <w:r w:rsidRPr="00D256C9">
        <w:rPr>
          <w:sz w:val="24"/>
          <w:szCs w:val="24"/>
        </w:rPr>
        <w:t>Suffolk: The Chaucer press. 1983.)</w:t>
      </w:r>
    </w:p>
    <w:p w14:paraId="28816784" w14:textId="77777777" w:rsidR="00D256C9" w:rsidRPr="00D256C9" w:rsidRDefault="00D256C9" w:rsidP="00D256C9">
      <w:pPr>
        <w:rPr>
          <w:sz w:val="24"/>
          <w:szCs w:val="24"/>
        </w:rPr>
      </w:pPr>
      <w:bookmarkStart w:id="7" w:name="_Hlk507584502"/>
      <w:r w:rsidRPr="00D256C9">
        <w:rPr>
          <w:sz w:val="24"/>
          <w:szCs w:val="24"/>
        </w:rPr>
        <w:t xml:space="preserve">Cannon, Henry L., 'The Character and Antecedents of the Charter of Liberties of Henry I', </w:t>
      </w:r>
      <w:r w:rsidRPr="00D256C9">
        <w:rPr>
          <w:i/>
          <w:iCs/>
          <w:sz w:val="24"/>
          <w:szCs w:val="24"/>
        </w:rPr>
        <w:t xml:space="preserve">The American Historical Review, </w:t>
      </w:r>
      <w:r w:rsidRPr="00D256C9">
        <w:rPr>
          <w:sz w:val="24"/>
          <w:szCs w:val="24"/>
        </w:rPr>
        <w:t>15 (1909), 37-46</w:t>
      </w:r>
      <w:r w:rsidRPr="00D256C9">
        <w:rPr>
          <w:i/>
          <w:iCs/>
          <w:sz w:val="24"/>
          <w:szCs w:val="24"/>
        </w:rPr>
        <w:t xml:space="preserve">. </w:t>
      </w:r>
      <w:r w:rsidRPr="00D256C9">
        <w:rPr>
          <w:iCs/>
          <w:sz w:val="24"/>
          <w:szCs w:val="24"/>
        </w:rPr>
        <w:t>Available at http://www.jstor.org.</w:t>
      </w:r>
    </w:p>
    <w:p w14:paraId="2780ACCB" w14:textId="77777777" w:rsidR="00D256C9" w:rsidRPr="00D256C9" w:rsidRDefault="00D256C9" w:rsidP="00D256C9">
      <w:pPr>
        <w:rPr>
          <w:sz w:val="24"/>
          <w:szCs w:val="24"/>
        </w:rPr>
      </w:pPr>
      <w:bookmarkStart w:id="8" w:name="_Hlk507417138"/>
      <w:bookmarkEnd w:id="7"/>
      <w:proofErr w:type="spellStart"/>
      <w:r w:rsidRPr="00D256C9">
        <w:rPr>
          <w:sz w:val="24"/>
          <w:szCs w:val="24"/>
        </w:rPr>
        <w:t>Caenegem</w:t>
      </w:r>
      <w:proofErr w:type="spellEnd"/>
      <w:r w:rsidRPr="00D256C9">
        <w:rPr>
          <w:sz w:val="24"/>
          <w:szCs w:val="24"/>
        </w:rPr>
        <w:t xml:space="preserve">, V., </w:t>
      </w:r>
      <w:r w:rsidRPr="00D256C9">
        <w:rPr>
          <w:i/>
          <w:iCs/>
          <w:sz w:val="24"/>
          <w:szCs w:val="24"/>
        </w:rPr>
        <w:t xml:space="preserve">The Birth of the English Common Law </w:t>
      </w:r>
      <w:r w:rsidRPr="00D256C9">
        <w:rPr>
          <w:iCs/>
          <w:sz w:val="24"/>
          <w:szCs w:val="24"/>
        </w:rPr>
        <w:t>(</w:t>
      </w:r>
      <w:r w:rsidRPr="00D256C9">
        <w:rPr>
          <w:sz w:val="24"/>
          <w:szCs w:val="24"/>
        </w:rPr>
        <w:t xml:space="preserve">London: Cambridge university press. 1973) </w:t>
      </w:r>
    </w:p>
    <w:bookmarkEnd w:id="8"/>
    <w:p w14:paraId="0E71B0CE" w14:textId="77777777" w:rsidR="00D256C9" w:rsidRPr="00D256C9" w:rsidRDefault="00D256C9" w:rsidP="00D256C9">
      <w:pPr>
        <w:rPr>
          <w:sz w:val="24"/>
          <w:szCs w:val="24"/>
        </w:rPr>
      </w:pPr>
      <w:r w:rsidRPr="00D256C9">
        <w:rPr>
          <w:sz w:val="24"/>
          <w:szCs w:val="24"/>
        </w:rPr>
        <w:t xml:space="preserve">Freeman, E.A., </w:t>
      </w:r>
      <w:r w:rsidRPr="00D256C9">
        <w:rPr>
          <w:i/>
          <w:iCs/>
          <w:sz w:val="24"/>
          <w:szCs w:val="24"/>
        </w:rPr>
        <w:t xml:space="preserve">William the Conqueror </w:t>
      </w:r>
      <w:r w:rsidRPr="00D256C9">
        <w:rPr>
          <w:iCs/>
          <w:sz w:val="24"/>
          <w:szCs w:val="24"/>
        </w:rPr>
        <w:t>(</w:t>
      </w:r>
      <w:r w:rsidRPr="00D256C9">
        <w:rPr>
          <w:sz w:val="24"/>
          <w:szCs w:val="24"/>
        </w:rPr>
        <w:t>London: MacMillan &amp; co. 1922)</w:t>
      </w:r>
    </w:p>
    <w:p w14:paraId="3A988622" w14:textId="77777777" w:rsidR="00D256C9" w:rsidRPr="00D256C9" w:rsidRDefault="00D256C9" w:rsidP="00D256C9">
      <w:pPr>
        <w:rPr>
          <w:sz w:val="24"/>
          <w:szCs w:val="24"/>
        </w:rPr>
      </w:pPr>
      <w:r w:rsidRPr="00D256C9">
        <w:rPr>
          <w:sz w:val="24"/>
          <w:szCs w:val="24"/>
        </w:rPr>
        <w:t xml:space="preserve">Green, J.A., </w:t>
      </w:r>
      <w:r w:rsidRPr="00D256C9">
        <w:rPr>
          <w:i/>
          <w:iCs/>
          <w:sz w:val="24"/>
          <w:szCs w:val="24"/>
        </w:rPr>
        <w:t xml:space="preserve">The Government of England under Henry I </w:t>
      </w:r>
      <w:r w:rsidRPr="00D256C9">
        <w:rPr>
          <w:iCs/>
          <w:sz w:val="24"/>
          <w:szCs w:val="24"/>
        </w:rPr>
        <w:t>(</w:t>
      </w:r>
      <w:r w:rsidRPr="00D256C9">
        <w:rPr>
          <w:sz w:val="24"/>
          <w:szCs w:val="24"/>
        </w:rPr>
        <w:t xml:space="preserve">Cambridge: Cambridge university press. 1986) </w:t>
      </w:r>
    </w:p>
    <w:p w14:paraId="085EA224" w14:textId="77777777" w:rsidR="00D256C9" w:rsidRPr="00D256C9" w:rsidRDefault="00D256C9" w:rsidP="00D256C9">
      <w:pPr>
        <w:rPr>
          <w:sz w:val="24"/>
          <w:szCs w:val="24"/>
        </w:rPr>
      </w:pPr>
      <w:r w:rsidRPr="00D256C9">
        <w:rPr>
          <w:sz w:val="24"/>
          <w:szCs w:val="24"/>
        </w:rPr>
        <w:t xml:space="preserve">Hollister, C.W., </w:t>
      </w:r>
      <w:r w:rsidRPr="00D256C9">
        <w:rPr>
          <w:i/>
          <w:iCs/>
          <w:sz w:val="24"/>
          <w:szCs w:val="24"/>
        </w:rPr>
        <w:t xml:space="preserve">Henry I </w:t>
      </w:r>
      <w:r w:rsidRPr="00D256C9">
        <w:rPr>
          <w:iCs/>
          <w:sz w:val="24"/>
          <w:szCs w:val="24"/>
        </w:rPr>
        <w:t>(</w:t>
      </w:r>
      <w:r w:rsidRPr="00D256C9">
        <w:rPr>
          <w:sz w:val="24"/>
          <w:szCs w:val="24"/>
        </w:rPr>
        <w:t xml:space="preserve">London: Yale university press. 2003) </w:t>
      </w:r>
    </w:p>
    <w:p w14:paraId="317F061D" w14:textId="77777777" w:rsidR="00D256C9" w:rsidRPr="00D256C9" w:rsidRDefault="00D256C9" w:rsidP="00D256C9">
      <w:pPr>
        <w:rPr>
          <w:sz w:val="24"/>
          <w:szCs w:val="24"/>
        </w:rPr>
      </w:pPr>
      <w:bookmarkStart w:id="9" w:name="_Hlk507587672"/>
      <w:proofErr w:type="spellStart"/>
      <w:r w:rsidRPr="00D256C9">
        <w:rPr>
          <w:sz w:val="24"/>
          <w:szCs w:val="24"/>
        </w:rPr>
        <w:t>Huscroft</w:t>
      </w:r>
      <w:proofErr w:type="spellEnd"/>
      <w:r w:rsidRPr="00D256C9">
        <w:rPr>
          <w:sz w:val="24"/>
          <w:szCs w:val="24"/>
        </w:rPr>
        <w:t xml:space="preserve">, R., </w:t>
      </w:r>
      <w:r w:rsidRPr="00D256C9">
        <w:rPr>
          <w:i/>
          <w:iCs/>
          <w:sz w:val="24"/>
          <w:szCs w:val="24"/>
        </w:rPr>
        <w:t xml:space="preserve">Ruling England 1042-1217 </w:t>
      </w:r>
      <w:r w:rsidRPr="00D256C9">
        <w:rPr>
          <w:iCs/>
          <w:sz w:val="24"/>
          <w:szCs w:val="24"/>
        </w:rPr>
        <w:t>(</w:t>
      </w:r>
      <w:r w:rsidRPr="00D256C9">
        <w:rPr>
          <w:sz w:val="24"/>
          <w:szCs w:val="24"/>
        </w:rPr>
        <w:t>London: Longman. 2005)</w:t>
      </w:r>
    </w:p>
    <w:bookmarkEnd w:id="9"/>
    <w:p w14:paraId="711A4180" w14:textId="77777777" w:rsidR="00D256C9" w:rsidRPr="00D256C9" w:rsidRDefault="00D256C9" w:rsidP="00D256C9">
      <w:pPr>
        <w:rPr>
          <w:sz w:val="24"/>
          <w:szCs w:val="24"/>
        </w:rPr>
      </w:pPr>
      <w:r w:rsidRPr="00D256C9">
        <w:rPr>
          <w:sz w:val="24"/>
          <w:szCs w:val="24"/>
        </w:rPr>
        <w:t xml:space="preserve">Kealey, E.J., </w:t>
      </w:r>
      <w:r w:rsidRPr="00D256C9">
        <w:rPr>
          <w:i/>
          <w:iCs/>
          <w:sz w:val="24"/>
          <w:szCs w:val="24"/>
        </w:rPr>
        <w:t xml:space="preserve">Roger of Salisbury viceroy of England </w:t>
      </w:r>
      <w:r w:rsidRPr="00D256C9">
        <w:rPr>
          <w:iCs/>
          <w:sz w:val="24"/>
          <w:szCs w:val="24"/>
        </w:rPr>
        <w:t>(</w:t>
      </w:r>
      <w:r w:rsidRPr="00D256C9">
        <w:rPr>
          <w:sz w:val="24"/>
          <w:szCs w:val="24"/>
        </w:rPr>
        <w:t>London: University of California press. 1972)</w:t>
      </w:r>
    </w:p>
    <w:p w14:paraId="6AFEAD71" w14:textId="77777777" w:rsidR="00D256C9" w:rsidRPr="00D256C9" w:rsidRDefault="00D256C9" w:rsidP="00D256C9">
      <w:pPr>
        <w:rPr>
          <w:sz w:val="24"/>
          <w:szCs w:val="24"/>
        </w:rPr>
      </w:pPr>
      <w:proofErr w:type="spellStart"/>
      <w:r w:rsidRPr="00D256C9">
        <w:rPr>
          <w:sz w:val="24"/>
          <w:szCs w:val="24"/>
        </w:rPr>
        <w:t>Mooers</w:t>
      </w:r>
      <w:proofErr w:type="spellEnd"/>
      <w:r w:rsidRPr="00D256C9">
        <w:rPr>
          <w:sz w:val="24"/>
          <w:szCs w:val="24"/>
        </w:rPr>
        <w:t xml:space="preserve">, S. L., ‘A Re-evaluation of Royal Justice under Henry I of England’, </w:t>
      </w:r>
      <w:r w:rsidRPr="00D256C9">
        <w:rPr>
          <w:i/>
          <w:iCs/>
          <w:sz w:val="24"/>
          <w:szCs w:val="24"/>
        </w:rPr>
        <w:t xml:space="preserve">The American Historical Review, </w:t>
      </w:r>
      <w:proofErr w:type="spellStart"/>
      <w:r w:rsidRPr="00D256C9">
        <w:rPr>
          <w:iCs/>
          <w:sz w:val="24"/>
          <w:szCs w:val="24"/>
        </w:rPr>
        <w:t>vol</w:t>
      </w:r>
      <w:proofErr w:type="spellEnd"/>
      <w:r w:rsidRPr="00D256C9">
        <w:rPr>
          <w:i/>
          <w:iCs/>
          <w:sz w:val="24"/>
          <w:szCs w:val="24"/>
        </w:rPr>
        <w:t xml:space="preserve"> </w:t>
      </w:r>
      <w:r w:rsidRPr="00D256C9">
        <w:rPr>
          <w:bCs/>
          <w:sz w:val="24"/>
          <w:szCs w:val="24"/>
        </w:rPr>
        <w:t>93</w:t>
      </w:r>
      <w:r w:rsidRPr="00D256C9">
        <w:rPr>
          <w:b/>
          <w:bCs/>
          <w:sz w:val="24"/>
          <w:szCs w:val="24"/>
        </w:rPr>
        <w:t xml:space="preserve"> </w:t>
      </w:r>
      <w:r w:rsidRPr="00D256C9">
        <w:rPr>
          <w:sz w:val="24"/>
          <w:szCs w:val="24"/>
        </w:rPr>
        <w:t xml:space="preserve">(1988), pp. 340-358. Available at </w:t>
      </w:r>
      <w:hyperlink r:id="rId8" w:history="1">
        <w:r w:rsidRPr="00D256C9">
          <w:rPr>
            <w:rStyle w:val="Hyperlink"/>
            <w:sz w:val="24"/>
            <w:szCs w:val="24"/>
          </w:rPr>
          <w:t>http://www.jstor.org</w:t>
        </w:r>
      </w:hyperlink>
      <w:r w:rsidRPr="00D256C9">
        <w:rPr>
          <w:sz w:val="24"/>
          <w:szCs w:val="24"/>
        </w:rPr>
        <w:t>.</w:t>
      </w:r>
    </w:p>
    <w:p w14:paraId="4750C9AD" w14:textId="77777777" w:rsidR="00D256C9" w:rsidRPr="00D256C9" w:rsidRDefault="00D256C9" w:rsidP="00D256C9">
      <w:pPr>
        <w:rPr>
          <w:sz w:val="24"/>
          <w:szCs w:val="24"/>
        </w:rPr>
      </w:pPr>
      <w:r w:rsidRPr="00D256C9">
        <w:rPr>
          <w:sz w:val="24"/>
          <w:szCs w:val="24"/>
        </w:rPr>
        <w:lastRenderedPageBreak/>
        <w:t xml:space="preserve">Poole, Reginald L., </w:t>
      </w:r>
      <w:r w:rsidRPr="00D256C9">
        <w:rPr>
          <w:i/>
          <w:iCs/>
          <w:sz w:val="24"/>
          <w:szCs w:val="24"/>
        </w:rPr>
        <w:t>The Exchequer in the Twelfth Century</w:t>
      </w:r>
      <w:r w:rsidRPr="00D256C9">
        <w:rPr>
          <w:sz w:val="24"/>
          <w:szCs w:val="24"/>
        </w:rPr>
        <w:t xml:space="preserve"> (Oxford: Clarendon press, 1912)</w:t>
      </w:r>
    </w:p>
    <w:p w14:paraId="0155D4FB" w14:textId="77777777" w:rsidR="00D256C9" w:rsidRPr="00D256C9" w:rsidRDefault="00D256C9" w:rsidP="00D256C9">
      <w:pPr>
        <w:rPr>
          <w:sz w:val="24"/>
          <w:szCs w:val="24"/>
        </w:rPr>
      </w:pPr>
      <w:r w:rsidRPr="00D256C9">
        <w:rPr>
          <w:sz w:val="24"/>
          <w:szCs w:val="24"/>
        </w:rPr>
        <w:t xml:space="preserve">Richardson, H. G. and G. O. Sayles, </w:t>
      </w:r>
      <w:r w:rsidRPr="00D256C9">
        <w:rPr>
          <w:i/>
          <w:iCs/>
          <w:sz w:val="24"/>
          <w:szCs w:val="24"/>
        </w:rPr>
        <w:t>The Governance of Medieval England from the Conquest to Magna Carta</w:t>
      </w:r>
      <w:r w:rsidRPr="00D256C9">
        <w:rPr>
          <w:sz w:val="24"/>
          <w:szCs w:val="24"/>
        </w:rPr>
        <w:t xml:space="preserve"> (Edinburgh university press, 1963)</w:t>
      </w:r>
    </w:p>
    <w:p w14:paraId="39D6B24F" w14:textId="5A05B1D1" w:rsidR="00D95AAF" w:rsidRPr="00D256C9" w:rsidRDefault="00D95AAF" w:rsidP="000D3621">
      <w:pPr>
        <w:rPr>
          <w:sz w:val="24"/>
          <w:szCs w:val="24"/>
        </w:rPr>
      </w:pPr>
    </w:p>
    <w:p w14:paraId="0E01A78F" w14:textId="77777777" w:rsidR="00B54169" w:rsidRDefault="00B54169" w:rsidP="000D3621">
      <w:pPr>
        <w:rPr>
          <w:sz w:val="24"/>
          <w:szCs w:val="24"/>
        </w:rPr>
      </w:pPr>
    </w:p>
    <w:p w14:paraId="3F1CA138" w14:textId="6CD2BB12" w:rsidR="00FB4DE0" w:rsidRDefault="00FB4DE0" w:rsidP="000D3621">
      <w:pPr>
        <w:rPr>
          <w:sz w:val="24"/>
          <w:szCs w:val="24"/>
        </w:rPr>
      </w:pPr>
    </w:p>
    <w:p w14:paraId="17B06443" w14:textId="5B9E2CDD" w:rsidR="002D7D53" w:rsidRDefault="004D1393" w:rsidP="000D3621">
      <w:pPr>
        <w:rPr>
          <w:sz w:val="24"/>
          <w:szCs w:val="24"/>
        </w:rPr>
      </w:pPr>
      <w:r>
        <w:rPr>
          <w:sz w:val="24"/>
          <w:szCs w:val="24"/>
        </w:rPr>
        <w:t xml:space="preserve">   </w:t>
      </w:r>
      <w:r w:rsidR="00606A00">
        <w:rPr>
          <w:sz w:val="24"/>
          <w:szCs w:val="24"/>
        </w:rPr>
        <w:t xml:space="preserve"> </w:t>
      </w:r>
    </w:p>
    <w:p w14:paraId="7D2AF1AB" w14:textId="77777777" w:rsidR="00987108" w:rsidRDefault="00987108" w:rsidP="000D3621">
      <w:pPr>
        <w:rPr>
          <w:sz w:val="24"/>
          <w:szCs w:val="24"/>
        </w:rPr>
      </w:pPr>
    </w:p>
    <w:p w14:paraId="39BAD5DC" w14:textId="77777777" w:rsidR="00485705" w:rsidRDefault="00485705" w:rsidP="000D3621">
      <w:pPr>
        <w:rPr>
          <w:sz w:val="24"/>
          <w:szCs w:val="24"/>
        </w:rPr>
      </w:pPr>
    </w:p>
    <w:p w14:paraId="6E7F71CA" w14:textId="6CD0778C" w:rsidR="00101937" w:rsidRPr="000D3621" w:rsidRDefault="00E40466" w:rsidP="000D3621">
      <w:pPr>
        <w:rPr>
          <w:sz w:val="24"/>
          <w:szCs w:val="24"/>
        </w:rPr>
      </w:pPr>
      <w:r>
        <w:rPr>
          <w:sz w:val="24"/>
          <w:szCs w:val="24"/>
        </w:rPr>
        <w:t xml:space="preserve"> </w:t>
      </w:r>
      <w:r w:rsidR="00D92D97">
        <w:rPr>
          <w:sz w:val="24"/>
          <w:szCs w:val="24"/>
        </w:rPr>
        <w:t xml:space="preserve"> </w:t>
      </w:r>
    </w:p>
    <w:p w14:paraId="361D39CA" w14:textId="77777777" w:rsidR="00A14CEB" w:rsidRDefault="00A14CEB" w:rsidP="00A14CEB">
      <w:pPr>
        <w:rPr>
          <w:sz w:val="24"/>
          <w:szCs w:val="24"/>
        </w:rPr>
      </w:pPr>
    </w:p>
    <w:p w14:paraId="1A3EC803" w14:textId="77777777" w:rsidR="00A14CEB" w:rsidRDefault="00A14CEB" w:rsidP="00A14CEB">
      <w:pPr>
        <w:rPr>
          <w:sz w:val="24"/>
          <w:szCs w:val="24"/>
        </w:rPr>
      </w:pPr>
    </w:p>
    <w:p w14:paraId="758BD575" w14:textId="77777777" w:rsidR="00A14CEB" w:rsidRDefault="00A14CEB" w:rsidP="00A14CEB">
      <w:pPr>
        <w:rPr>
          <w:sz w:val="24"/>
          <w:szCs w:val="24"/>
        </w:rPr>
      </w:pPr>
    </w:p>
    <w:p w14:paraId="1088D674" w14:textId="77777777" w:rsidR="00A14CEB" w:rsidRDefault="00A14CEB" w:rsidP="00A14CEB">
      <w:pPr>
        <w:rPr>
          <w:sz w:val="24"/>
          <w:szCs w:val="24"/>
        </w:rPr>
      </w:pPr>
    </w:p>
    <w:p w14:paraId="4F48BC13" w14:textId="4976629C" w:rsidR="006910E3" w:rsidRPr="00FC063B" w:rsidRDefault="006910E3" w:rsidP="00FC063B">
      <w:pPr>
        <w:rPr>
          <w:sz w:val="24"/>
          <w:szCs w:val="24"/>
          <w:u w:val="single"/>
        </w:rPr>
      </w:pPr>
    </w:p>
    <w:p w14:paraId="7DF0D102" w14:textId="172FE8E4" w:rsidR="00CF1458" w:rsidRPr="002A3226" w:rsidRDefault="00CF1458" w:rsidP="002A3226">
      <w:pPr>
        <w:pStyle w:val="ListParagraph"/>
        <w:rPr>
          <w:sz w:val="24"/>
          <w:szCs w:val="24"/>
          <w:u w:val="single"/>
        </w:rPr>
      </w:pPr>
    </w:p>
    <w:sectPr w:rsidR="00CF1458" w:rsidRPr="002A32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5BAB1A" w14:textId="77777777" w:rsidR="009F1712" w:rsidRDefault="009F1712" w:rsidP="006C41EB">
      <w:pPr>
        <w:spacing w:after="0" w:line="240" w:lineRule="auto"/>
      </w:pPr>
      <w:r>
        <w:separator/>
      </w:r>
    </w:p>
  </w:endnote>
  <w:endnote w:type="continuationSeparator" w:id="0">
    <w:p w14:paraId="5A2DA856" w14:textId="77777777" w:rsidR="009F1712" w:rsidRDefault="009F1712" w:rsidP="006C41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3C413D" w14:textId="77777777" w:rsidR="009F1712" w:rsidRDefault="009F1712" w:rsidP="006C41EB">
      <w:pPr>
        <w:spacing w:after="0" w:line="240" w:lineRule="auto"/>
      </w:pPr>
      <w:r>
        <w:separator/>
      </w:r>
    </w:p>
  </w:footnote>
  <w:footnote w:type="continuationSeparator" w:id="0">
    <w:p w14:paraId="559FC575" w14:textId="77777777" w:rsidR="009F1712" w:rsidRDefault="009F1712" w:rsidP="006C41EB">
      <w:pPr>
        <w:spacing w:after="0" w:line="240" w:lineRule="auto"/>
      </w:pPr>
      <w:r>
        <w:continuationSeparator/>
      </w:r>
    </w:p>
  </w:footnote>
  <w:footnote w:id="1">
    <w:p w14:paraId="6F93928B" w14:textId="77777777" w:rsidR="0024736E" w:rsidRDefault="0024736E" w:rsidP="0024736E">
      <w:pPr>
        <w:pStyle w:val="FootnoteText"/>
      </w:pPr>
      <w:r>
        <w:rPr>
          <w:rStyle w:val="FootnoteReference"/>
        </w:rPr>
        <w:footnoteRef/>
      </w:r>
      <w:r>
        <w:t xml:space="preserve"> </w:t>
      </w:r>
      <w:bookmarkStart w:id="0" w:name="_Hlk507585896"/>
      <w:r w:rsidRPr="005E4662">
        <w:t>Charter of Liberties of Henry I, 1100</w:t>
      </w:r>
      <w:bookmarkEnd w:id="0"/>
    </w:p>
  </w:footnote>
  <w:footnote w:id="2">
    <w:p w14:paraId="66CF3FE5" w14:textId="77777777" w:rsidR="003632E8" w:rsidRDefault="003632E8" w:rsidP="003632E8">
      <w:pPr>
        <w:pStyle w:val="FootnoteText"/>
      </w:pPr>
      <w:r>
        <w:rPr>
          <w:rStyle w:val="FootnoteReference"/>
        </w:rPr>
        <w:footnoteRef/>
      </w:r>
      <w:r>
        <w:t xml:space="preserve"> J. A. </w:t>
      </w:r>
      <w:r w:rsidRPr="00534FDB">
        <w:t xml:space="preserve">Green, </w:t>
      </w:r>
      <w:r w:rsidRPr="00534FDB">
        <w:rPr>
          <w:i/>
          <w:iCs/>
        </w:rPr>
        <w:t xml:space="preserve">The Government of England under Henry I </w:t>
      </w:r>
      <w:r w:rsidRPr="00534FDB">
        <w:rPr>
          <w:iCs/>
        </w:rPr>
        <w:t>(</w:t>
      </w:r>
      <w:r w:rsidRPr="00534FDB">
        <w:t xml:space="preserve">Cambridge: Cambridge university press. 1986) </w:t>
      </w:r>
      <w:r>
        <w:t>p. 8.</w:t>
      </w:r>
    </w:p>
  </w:footnote>
  <w:footnote w:id="3">
    <w:p w14:paraId="321CFC27" w14:textId="11BE416E" w:rsidR="007E31A1" w:rsidRDefault="007E31A1">
      <w:pPr>
        <w:pStyle w:val="FootnoteText"/>
      </w:pPr>
      <w:r>
        <w:rPr>
          <w:rStyle w:val="FootnoteReference"/>
        </w:rPr>
        <w:footnoteRef/>
      </w:r>
      <w:r>
        <w:t xml:space="preserve"> </w:t>
      </w:r>
      <w:r w:rsidRPr="007E31A1">
        <w:t xml:space="preserve">C. W. </w:t>
      </w:r>
      <w:bookmarkStart w:id="1" w:name="_Hlk508022825"/>
      <w:r w:rsidRPr="007E31A1">
        <w:t xml:space="preserve">Hollister, </w:t>
      </w:r>
      <w:r w:rsidRPr="007E31A1">
        <w:rPr>
          <w:i/>
          <w:iCs/>
        </w:rPr>
        <w:t xml:space="preserve">Henry I. </w:t>
      </w:r>
      <w:bookmarkEnd w:id="1"/>
      <w:r w:rsidRPr="007E31A1">
        <w:rPr>
          <w:iCs/>
        </w:rPr>
        <w:t>(</w:t>
      </w:r>
      <w:r w:rsidRPr="007E31A1">
        <w:t xml:space="preserve">London: Yale university press 2003) P. </w:t>
      </w:r>
      <w:r>
        <w:t>210.</w:t>
      </w:r>
    </w:p>
  </w:footnote>
  <w:footnote w:id="4">
    <w:p w14:paraId="4405F166" w14:textId="6A63A201" w:rsidR="00DF7735" w:rsidRPr="00DF7735" w:rsidRDefault="00DF7735">
      <w:pPr>
        <w:pStyle w:val="FootnoteText"/>
      </w:pPr>
      <w:r>
        <w:rPr>
          <w:rStyle w:val="FootnoteReference"/>
        </w:rPr>
        <w:footnoteRef/>
      </w:r>
      <w:r>
        <w:t xml:space="preserve"> </w:t>
      </w:r>
      <w:r w:rsidRPr="00DF7735">
        <w:t xml:space="preserve">Hollister, </w:t>
      </w:r>
      <w:r w:rsidRPr="00DF7735">
        <w:rPr>
          <w:i/>
          <w:iCs/>
        </w:rPr>
        <w:t>Henry I.</w:t>
      </w:r>
      <w:r>
        <w:rPr>
          <w:i/>
          <w:iCs/>
        </w:rPr>
        <w:t xml:space="preserve"> </w:t>
      </w:r>
      <w:r>
        <w:rPr>
          <w:iCs/>
        </w:rPr>
        <w:t>p. 214.</w:t>
      </w:r>
    </w:p>
  </w:footnote>
  <w:footnote w:id="5">
    <w:p w14:paraId="6A86AB27" w14:textId="66D4BF6C" w:rsidR="0054280F" w:rsidRDefault="0054280F">
      <w:pPr>
        <w:pStyle w:val="FootnoteText"/>
      </w:pPr>
      <w:r>
        <w:rPr>
          <w:rStyle w:val="FootnoteReference"/>
        </w:rPr>
        <w:footnoteRef/>
      </w:r>
      <w:r>
        <w:t xml:space="preserve"> </w:t>
      </w:r>
      <w:bookmarkStart w:id="2" w:name="_Hlk507586700"/>
      <w:r w:rsidRPr="0054280F">
        <w:t xml:space="preserve">Cannon, Henry L., 'The Character and Antecedents of the Charter of Liberties of Henry I', </w:t>
      </w:r>
      <w:bookmarkEnd w:id="2"/>
      <w:r w:rsidRPr="0054280F">
        <w:rPr>
          <w:i/>
          <w:iCs/>
        </w:rPr>
        <w:t xml:space="preserve">The American Historical Review, </w:t>
      </w:r>
      <w:r w:rsidRPr="0054280F">
        <w:t>15 (1909), 37-46</w:t>
      </w:r>
      <w:r w:rsidRPr="0054280F">
        <w:rPr>
          <w:i/>
          <w:iCs/>
        </w:rPr>
        <w:t xml:space="preserve">. </w:t>
      </w:r>
      <w:r w:rsidRPr="0054280F">
        <w:rPr>
          <w:iCs/>
        </w:rPr>
        <w:t>Available at http://www.jstor.org.</w:t>
      </w:r>
    </w:p>
  </w:footnote>
  <w:footnote w:id="6">
    <w:p w14:paraId="16C4F232" w14:textId="601A7D3A" w:rsidR="00091EBA" w:rsidRDefault="00091EBA">
      <w:pPr>
        <w:pStyle w:val="FootnoteText"/>
      </w:pPr>
      <w:r>
        <w:rPr>
          <w:rStyle w:val="FootnoteReference"/>
        </w:rPr>
        <w:footnoteRef/>
      </w:r>
      <w:r w:rsidRPr="00091EBA">
        <w:t>Cannon, 'The Character and Antecedents of the Charter of Liberties of Henry I'</w:t>
      </w:r>
      <w:r>
        <w:t>.</w:t>
      </w:r>
      <w:r w:rsidRPr="00091EBA">
        <w:t xml:space="preserve"> </w:t>
      </w:r>
      <w:r>
        <w:t xml:space="preserve"> </w:t>
      </w:r>
    </w:p>
  </w:footnote>
  <w:footnote w:id="7">
    <w:p w14:paraId="2392BB85" w14:textId="28FE20C6" w:rsidR="00C72D43" w:rsidRDefault="00C72D43">
      <w:pPr>
        <w:pStyle w:val="FootnoteText"/>
      </w:pPr>
      <w:r>
        <w:rPr>
          <w:rStyle w:val="FootnoteReference"/>
        </w:rPr>
        <w:footnoteRef/>
      </w:r>
      <w:r>
        <w:t xml:space="preserve"> </w:t>
      </w:r>
      <w:r w:rsidR="00BD0E95">
        <w:t xml:space="preserve">R. </w:t>
      </w:r>
      <w:proofErr w:type="spellStart"/>
      <w:r w:rsidRPr="00C72D43">
        <w:t>Huscroft</w:t>
      </w:r>
      <w:proofErr w:type="spellEnd"/>
      <w:r w:rsidRPr="00C72D43">
        <w:t xml:space="preserve">, </w:t>
      </w:r>
      <w:r w:rsidRPr="00C72D43">
        <w:rPr>
          <w:i/>
          <w:iCs/>
        </w:rPr>
        <w:t xml:space="preserve">Ruling England 1042-1217 </w:t>
      </w:r>
      <w:r w:rsidRPr="00C72D43">
        <w:rPr>
          <w:iCs/>
        </w:rPr>
        <w:t>(</w:t>
      </w:r>
      <w:r w:rsidRPr="00C72D43">
        <w:t>London: Longman. 2005)</w:t>
      </w:r>
      <w:r>
        <w:t xml:space="preserve"> p. 69.</w:t>
      </w:r>
    </w:p>
  </w:footnote>
  <w:footnote w:id="8">
    <w:p w14:paraId="2645BF28" w14:textId="77777777" w:rsidR="00432062" w:rsidRDefault="00432062" w:rsidP="00E044FE">
      <w:pPr>
        <w:pStyle w:val="FootnoteText"/>
      </w:pPr>
      <w:r>
        <w:rPr>
          <w:rStyle w:val="FootnoteReference"/>
        </w:rPr>
        <w:footnoteRef/>
      </w:r>
      <w:r>
        <w:t xml:space="preserve"> </w:t>
      </w:r>
      <w:r w:rsidRPr="00D378FB">
        <w:t>Charter of Liberties of Henry I, 1100</w:t>
      </w:r>
    </w:p>
  </w:footnote>
  <w:footnote w:id="9">
    <w:p w14:paraId="5CC316E1" w14:textId="26DA1B0A" w:rsidR="00432062" w:rsidRDefault="00432062" w:rsidP="00E044FE">
      <w:pPr>
        <w:pStyle w:val="FootnoteText"/>
      </w:pPr>
      <w:r>
        <w:rPr>
          <w:rStyle w:val="FootnoteReference"/>
        </w:rPr>
        <w:footnoteRef/>
      </w:r>
      <w:r>
        <w:t xml:space="preserve"> </w:t>
      </w:r>
      <w:bookmarkStart w:id="3" w:name="_Hlk508021088"/>
      <w:r w:rsidR="005C5777">
        <w:t xml:space="preserve">C. W. </w:t>
      </w:r>
      <w:r w:rsidRPr="00C83740">
        <w:t>H</w:t>
      </w:r>
      <w:r>
        <w:t>ollister</w:t>
      </w:r>
      <w:r w:rsidRPr="00C83740">
        <w:t xml:space="preserve">, </w:t>
      </w:r>
      <w:r w:rsidRPr="00C83740">
        <w:rPr>
          <w:i/>
          <w:iCs/>
        </w:rPr>
        <w:t>Henry I.</w:t>
      </w:r>
      <w:r>
        <w:t xml:space="preserve"> P</w:t>
      </w:r>
      <w:r w:rsidR="00A31BF4">
        <w:t>.</w:t>
      </w:r>
      <w:r>
        <w:t xml:space="preserve"> 207.</w:t>
      </w:r>
      <w:r w:rsidRPr="00C83740">
        <w:t xml:space="preserve"> </w:t>
      </w:r>
      <w:bookmarkEnd w:id="3"/>
    </w:p>
  </w:footnote>
  <w:footnote w:id="10">
    <w:p w14:paraId="41B7E2CB" w14:textId="2EF860A6" w:rsidR="00432062" w:rsidRDefault="00432062" w:rsidP="00E044FE">
      <w:pPr>
        <w:pStyle w:val="FootnoteText"/>
      </w:pPr>
      <w:r>
        <w:rPr>
          <w:rStyle w:val="FootnoteReference"/>
        </w:rPr>
        <w:footnoteRef/>
      </w:r>
      <w:r>
        <w:t xml:space="preserve"> </w:t>
      </w:r>
      <w:r w:rsidRPr="00432062">
        <w:t>B</w:t>
      </w:r>
      <w:r w:rsidR="00F24A88">
        <w:t>arlow</w:t>
      </w:r>
      <w:r w:rsidRPr="00432062">
        <w:t xml:space="preserve">, </w:t>
      </w:r>
      <w:r w:rsidRPr="00432062">
        <w:rPr>
          <w:i/>
          <w:iCs/>
        </w:rPr>
        <w:t>William Rufus</w:t>
      </w:r>
      <w:r w:rsidR="005C5777">
        <w:rPr>
          <w:i/>
          <w:iCs/>
        </w:rPr>
        <w:t>,</w:t>
      </w:r>
      <w:r>
        <w:t xml:space="preserve"> </w:t>
      </w:r>
      <w:r w:rsidR="005C5777">
        <w:t>p.</w:t>
      </w:r>
      <w:r>
        <w:t xml:space="preserve"> 37.</w:t>
      </w:r>
    </w:p>
  </w:footnote>
  <w:footnote w:id="11">
    <w:p w14:paraId="01CCB518" w14:textId="2147D3AE" w:rsidR="004E0EC7" w:rsidRDefault="004E0EC7">
      <w:pPr>
        <w:pStyle w:val="FootnoteText"/>
      </w:pPr>
      <w:r>
        <w:rPr>
          <w:rStyle w:val="FootnoteReference"/>
        </w:rPr>
        <w:footnoteRef/>
      </w:r>
      <w:r>
        <w:t xml:space="preserve"> </w:t>
      </w:r>
      <w:r w:rsidR="005C5777">
        <w:t xml:space="preserve">William of </w:t>
      </w:r>
      <w:proofErr w:type="spellStart"/>
      <w:r w:rsidRPr="004E0EC7">
        <w:t>M</w:t>
      </w:r>
      <w:r w:rsidR="00D73728">
        <w:t>almesbury</w:t>
      </w:r>
      <w:proofErr w:type="spellEnd"/>
      <w:r w:rsidRPr="004E0EC7">
        <w:t xml:space="preserve">, </w:t>
      </w:r>
      <w:r w:rsidRPr="004E0EC7">
        <w:rPr>
          <w:i/>
          <w:iCs/>
        </w:rPr>
        <w:t xml:space="preserve">A History of the Norman Kings (1066-1125) </w:t>
      </w:r>
      <w:r w:rsidR="005C5777">
        <w:rPr>
          <w:iCs/>
        </w:rPr>
        <w:t>(</w:t>
      </w:r>
      <w:r w:rsidRPr="004E0EC7">
        <w:t xml:space="preserve">London: </w:t>
      </w:r>
      <w:proofErr w:type="spellStart"/>
      <w:r w:rsidRPr="004E0EC7">
        <w:t>Llanerch</w:t>
      </w:r>
      <w:proofErr w:type="spellEnd"/>
      <w:r w:rsidRPr="004E0EC7">
        <w:t xml:space="preserve"> enterprises</w:t>
      </w:r>
      <w:r w:rsidR="005C5777">
        <w:t xml:space="preserve"> 1989)</w:t>
      </w:r>
      <w:r w:rsidR="00D73728">
        <w:t xml:space="preserve"> P</w:t>
      </w:r>
      <w:r w:rsidR="00A31BF4">
        <w:t>.</w:t>
      </w:r>
      <w:r w:rsidR="00D73728">
        <w:t xml:space="preserve"> 64.</w:t>
      </w:r>
    </w:p>
  </w:footnote>
  <w:footnote w:id="12">
    <w:p w14:paraId="6DA88095" w14:textId="1CCAD9D0" w:rsidR="00432062" w:rsidRDefault="00432062" w:rsidP="00E044FE">
      <w:pPr>
        <w:pStyle w:val="FootnoteText"/>
      </w:pPr>
      <w:r>
        <w:rPr>
          <w:rStyle w:val="FootnoteReference"/>
        </w:rPr>
        <w:footnoteRef/>
      </w:r>
      <w:r>
        <w:t xml:space="preserve"> </w:t>
      </w:r>
      <w:proofErr w:type="spellStart"/>
      <w:r w:rsidR="00F24A88" w:rsidRPr="00F24A88">
        <w:t>M</w:t>
      </w:r>
      <w:r w:rsidR="00F24A88">
        <w:t>almesbury</w:t>
      </w:r>
      <w:proofErr w:type="spellEnd"/>
      <w:r w:rsidR="00F24A88" w:rsidRPr="00F24A88">
        <w:t xml:space="preserve">, </w:t>
      </w:r>
      <w:r w:rsidR="00F24A88" w:rsidRPr="00F24A88">
        <w:rPr>
          <w:i/>
          <w:iCs/>
        </w:rPr>
        <w:t>A History</w:t>
      </w:r>
      <w:bookmarkStart w:id="4" w:name="_GoBack"/>
      <w:bookmarkEnd w:id="4"/>
      <w:r w:rsidR="00F24A88" w:rsidRPr="00F24A88">
        <w:rPr>
          <w:i/>
          <w:iCs/>
        </w:rPr>
        <w:t xml:space="preserve"> Norman Kings (1066-1125)</w:t>
      </w:r>
      <w:r w:rsidR="006249DE">
        <w:rPr>
          <w:i/>
          <w:iCs/>
        </w:rPr>
        <w:t>,</w:t>
      </w:r>
      <w:r w:rsidR="00F24A88">
        <w:t xml:space="preserve"> </w:t>
      </w:r>
      <w:r w:rsidR="006249DE">
        <w:t>p.</w:t>
      </w:r>
      <w:r w:rsidR="00F24A88">
        <w:t xml:space="preserve"> 24-28</w:t>
      </w:r>
      <w:r w:rsidR="006249DE">
        <w:t>.</w:t>
      </w:r>
    </w:p>
  </w:footnote>
  <w:footnote w:id="13">
    <w:p w14:paraId="7459B396" w14:textId="4A4A8488" w:rsidR="00432062" w:rsidRDefault="00432062" w:rsidP="00E044FE">
      <w:pPr>
        <w:pStyle w:val="FootnoteText"/>
      </w:pPr>
      <w:r>
        <w:rPr>
          <w:rStyle w:val="FootnoteReference"/>
        </w:rPr>
        <w:footnoteRef/>
      </w:r>
      <w:r>
        <w:t xml:space="preserve"> </w:t>
      </w:r>
      <w:proofErr w:type="spellStart"/>
      <w:r w:rsidRPr="00E044FE">
        <w:t>H</w:t>
      </w:r>
      <w:r w:rsidR="00F24A88">
        <w:t>uscroft</w:t>
      </w:r>
      <w:proofErr w:type="spellEnd"/>
      <w:r w:rsidRPr="00E044FE">
        <w:t xml:space="preserve">, </w:t>
      </w:r>
      <w:r w:rsidRPr="00E044FE">
        <w:rPr>
          <w:i/>
          <w:iCs/>
        </w:rPr>
        <w:t>Ruling England 1042-1217</w:t>
      </w:r>
      <w:r w:rsidR="006249DE">
        <w:rPr>
          <w:i/>
          <w:iCs/>
        </w:rPr>
        <w:t>, p.</w:t>
      </w:r>
      <w:r>
        <w:t xml:space="preserve"> 69.</w:t>
      </w:r>
    </w:p>
  </w:footnote>
  <w:footnote w:id="14">
    <w:p w14:paraId="585D0235" w14:textId="1DB72105" w:rsidR="00432062" w:rsidRDefault="00432062" w:rsidP="00E044FE">
      <w:pPr>
        <w:pStyle w:val="FootnoteText"/>
      </w:pPr>
      <w:r>
        <w:rPr>
          <w:rStyle w:val="FootnoteReference"/>
        </w:rPr>
        <w:footnoteRef/>
      </w:r>
      <w:r w:rsidR="005C5777">
        <w:t xml:space="preserve"> </w:t>
      </w:r>
      <w:r w:rsidRPr="0079397C">
        <w:t>G</w:t>
      </w:r>
      <w:r>
        <w:t>reen</w:t>
      </w:r>
      <w:r w:rsidRPr="0079397C">
        <w:t xml:space="preserve">, </w:t>
      </w:r>
      <w:r w:rsidRPr="0079397C">
        <w:rPr>
          <w:i/>
          <w:iCs/>
        </w:rPr>
        <w:t>Government under Henry I.</w:t>
      </w:r>
      <w:r w:rsidR="00556FF0">
        <w:rPr>
          <w:i/>
          <w:iCs/>
        </w:rPr>
        <w:t xml:space="preserve"> </w:t>
      </w:r>
      <w:r w:rsidR="00806C22">
        <w:t>p.</w:t>
      </w:r>
      <w:r>
        <w:t xml:space="preserve"> 17-18. </w:t>
      </w:r>
      <w:r w:rsidRPr="0079397C">
        <w:t xml:space="preserve"> </w:t>
      </w:r>
    </w:p>
  </w:footnote>
  <w:footnote w:id="15">
    <w:p w14:paraId="00801073" w14:textId="77870EFB" w:rsidR="00432062" w:rsidRDefault="00432062" w:rsidP="005C5777">
      <w:pPr>
        <w:pStyle w:val="FootnoteText"/>
      </w:pPr>
      <w:r>
        <w:rPr>
          <w:rStyle w:val="FootnoteReference"/>
        </w:rPr>
        <w:footnoteRef/>
      </w:r>
      <w:r>
        <w:t xml:space="preserve"> </w:t>
      </w:r>
      <w:r w:rsidR="005C5777">
        <w:t xml:space="preserve">V. </w:t>
      </w:r>
      <w:proofErr w:type="spellStart"/>
      <w:r w:rsidRPr="005B094C">
        <w:t>C</w:t>
      </w:r>
      <w:r>
        <w:t>aenegem</w:t>
      </w:r>
      <w:proofErr w:type="spellEnd"/>
      <w:r w:rsidR="005C5777" w:rsidRPr="005C5777">
        <w:t xml:space="preserve"> </w:t>
      </w:r>
      <w:bookmarkStart w:id="5" w:name="_Hlk507508717"/>
      <w:r w:rsidR="005C5777" w:rsidRPr="005C5777">
        <w:rPr>
          <w:i/>
          <w:iCs/>
        </w:rPr>
        <w:t>The Birth of the English Common Law</w:t>
      </w:r>
      <w:bookmarkEnd w:id="5"/>
      <w:r w:rsidR="005C5777">
        <w:rPr>
          <w:i/>
          <w:iCs/>
        </w:rPr>
        <w:t xml:space="preserve">. </w:t>
      </w:r>
      <w:r w:rsidR="005C5777">
        <w:rPr>
          <w:iCs/>
        </w:rPr>
        <w:t>(</w:t>
      </w:r>
      <w:r w:rsidR="005C5777" w:rsidRPr="005C5777">
        <w:t>London: Cambridge university press</w:t>
      </w:r>
      <w:r w:rsidR="005C5777">
        <w:t xml:space="preserve"> 1973) </w:t>
      </w:r>
      <w:r w:rsidR="003632E8">
        <w:t>p.</w:t>
      </w:r>
      <w:r>
        <w:t xml:space="preserve"> 48-49.</w:t>
      </w:r>
      <w:r w:rsidRPr="005B094C">
        <w:t xml:space="preserve"> </w:t>
      </w:r>
    </w:p>
  </w:footnote>
  <w:footnote w:id="16">
    <w:p w14:paraId="1E50A3F3" w14:textId="3CDB80C5" w:rsidR="003632E8" w:rsidRDefault="003632E8">
      <w:pPr>
        <w:pStyle w:val="FootnoteText"/>
      </w:pPr>
      <w:r>
        <w:rPr>
          <w:rStyle w:val="FootnoteReference"/>
        </w:rPr>
        <w:footnoteRef/>
      </w:r>
      <w:r>
        <w:t xml:space="preserve"> </w:t>
      </w:r>
      <w:bookmarkStart w:id="6" w:name="_Hlk507590246"/>
      <w:r>
        <w:t xml:space="preserve">E. J. </w:t>
      </w:r>
      <w:r w:rsidRPr="003632E8">
        <w:t xml:space="preserve">Kealey, </w:t>
      </w:r>
      <w:r w:rsidRPr="003632E8">
        <w:rPr>
          <w:i/>
          <w:iCs/>
        </w:rPr>
        <w:t xml:space="preserve">Roger of Salisbury viceroy of England </w:t>
      </w:r>
      <w:r w:rsidRPr="003632E8">
        <w:rPr>
          <w:iCs/>
        </w:rPr>
        <w:t>(</w:t>
      </w:r>
      <w:r w:rsidRPr="003632E8">
        <w:t>London: University of California press. 1972)</w:t>
      </w:r>
      <w:bookmarkEnd w:id="6"/>
      <w:r>
        <w:t xml:space="preserve"> p. 8.</w:t>
      </w:r>
    </w:p>
  </w:footnote>
  <w:footnote w:id="17">
    <w:p w14:paraId="5FA545F2" w14:textId="2AFB8800" w:rsidR="00432062" w:rsidRDefault="00432062">
      <w:pPr>
        <w:pStyle w:val="FootnoteText"/>
      </w:pPr>
      <w:r>
        <w:rPr>
          <w:rStyle w:val="FootnoteReference"/>
        </w:rPr>
        <w:footnoteRef/>
      </w:r>
      <w:r>
        <w:t xml:space="preserve"> </w:t>
      </w:r>
      <w:proofErr w:type="spellStart"/>
      <w:r w:rsidRPr="001835F7">
        <w:t>Caenegem</w:t>
      </w:r>
      <w:proofErr w:type="spellEnd"/>
      <w:r w:rsidRPr="001835F7">
        <w:t>,</w:t>
      </w:r>
      <w:r w:rsidR="006249DE" w:rsidRPr="006249DE">
        <w:rPr>
          <w:i/>
          <w:iCs/>
        </w:rPr>
        <w:t xml:space="preserve"> Birth of English Common Law</w:t>
      </w:r>
      <w:r w:rsidR="006249DE">
        <w:rPr>
          <w:i/>
          <w:iCs/>
        </w:rPr>
        <w:t>,</w:t>
      </w:r>
      <w:r w:rsidRPr="001835F7">
        <w:t xml:space="preserve"> </w:t>
      </w:r>
      <w:r w:rsidR="006249DE">
        <w:t>p.</w:t>
      </w:r>
      <w:r>
        <w:t xml:space="preserve"> 41-42.</w:t>
      </w:r>
    </w:p>
  </w:footnote>
  <w:footnote w:id="18">
    <w:p w14:paraId="2AA74B7F" w14:textId="767A2A3C" w:rsidR="00432062" w:rsidRDefault="00432062">
      <w:pPr>
        <w:pStyle w:val="FootnoteText"/>
      </w:pPr>
      <w:r>
        <w:rPr>
          <w:rStyle w:val="FootnoteReference"/>
        </w:rPr>
        <w:footnoteRef/>
      </w:r>
      <w:r w:rsidRPr="001835F7">
        <w:t xml:space="preserve"> </w:t>
      </w:r>
      <w:proofErr w:type="spellStart"/>
      <w:r w:rsidRPr="001835F7">
        <w:t>Caenegem</w:t>
      </w:r>
      <w:proofErr w:type="spellEnd"/>
      <w:r w:rsidRPr="001835F7">
        <w:t>,</w:t>
      </w:r>
      <w:r w:rsidR="006249DE" w:rsidRPr="006249DE">
        <w:rPr>
          <w:i/>
          <w:iCs/>
          <w:sz w:val="22"/>
          <w:szCs w:val="22"/>
        </w:rPr>
        <w:t xml:space="preserve"> </w:t>
      </w:r>
      <w:r w:rsidR="006249DE" w:rsidRPr="006249DE">
        <w:rPr>
          <w:i/>
          <w:iCs/>
        </w:rPr>
        <w:t>The Birth of the English Common Law</w:t>
      </w:r>
      <w:r w:rsidR="006249DE">
        <w:t>, p.</w:t>
      </w:r>
      <w:r>
        <w:t xml:space="preserve"> 69.</w:t>
      </w:r>
    </w:p>
  </w:footnote>
  <w:footnote w:id="19">
    <w:p w14:paraId="38822A7F" w14:textId="5288D49C" w:rsidR="00806C22" w:rsidRDefault="00806C22">
      <w:pPr>
        <w:pStyle w:val="FootnoteText"/>
      </w:pPr>
      <w:r>
        <w:rPr>
          <w:rStyle w:val="FootnoteReference"/>
        </w:rPr>
        <w:footnoteRef/>
      </w:r>
      <w:r>
        <w:t xml:space="preserve"> </w:t>
      </w:r>
      <w:r w:rsidR="00556FF0">
        <w:t xml:space="preserve">H. G. </w:t>
      </w:r>
      <w:r w:rsidRPr="00806C22">
        <w:t xml:space="preserve">Richardson and G. O. Sayles, </w:t>
      </w:r>
      <w:r w:rsidRPr="00806C22">
        <w:rPr>
          <w:i/>
          <w:iCs/>
        </w:rPr>
        <w:t>The Governance of Medieval England from the Conquest to Magna Carta</w:t>
      </w:r>
      <w:r w:rsidRPr="00806C22">
        <w:t xml:space="preserve"> (Edinburgh university press, 1963)</w:t>
      </w:r>
      <w:r>
        <w:t xml:space="preserve"> p.241-242.</w:t>
      </w:r>
    </w:p>
  </w:footnote>
  <w:footnote w:id="20">
    <w:p w14:paraId="03563E4E" w14:textId="4A74BD0A" w:rsidR="00FC4D8E" w:rsidRDefault="00FC4D8E">
      <w:pPr>
        <w:pStyle w:val="FootnoteText"/>
      </w:pPr>
      <w:r>
        <w:rPr>
          <w:rStyle w:val="FootnoteReference"/>
        </w:rPr>
        <w:footnoteRef/>
      </w:r>
      <w:r>
        <w:t xml:space="preserve"> </w:t>
      </w:r>
      <w:r w:rsidR="009A5E4A" w:rsidRPr="009A5E4A">
        <w:t xml:space="preserve">Richardson, and Sayles, </w:t>
      </w:r>
      <w:r w:rsidR="009A5E4A" w:rsidRPr="009A5E4A">
        <w:rPr>
          <w:i/>
          <w:iCs/>
        </w:rPr>
        <w:t>The Governance of Medieval England from the Conquest to Magna Carta</w:t>
      </w:r>
      <w:r w:rsidR="009A5E4A">
        <w:t>, p. 250.</w:t>
      </w:r>
    </w:p>
  </w:footnote>
  <w:footnote w:id="21">
    <w:p w14:paraId="359BD91F" w14:textId="573B407F" w:rsidR="00606A00" w:rsidRDefault="00606A00">
      <w:pPr>
        <w:pStyle w:val="FootnoteText"/>
      </w:pPr>
      <w:r>
        <w:rPr>
          <w:rStyle w:val="FootnoteReference"/>
        </w:rPr>
        <w:footnoteRef/>
      </w:r>
      <w:r>
        <w:t xml:space="preserve"> </w:t>
      </w:r>
      <w:r w:rsidR="00556FF0">
        <w:t xml:space="preserve">Reginald. L. </w:t>
      </w:r>
      <w:r w:rsidRPr="00606A00">
        <w:t>Poole,</w:t>
      </w:r>
      <w:r w:rsidR="00DC5C6D">
        <w:t xml:space="preserve"> </w:t>
      </w:r>
      <w:r w:rsidR="00DC5C6D" w:rsidRPr="00DC5C6D">
        <w:rPr>
          <w:i/>
        </w:rPr>
        <w:t>T</w:t>
      </w:r>
      <w:r w:rsidR="00DC5C6D">
        <w:rPr>
          <w:i/>
        </w:rPr>
        <w:t xml:space="preserve">he </w:t>
      </w:r>
      <w:r w:rsidRPr="00DC5C6D">
        <w:rPr>
          <w:i/>
          <w:iCs/>
        </w:rPr>
        <w:t>Exchequer</w:t>
      </w:r>
      <w:r w:rsidRPr="00606A00">
        <w:rPr>
          <w:i/>
          <w:iCs/>
        </w:rPr>
        <w:t xml:space="preserve"> in</w:t>
      </w:r>
      <w:r w:rsidR="00DC5C6D">
        <w:rPr>
          <w:i/>
          <w:iCs/>
        </w:rPr>
        <w:t xml:space="preserve"> the</w:t>
      </w:r>
      <w:r w:rsidRPr="00606A00">
        <w:rPr>
          <w:i/>
          <w:iCs/>
        </w:rPr>
        <w:t xml:space="preserve"> Twelfth Century</w:t>
      </w:r>
      <w:r w:rsidRPr="00606A00">
        <w:t xml:space="preserve"> (Oxford: Clarendon press, 1912)</w:t>
      </w:r>
      <w:r>
        <w:t xml:space="preserve"> p. 7.</w:t>
      </w:r>
    </w:p>
  </w:footnote>
  <w:footnote w:id="22">
    <w:p w14:paraId="4E398763" w14:textId="5695C2A6" w:rsidR="004D1393" w:rsidRDefault="004D1393">
      <w:pPr>
        <w:pStyle w:val="FootnoteText"/>
      </w:pPr>
      <w:r>
        <w:rPr>
          <w:rStyle w:val="FootnoteReference"/>
        </w:rPr>
        <w:footnoteRef/>
      </w:r>
      <w:r>
        <w:t xml:space="preserve"> </w:t>
      </w:r>
      <w:r w:rsidRPr="004D1393">
        <w:t>Poole,</w:t>
      </w:r>
      <w:r w:rsidRPr="004D1393">
        <w:rPr>
          <w:i/>
          <w:iCs/>
        </w:rPr>
        <w:t xml:space="preserve"> Exchequer in Twelfth Century</w:t>
      </w:r>
      <w:r>
        <w:t xml:space="preserve">, p. </w:t>
      </w:r>
      <w:r w:rsidR="006C6848">
        <w:t>56-59.</w:t>
      </w:r>
    </w:p>
  </w:footnote>
  <w:footnote w:id="23">
    <w:p w14:paraId="31C0649D" w14:textId="1B404255" w:rsidR="00FB4DE0" w:rsidRPr="00FB4DE0" w:rsidRDefault="00FB4DE0" w:rsidP="00FB4DE0">
      <w:pPr>
        <w:pStyle w:val="FootnoteText"/>
      </w:pPr>
      <w:r>
        <w:rPr>
          <w:rStyle w:val="FootnoteReference"/>
        </w:rPr>
        <w:footnoteRef/>
      </w:r>
      <w:r w:rsidR="003632E8">
        <w:t xml:space="preserve"> </w:t>
      </w:r>
      <w:r w:rsidRPr="00FB4DE0">
        <w:t xml:space="preserve">Kealey, </w:t>
      </w:r>
      <w:r w:rsidRPr="00FB4DE0">
        <w:rPr>
          <w:i/>
          <w:iCs/>
        </w:rPr>
        <w:t>Salisbury viceroy of England</w:t>
      </w:r>
      <w:r w:rsidR="003632E8">
        <w:rPr>
          <w:i/>
          <w:iCs/>
        </w:rPr>
        <w:t>,</w:t>
      </w:r>
      <w:r>
        <w:t xml:space="preserve"> p. 3.</w:t>
      </w:r>
    </w:p>
    <w:p w14:paraId="6A97EBC4" w14:textId="72CBC8AA" w:rsidR="00FB4DE0" w:rsidRDefault="00FB4DE0">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481E45"/>
    <w:multiLevelType w:val="hybridMultilevel"/>
    <w:tmpl w:val="08389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9E7"/>
    <w:rsid w:val="00020580"/>
    <w:rsid w:val="00046B28"/>
    <w:rsid w:val="00057439"/>
    <w:rsid w:val="00061B9C"/>
    <w:rsid w:val="00072172"/>
    <w:rsid w:val="00081507"/>
    <w:rsid w:val="00091EBA"/>
    <w:rsid w:val="000A63A1"/>
    <w:rsid w:val="000C3495"/>
    <w:rsid w:val="000C7FBA"/>
    <w:rsid w:val="000D3621"/>
    <w:rsid w:val="000E37FE"/>
    <w:rsid w:val="00101937"/>
    <w:rsid w:val="0010286B"/>
    <w:rsid w:val="0010341A"/>
    <w:rsid w:val="00116276"/>
    <w:rsid w:val="0012103C"/>
    <w:rsid w:val="001323A4"/>
    <w:rsid w:val="00150968"/>
    <w:rsid w:val="00171155"/>
    <w:rsid w:val="001835F7"/>
    <w:rsid w:val="00192760"/>
    <w:rsid w:val="001970CE"/>
    <w:rsid w:val="001C41D0"/>
    <w:rsid w:val="001E1A05"/>
    <w:rsid w:val="001E745F"/>
    <w:rsid w:val="00201620"/>
    <w:rsid w:val="002165DD"/>
    <w:rsid w:val="0024736E"/>
    <w:rsid w:val="002A3226"/>
    <w:rsid w:val="002D1EF5"/>
    <w:rsid w:val="002D2292"/>
    <w:rsid w:val="002D7D53"/>
    <w:rsid w:val="00312EFF"/>
    <w:rsid w:val="00347F2C"/>
    <w:rsid w:val="003632E8"/>
    <w:rsid w:val="00372CDF"/>
    <w:rsid w:val="003A205D"/>
    <w:rsid w:val="003A45DF"/>
    <w:rsid w:val="003B3BB0"/>
    <w:rsid w:val="00406DF0"/>
    <w:rsid w:val="00432062"/>
    <w:rsid w:val="00432BCA"/>
    <w:rsid w:val="00451BFF"/>
    <w:rsid w:val="0048211C"/>
    <w:rsid w:val="00485705"/>
    <w:rsid w:val="004D1393"/>
    <w:rsid w:val="004E0EC7"/>
    <w:rsid w:val="00505EE6"/>
    <w:rsid w:val="00511C29"/>
    <w:rsid w:val="00530A64"/>
    <w:rsid w:val="00534FDB"/>
    <w:rsid w:val="0054280F"/>
    <w:rsid w:val="00556FF0"/>
    <w:rsid w:val="0057059E"/>
    <w:rsid w:val="0059218C"/>
    <w:rsid w:val="005B094C"/>
    <w:rsid w:val="005B3389"/>
    <w:rsid w:val="005C0E6F"/>
    <w:rsid w:val="005C1377"/>
    <w:rsid w:val="005C5777"/>
    <w:rsid w:val="005E4662"/>
    <w:rsid w:val="00600173"/>
    <w:rsid w:val="00606A00"/>
    <w:rsid w:val="006249DE"/>
    <w:rsid w:val="00636C35"/>
    <w:rsid w:val="00690173"/>
    <w:rsid w:val="006910E3"/>
    <w:rsid w:val="006C41EB"/>
    <w:rsid w:val="006C6848"/>
    <w:rsid w:val="006D6B43"/>
    <w:rsid w:val="006E2D37"/>
    <w:rsid w:val="00711EEF"/>
    <w:rsid w:val="007225CB"/>
    <w:rsid w:val="0076471F"/>
    <w:rsid w:val="00773A30"/>
    <w:rsid w:val="007841EB"/>
    <w:rsid w:val="0079397C"/>
    <w:rsid w:val="007A668A"/>
    <w:rsid w:val="007E31A1"/>
    <w:rsid w:val="00806C22"/>
    <w:rsid w:val="00813245"/>
    <w:rsid w:val="00823230"/>
    <w:rsid w:val="00856BD3"/>
    <w:rsid w:val="00862E03"/>
    <w:rsid w:val="008A29E7"/>
    <w:rsid w:val="008E0114"/>
    <w:rsid w:val="008E10D8"/>
    <w:rsid w:val="008E62A9"/>
    <w:rsid w:val="00903C28"/>
    <w:rsid w:val="00906501"/>
    <w:rsid w:val="00920266"/>
    <w:rsid w:val="009546BB"/>
    <w:rsid w:val="009822CE"/>
    <w:rsid w:val="00987108"/>
    <w:rsid w:val="009A5E4A"/>
    <w:rsid w:val="009A743B"/>
    <w:rsid w:val="009C0B04"/>
    <w:rsid w:val="009D0201"/>
    <w:rsid w:val="009D2092"/>
    <w:rsid w:val="009D3190"/>
    <w:rsid w:val="009E47A8"/>
    <w:rsid w:val="009F1712"/>
    <w:rsid w:val="00A057BD"/>
    <w:rsid w:val="00A14CEB"/>
    <w:rsid w:val="00A31BF4"/>
    <w:rsid w:val="00A44E3D"/>
    <w:rsid w:val="00A51DA0"/>
    <w:rsid w:val="00A64673"/>
    <w:rsid w:val="00A9493C"/>
    <w:rsid w:val="00AC692A"/>
    <w:rsid w:val="00AC7A6F"/>
    <w:rsid w:val="00B54169"/>
    <w:rsid w:val="00B55884"/>
    <w:rsid w:val="00B76E95"/>
    <w:rsid w:val="00B82AD1"/>
    <w:rsid w:val="00B86814"/>
    <w:rsid w:val="00BA0A2C"/>
    <w:rsid w:val="00BD0E95"/>
    <w:rsid w:val="00C40563"/>
    <w:rsid w:val="00C55875"/>
    <w:rsid w:val="00C72D43"/>
    <w:rsid w:val="00C83740"/>
    <w:rsid w:val="00CF1458"/>
    <w:rsid w:val="00D02D3A"/>
    <w:rsid w:val="00D150D6"/>
    <w:rsid w:val="00D233B0"/>
    <w:rsid w:val="00D256C9"/>
    <w:rsid w:val="00D378FB"/>
    <w:rsid w:val="00D72451"/>
    <w:rsid w:val="00D73728"/>
    <w:rsid w:val="00D84010"/>
    <w:rsid w:val="00D92D97"/>
    <w:rsid w:val="00D95AAF"/>
    <w:rsid w:val="00DB682A"/>
    <w:rsid w:val="00DC5C6D"/>
    <w:rsid w:val="00DD1C7D"/>
    <w:rsid w:val="00DD3FBF"/>
    <w:rsid w:val="00DF5B9A"/>
    <w:rsid w:val="00DF7735"/>
    <w:rsid w:val="00E044FE"/>
    <w:rsid w:val="00E36081"/>
    <w:rsid w:val="00E40466"/>
    <w:rsid w:val="00E95CA5"/>
    <w:rsid w:val="00E96022"/>
    <w:rsid w:val="00E9780E"/>
    <w:rsid w:val="00EA2774"/>
    <w:rsid w:val="00EC1B52"/>
    <w:rsid w:val="00F24A88"/>
    <w:rsid w:val="00FA7CA8"/>
    <w:rsid w:val="00FB4DE0"/>
    <w:rsid w:val="00FC063B"/>
    <w:rsid w:val="00FC4D8E"/>
    <w:rsid w:val="00FC67AF"/>
    <w:rsid w:val="00FD2F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86725"/>
  <w15:chartTrackingRefBased/>
  <w15:docId w15:val="{5D9E1FD6-7641-4067-8D11-A02F82718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56C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4CEB"/>
    <w:pPr>
      <w:ind w:left="720"/>
      <w:contextualSpacing/>
    </w:pPr>
  </w:style>
  <w:style w:type="paragraph" w:styleId="FootnoteText">
    <w:name w:val="footnote text"/>
    <w:basedOn w:val="Normal"/>
    <w:link w:val="FootnoteTextChar"/>
    <w:uiPriority w:val="99"/>
    <w:semiHidden/>
    <w:unhideWhenUsed/>
    <w:rsid w:val="006C41E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C41EB"/>
    <w:rPr>
      <w:sz w:val="20"/>
      <w:szCs w:val="20"/>
    </w:rPr>
  </w:style>
  <w:style w:type="character" w:styleId="FootnoteReference">
    <w:name w:val="footnote reference"/>
    <w:basedOn w:val="DefaultParagraphFont"/>
    <w:uiPriority w:val="99"/>
    <w:semiHidden/>
    <w:unhideWhenUsed/>
    <w:rsid w:val="006C41EB"/>
    <w:rPr>
      <w:vertAlign w:val="superscript"/>
    </w:rPr>
  </w:style>
  <w:style w:type="character" w:customStyle="1" w:styleId="Heading1Char">
    <w:name w:val="Heading 1 Char"/>
    <w:basedOn w:val="DefaultParagraphFont"/>
    <w:link w:val="Heading1"/>
    <w:uiPriority w:val="9"/>
    <w:rsid w:val="00D256C9"/>
    <w:rPr>
      <w:rFonts w:asciiTheme="majorHAnsi" w:eastAsiaTheme="majorEastAsia" w:hAnsiTheme="majorHAnsi" w:cstheme="majorBidi"/>
      <w:color w:val="2F5496" w:themeColor="accent1" w:themeShade="BF"/>
      <w:sz w:val="32"/>
      <w:szCs w:val="32"/>
      <w:lang w:val="en-US"/>
    </w:rPr>
  </w:style>
  <w:style w:type="character" w:styleId="Hyperlink">
    <w:name w:val="Hyperlink"/>
    <w:basedOn w:val="DefaultParagraphFont"/>
    <w:uiPriority w:val="99"/>
    <w:unhideWhenUsed/>
    <w:rsid w:val="00D256C9"/>
    <w:rPr>
      <w:color w:val="0563C1" w:themeColor="hyperlink"/>
      <w:u w:val="single"/>
    </w:rPr>
  </w:style>
  <w:style w:type="character" w:styleId="UnresolvedMention">
    <w:name w:val="Unresolved Mention"/>
    <w:basedOn w:val="DefaultParagraphFont"/>
    <w:uiPriority w:val="99"/>
    <w:semiHidden/>
    <w:unhideWhenUsed/>
    <w:rsid w:val="00D256C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tor.or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215ED6-3E50-48D6-B9B3-C23F8CCC08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2206</TotalTime>
  <Pages>6</Pages>
  <Words>2272</Words>
  <Characters>12955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dc:creator>
  <cp:keywords/>
  <dc:description/>
  <cp:lastModifiedBy>Rosie</cp:lastModifiedBy>
  <cp:revision>28</cp:revision>
  <dcterms:created xsi:type="dcterms:W3CDTF">2018-02-15T12:21:00Z</dcterms:created>
  <dcterms:modified xsi:type="dcterms:W3CDTF">2018-03-11T15:19:00Z</dcterms:modified>
</cp:coreProperties>
</file>