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00C78" w14:textId="77777777" w:rsidR="00370D3E" w:rsidRDefault="00370D3E" w:rsidP="00B83DBF">
      <w:pPr>
        <w:spacing w:line="480" w:lineRule="auto"/>
        <w:rPr>
          <w:rFonts w:ascii="Arial" w:hAnsi="Arial" w:cs="Arial"/>
          <w:sz w:val="24"/>
          <w:szCs w:val="24"/>
        </w:rPr>
      </w:pPr>
    </w:p>
    <w:p w14:paraId="14210F94" w14:textId="77777777" w:rsidR="00B83DBF" w:rsidRDefault="00B83DBF" w:rsidP="00B83DBF">
      <w:pPr>
        <w:spacing w:line="480" w:lineRule="auto"/>
        <w:rPr>
          <w:rFonts w:ascii="Arial" w:hAnsi="Arial" w:cs="Arial"/>
          <w:sz w:val="24"/>
          <w:szCs w:val="24"/>
        </w:rPr>
      </w:pPr>
    </w:p>
    <w:p w14:paraId="0DF2C062" w14:textId="77777777" w:rsidR="00B83DBF" w:rsidRDefault="00B83DBF" w:rsidP="00B83DBF">
      <w:pPr>
        <w:spacing w:line="480" w:lineRule="auto"/>
        <w:rPr>
          <w:rFonts w:ascii="Arial" w:hAnsi="Arial" w:cs="Arial"/>
          <w:sz w:val="24"/>
          <w:szCs w:val="24"/>
        </w:rPr>
      </w:pPr>
    </w:p>
    <w:p w14:paraId="734962B0" w14:textId="77777777" w:rsidR="00B83DBF" w:rsidRDefault="00B83DBF" w:rsidP="00B83DBF">
      <w:pPr>
        <w:spacing w:line="480" w:lineRule="auto"/>
        <w:rPr>
          <w:rFonts w:ascii="Arial" w:hAnsi="Arial" w:cs="Arial"/>
          <w:sz w:val="24"/>
          <w:szCs w:val="24"/>
        </w:rPr>
      </w:pPr>
    </w:p>
    <w:p w14:paraId="20E2C577" w14:textId="5831B27E" w:rsidR="00B83DBF" w:rsidRDefault="004577B2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</w:t>
      </w:r>
      <w:r w:rsidR="00337DEC" w:rsidRPr="00337DEC">
        <w:rPr>
          <w:rFonts w:ascii="Arial" w:eastAsiaTheme="minorEastAsia" w:hAnsi="Arial" w:cs="Arial"/>
          <w:color w:val="000000" w:themeColor="text1"/>
          <w:kern w:val="24"/>
          <w:sz w:val="80"/>
          <w:szCs w:val="80"/>
          <w:lang w:val="en-US"/>
        </w:rPr>
        <w:t xml:space="preserve"> </w:t>
      </w:r>
      <w:r w:rsidR="00337DEC" w:rsidRPr="00337DEC">
        <w:rPr>
          <w:rFonts w:ascii="Arial" w:hAnsi="Arial" w:cs="Arial"/>
          <w:sz w:val="24"/>
          <w:szCs w:val="24"/>
          <w:lang w:val="en-US"/>
        </w:rPr>
        <w:t xml:space="preserve">Lorine </w:t>
      </w:r>
      <w:proofErr w:type="spellStart"/>
      <w:r w:rsidR="00337DEC" w:rsidRPr="00337DEC">
        <w:rPr>
          <w:rFonts w:ascii="Arial" w:hAnsi="Arial" w:cs="Arial"/>
          <w:sz w:val="24"/>
          <w:szCs w:val="24"/>
          <w:lang w:val="en-US"/>
        </w:rPr>
        <w:t>Aikpaojie</w:t>
      </w:r>
      <w:proofErr w:type="spellEnd"/>
    </w:p>
    <w:p w14:paraId="68E71A29" w14:textId="62061EAE" w:rsidR="004577B2" w:rsidRDefault="004577B2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</w:t>
      </w:r>
      <w:r w:rsidR="009F2D63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umber:</w:t>
      </w:r>
      <w:r w:rsidR="00337DEC">
        <w:rPr>
          <w:rFonts w:ascii="Arial" w:hAnsi="Arial" w:cs="Arial"/>
          <w:sz w:val="24"/>
          <w:szCs w:val="24"/>
        </w:rPr>
        <w:t xml:space="preserve"> </w:t>
      </w:r>
      <w:r w:rsidR="00337DEC" w:rsidRPr="00337DEC">
        <w:rPr>
          <w:rFonts w:ascii="Arial" w:hAnsi="Arial" w:cs="Arial"/>
          <w:sz w:val="24"/>
          <w:szCs w:val="24"/>
        </w:rPr>
        <w:t>2532537</w:t>
      </w:r>
    </w:p>
    <w:p w14:paraId="661F7516" w14:textId="7D99DD47" w:rsidR="004577B2" w:rsidRDefault="004577B2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</w:t>
      </w:r>
      <w:r w:rsidR="009F2D6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ode:</w:t>
      </w:r>
      <w:r w:rsidR="009F2D63">
        <w:rPr>
          <w:rFonts w:ascii="Arial" w:hAnsi="Arial" w:cs="Arial"/>
          <w:sz w:val="24"/>
          <w:szCs w:val="24"/>
        </w:rPr>
        <w:t xml:space="preserve"> </w:t>
      </w:r>
      <w:r w:rsidR="009F2D63" w:rsidRPr="009F2D63">
        <w:rPr>
          <w:rFonts w:ascii="Arial" w:hAnsi="Arial" w:cs="Arial"/>
          <w:sz w:val="24"/>
          <w:szCs w:val="24"/>
        </w:rPr>
        <w:t>LCHS7009</w:t>
      </w:r>
    </w:p>
    <w:p w14:paraId="2AA8DFDD" w14:textId="05E4BF1D" w:rsidR="004577B2" w:rsidRDefault="004577B2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</w:t>
      </w:r>
      <w:r w:rsidR="009F2D63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itle:</w:t>
      </w:r>
      <w:r w:rsidR="009F2D63">
        <w:rPr>
          <w:rFonts w:ascii="Arial" w:hAnsi="Arial" w:cs="Arial"/>
          <w:sz w:val="24"/>
          <w:szCs w:val="24"/>
        </w:rPr>
        <w:t xml:space="preserve"> </w:t>
      </w:r>
      <w:r w:rsidR="009F2D63" w:rsidRPr="009F2D63">
        <w:rPr>
          <w:rFonts w:ascii="Arial" w:hAnsi="Arial" w:cs="Arial"/>
          <w:sz w:val="24"/>
          <w:szCs w:val="24"/>
        </w:rPr>
        <w:t xml:space="preserve">Population Health and Digital Health Promotion  </w:t>
      </w:r>
    </w:p>
    <w:p w14:paraId="3DB7A0B5" w14:textId="270A72F3" w:rsidR="004577B2" w:rsidRDefault="004577B2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Lecturer </w:t>
      </w:r>
      <w:r w:rsidR="009F2D63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ame:</w:t>
      </w:r>
      <w:r w:rsidR="00337DEC">
        <w:rPr>
          <w:rFonts w:ascii="Arial" w:hAnsi="Arial" w:cs="Arial"/>
          <w:sz w:val="24"/>
          <w:szCs w:val="24"/>
        </w:rPr>
        <w:t xml:space="preserve"> </w:t>
      </w:r>
      <w:r w:rsidR="00337DEC" w:rsidRPr="00337DEC">
        <w:rPr>
          <w:rFonts w:ascii="Arial" w:hAnsi="Arial" w:cs="Arial"/>
          <w:sz w:val="24"/>
          <w:szCs w:val="24"/>
        </w:rPr>
        <w:t>Dr Ping Wu</w:t>
      </w:r>
    </w:p>
    <w:p w14:paraId="34A50D86" w14:textId="4E88F1FB" w:rsidR="004577B2" w:rsidRDefault="004577B2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Assignment </w:t>
      </w:r>
      <w:r w:rsidR="009F2D63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itle:</w:t>
      </w:r>
      <w:r w:rsidR="009F2D63">
        <w:rPr>
          <w:rFonts w:ascii="Arial" w:hAnsi="Arial" w:cs="Arial"/>
          <w:sz w:val="24"/>
          <w:szCs w:val="24"/>
        </w:rPr>
        <w:t xml:space="preserve"> Component 1</w:t>
      </w:r>
      <w:r w:rsidR="00A26B9B">
        <w:rPr>
          <w:rFonts w:ascii="Arial" w:hAnsi="Arial" w:cs="Arial"/>
          <w:sz w:val="24"/>
          <w:szCs w:val="24"/>
        </w:rPr>
        <w:t xml:space="preserve"> (2 blogs)</w:t>
      </w:r>
    </w:p>
    <w:p w14:paraId="0D6241A3" w14:textId="0D7CD107" w:rsidR="00A26B9B" w:rsidRDefault="00A26B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86B9F9C" w14:textId="537F6DCC" w:rsidR="00A26B9B" w:rsidRPr="000B5B2A" w:rsidRDefault="00A26B9B" w:rsidP="005D42D6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B5B2A">
        <w:rPr>
          <w:rFonts w:ascii="Arial" w:hAnsi="Arial" w:cs="Arial"/>
          <w:b/>
          <w:bCs/>
          <w:sz w:val="24"/>
          <w:szCs w:val="24"/>
        </w:rPr>
        <w:lastRenderedPageBreak/>
        <w:t xml:space="preserve">Blog 1: </w:t>
      </w:r>
      <w:r w:rsidR="0007152E" w:rsidRPr="000B5B2A">
        <w:rPr>
          <w:rFonts w:ascii="Arial" w:hAnsi="Arial" w:cs="Arial"/>
          <w:b/>
          <w:bCs/>
          <w:sz w:val="24"/>
          <w:szCs w:val="24"/>
        </w:rPr>
        <w:t xml:space="preserve">Can mobile health apps </w:t>
      </w:r>
      <w:r w:rsidR="000B5B2A" w:rsidRPr="000B5B2A">
        <w:rPr>
          <w:rFonts w:ascii="Arial" w:hAnsi="Arial" w:cs="Arial"/>
          <w:b/>
          <w:bCs/>
          <w:sz w:val="24"/>
          <w:szCs w:val="24"/>
        </w:rPr>
        <w:t>truly make diabetes prevention accessible to everyone?</w:t>
      </w:r>
    </w:p>
    <w:p w14:paraId="6261644F" w14:textId="0698512B" w:rsidR="000B5B2A" w:rsidRDefault="005B75CF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Non-communicable diseases (NCDs) account for more than 70% of death</w:t>
      </w:r>
      <w:r w:rsidR="00310EF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globally</w:t>
      </w:r>
      <w:r w:rsidR="000A720F">
        <w:rPr>
          <w:rFonts w:ascii="Arial" w:hAnsi="Arial" w:cs="Arial"/>
          <w:sz w:val="24"/>
          <w:szCs w:val="24"/>
        </w:rPr>
        <w:t xml:space="preserve"> and are conditions primarily driven by </w:t>
      </w:r>
      <w:r w:rsidR="00420A7F">
        <w:rPr>
          <w:rFonts w:ascii="Arial" w:hAnsi="Arial" w:cs="Arial"/>
          <w:sz w:val="24"/>
          <w:szCs w:val="24"/>
        </w:rPr>
        <w:t xml:space="preserve">modifiable behavioural risk factors such as unhealthy diets, physical inactivity, </w:t>
      </w:r>
      <w:r w:rsidR="00DF68F1">
        <w:rPr>
          <w:rFonts w:ascii="Arial" w:hAnsi="Arial" w:cs="Arial"/>
          <w:sz w:val="24"/>
          <w:szCs w:val="24"/>
        </w:rPr>
        <w:t>high</w:t>
      </w:r>
      <w:r w:rsidR="00B84ED5">
        <w:rPr>
          <w:rFonts w:ascii="Arial" w:hAnsi="Arial" w:cs="Arial"/>
          <w:sz w:val="24"/>
          <w:szCs w:val="24"/>
        </w:rPr>
        <w:t xml:space="preserve"> </w:t>
      </w:r>
      <w:r w:rsidR="00DF68F1">
        <w:rPr>
          <w:rFonts w:ascii="Arial" w:hAnsi="Arial" w:cs="Arial"/>
          <w:sz w:val="24"/>
          <w:szCs w:val="24"/>
        </w:rPr>
        <w:t xml:space="preserve">consumption of </w:t>
      </w:r>
      <w:r w:rsidR="00B84ED5">
        <w:rPr>
          <w:rFonts w:ascii="Arial" w:hAnsi="Arial" w:cs="Arial"/>
          <w:sz w:val="24"/>
          <w:szCs w:val="24"/>
        </w:rPr>
        <w:t>alcohol and tobacco</w:t>
      </w:r>
      <w:r w:rsidR="00310EF4">
        <w:rPr>
          <w:rFonts w:ascii="Arial" w:hAnsi="Arial" w:cs="Arial"/>
          <w:sz w:val="24"/>
          <w:szCs w:val="24"/>
        </w:rPr>
        <w:t xml:space="preserve"> use </w:t>
      </w:r>
      <w:r w:rsidR="00310EF4" w:rsidRPr="00310EF4">
        <w:rPr>
          <w:rFonts w:ascii="Arial" w:hAnsi="Arial" w:cs="Arial"/>
          <w:sz w:val="24"/>
          <w:szCs w:val="24"/>
        </w:rPr>
        <w:t>(Zhu </w:t>
      </w:r>
      <w:r w:rsidR="00310EF4" w:rsidRPr="00310EF4">
        <w:rPr>
          <w:rFonts w:ascii="Arial" w:hAnsi="Arial" w:cs="Arial"/>
          <w:i/>
          <w:iCs/>
          <w:sz w:val="24"/>
          <w:szCs w:val="24"/>
        </w:rPr>
        <w:t>et al.</w:t>
      </w:r>
      <w:r w:rsidR="00310EF4" w:rsidRPr="00310EF4">
        <w:rPr>
          <w:rFonts w:ascii="Arial" w:hAnsi="Arial" w:cs="Arial"/>
          <w:sz w:val="24"/>
          <w:szCs w:val="24"/>
        </w:rPr>
        <w:t>, 2025)</w:t>
      </w:r>
      <w:r w:rsidR="00B84ED5">
        <w:rPr>
          <w:rFonts w:ascii="Arial" w:hAnsi="Arial" w:cs="Arial"/>
          <w:sz w:val="24"/>
          <w:szCs w:val="24"/>
        </w:rPr>
        <w:t>.</w:t>
      </w:r>
      <w:r w:rsidR="00B10FB7">
        <w:rPr>
          <w:rFonts w:ascii="Arial" w:hAnsi="Arial" w:cs="Arial"/>
          <w:sz w:val="24"/>
          <w:szCs w:val="24"/>
        </w:rPr>
        <w:t xml:space="preserve"> Type 2 diabetes mellitus is a major </w:t>
      </w:r>
      <w:r w:rsidR="006C7925">
        <w:rPr>
          <w:rFonts w:ascii="Arial" w:hAnsi="Arial" w:cs="Arial"/>
          <w:sz w:val="24"/>
          <w:szCs w:val="24"/>
        </w:rPr>
        <w:t>NCD,</w:t>
      </w:r>
      <w:r w:rsidR="00B10FB7">
        <w:rPr>
          <w:rFonts w:ascii="Arial" w:hAnsi="Arial" w:cs="Arial"/>
          <w:sz w:val="24"/>
          <w:szCs w:val="24"/>
        </w:rPr>
        <w:t xml:space="preserve"> and one closely associated with </w:t>
      </w:r>
      <w:r w:rsidR="00D917AF">
        <w:rPr>
          <w:rFonts w:ascii="Arial" w:hAnsi="Arial" w:cs="Arial"/>
          <w:sz w:val="24"/>
          <w:szCs w:val="24"/>
        </w:rPr>
        <w:t xml:space="preserve">sedentary lifestyles and </w:t>
      </w:r>
      <w:r w:rsidR="00B30509">
        <w:rPr>
          <w:rFonts w:ascii="Arial" w:hAnsi="Arial" w:cs="Arial"/>
          <w:sz w:val="24"/>
          <w:szCs w:val="24"/>
        </w:rPr>
        <w:t>living with over</w:t>
      </w:r>
      <w:r w:rsidR="00660F72">
        <w:rPr>
          <w:rFonts w:ascii="Arial" w:hAnsi="Arial" w:cs="Arial"/>
          <w:sz w:val="24"/>
          <w:szCs w:val="24"/>
        </w:rPr>
        <w:t>weight or obesity</w:t>
      </w:r>
      <w:r w:rsidR="00DE5C12">
        <w:rPr>
          <w:rFonts w:ascii="Arial" w:hAnsi="Arial" w:cs="Arial"/>
          <w:sz w:val="24"/>
          <w:szCs w:val="24"/>
        </w:rPr>
        <w:t xml:space="preserve"> </w:t>
      </w:r>
      <w:r w:rsidR="00DE5C12" w:rsidRPr="00DE5C12">
        <w:rPr>
          <w:rFonts w:ascii="Arial" w:hAnsi="Arial" w:cs="Arial"/>
          <w:sz w:val="24"/>
          <w:szCs w:val="24"/>
        </w:rPr>
        <w:t>(National Institute of Diabetes and Digestive and Kidney Diseases (NIDDK), 2022)</w:t>
      </w:r>
      <w:r w:rsidR="00D917AF">
        <w:rPr>
          <w:rFonts w:ascii="Arial" w:hAnsi="Arial" w:cs="Arial"/>
          <w:sz w:val="24"/>
          <w:szCs w:val="24"/>
        </w:rPr>
        <w:t>.</w:t>
      </w:r>
      <w:r w:rsidR="0029173A">
        <w:rPr>
          <w:rFonts w:ascii="Arial" w:hAnsi="Arial" w:cs="Arial"/>
          <w:sz w:val="24"/>
          <w:szCs w:val="24"/>
        </w:rPr>
        <w:t xml:space="preserve"> The rise in obesity and physical inactivity worldwide necessitates developing scalable and cost-effective solutions. </w:t>
      </w:r>
      <w:r w:rsidR="003008C1" w:rsidRPr="003008C1">
        <w:rPr>
          <w:rFonts w:ascii="Arial" w:hAnsi="Arial" w:cs="Arial"/>
          <w:sz w:val="24"/>
          <w:szCs w:val="24"/>
        </w:rPr>
        <w:t xml:space="preserve">Mobile health (mHealth) applications have </w:t>
      </w:r>
      <w:r w:rsidR="00CE6FAE">
        <w:rPr>
          <w:rFonts w:ascii="Arial" w:hAnsi="Arial" w:cs="Arial"/>
          <w:sz w:val="24"/>
          <w:szCs w:val="24"/>
        </w:rPr>
        <w:t>been increasingly seen as a promising tool</w:t>
      </w:r>
      <w:r w:rsidR="003008C1">
        <w:rPr>
          <w:rFonts w:ascii="Arial" w:hAnsi="Arial" w:cs="Arial"/>
          <w:sz w:val="24"/>
          <w:szCs w:val="24"/>
        </w:rPr>
        <w:t xml:space="preserve"> in supporting healthier behaviours,</w:t>
      </w:r>
      <w:r w:rsidR="00EB73E4">
        <w:rPr>
          <w:rFonts w:ascii="Arial" w:hAnsi="Arial" w:cs="Arial"/>
          <w:sz w:val="24"/>
          <w:szCs w:val="24"/>
        </w:rPr>
        <w:t xml:space="preserve"> since they have 24/7 accessibility</w:t>
      </w:r>
      <w:r w:rsidR="00F1033F">
        <w:rPr>
          <w:rFonts w:ascii="Arial" w:hAnsi="Arial" w:cs="Arial"/>
          <w:sz w:val="24"/>
          <w:szCs w:val="24"/>
        </w:rPr>
        <w:t>,</w:t>
      </w:r>
      <w:r w:rsidR="00EB73E4">
        <w:rPr>
          <w:rFonts w:ascii="Arial" w:hAnsi="Arial" w:cs="Arial"/>
          <w:sz w:val="24"/>
          <w:szCs w:val="24"/>
        </w:rPr>
        <w:t xml:space="preserve"> offer personalised interventions</w:t>
      </w:r>
      <w:r w:rsidR="00F1033F">
        <w:rPr>
          <w:rFonts w:ascii="Arial" w:hAnsi="Arial" w:cs="Arial"/>
          <w:sz w:val="24"/>
          <w:szCs w:val="24"/>
        </w:rPr>
        <w:t xml:space="preserve">, and possess capabilities for real-time monitoring </w:t>
      </w:r>
      <w:r w:rsidR="005322F7" w:rsidRPr="005322F7">
        <w:rPr>
          <w:rFonts w:ascii="Arial" w:hAnsi="Arial" w:cs="Arial"/>
          <w:sz w:val="24"/>
          <w:szCs w:val="24"/>
        </w:rPr>
        <w:t>(</w:t>
      </w:r>
      <w:proofErr w:type="spellStart"/>
      <w:r w:rsidR="005322F7" w:rsidRPr="005322F7">
        <w:rPr>
          <w:rFonts w:ascii="Arial" w:hAnsi="Arial" w:cs="Arial"/>
          <w:sz w:val="24"/>
          <w:szCs w:val="24"/>
        </w:rPr>
        <w:t>Almohammadi</w:t>
      </w:r>
      <w:proofErr w:type="spellEnd"/>
      <w:r w:rsidR="005322F7" w:rsidRPr="005322F7">
        <w:rPr>
          <w:rFonts w:ascii="Arial" w:hAnsi="Arial" w:cs="Arial"/>
          <w:sz w:val="24"/>
          <w:szCs w:val="24"/>
        </w:rPr>
        <w:t>, 2026)</w:t>
      </w:r>
      <w:r w:rsidR="00EB73E4">
        <w:rPr>
          <w:rFonts w:ascii="Arial" w:hAnsi="Arial" w:cs="Arial"/>
          <w:sz w:val="24"/>
          <w:szCs w:val="24"/>
        </w:rPr>
        <w:t>.</w:t>
      </w:r>
    </w:p>
    <w:p w14:paraId="395CE2B1" w14:textId="0B091009" w:rsidR="00F1033F" w:rsidRDefault="001E264E" w:rsidP="00B83DB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Mobile health apps can be seen to address </w:t>
      </w:r>
      <w:r w:rsidR="00B15B99">
        <w:rPr>
          <w:rFonts w:ascii="Arial" w:hAnsi="Arial" w:cs="Arial"/>
          <w:sz w:val="24"/>
          <w:szCs w:val="24"/>
        </w:rPr>
        <w:t xml:space="preserve">this public health issue by </w:t>
      </w:r>
      <w:r w:rsidR="000751A8">
        <w:rPr>
          <w:rFonts w:ascii="Arial" w:hAnsi="Arial" w:cs="Arial"/>
          <w:sz w:val="24"/>
          <w:szCs w:val="24"/>
        </w:rPr>
        <w:t xml:space="preserve">taking evidence-based interventions, such as the </w:t>
      </w:r>
      <w:r w:rsidR="004037C7">
        <w:rPr>
          <w:rFonts w:ascii="Arial" w:hAnsi="Arial" w:cs="Arial"/>
          <w:sz w:val="24"/>
          <w:szCs w:val="24"/>
        </w:rPr>
        <w:t xml:space="preserve">National Health Service </w:t>
      </w:r>
      <w:r w:rsidR="000751A8">
        <w:rPr>
          <w:rFonts w:ascii="Arial" w:hAnsi="Arial" w:cs="Arial"/>
          <w:sz w:val="24"/>
          <w:szCs w:val="24"/>
        </w:rPr>
        <w:t>Diabetes Prevention Program</w:t>
      </w:r>
      <w:r w:rsidR="007A22D7">
        <w:rPr>
          <w:rFonts w:ascii="Arial" w:hAnsi="Arial" w:cs="Arial"/>
          <w:sz w:val="24"/>
          <w:szCs w:val="24"/>
        </w:rPr>
        <w:t xml:space="preserve"> (NHS DPP)</w:t>
      </w:r>
      <w:r w:rsidR="000751A8">
        <w:rPr>
          <w:rFonts w:ascii="Arial" w:hAnsi="Arial" w:cs="Arial"/>
          <w:sz w:val="24"/>
          <w:szCs w:val="24"/>
        </w:rPr>
        <w:t>, and translating them into digital formats</w:t>
      </w:r>
      <w:r w:rsidR="00F40D58">
        <w:rPr>
          <w:rFonts w:ascii="Arial" w:hAnsi="Arial" w:cs="Arial"/>
          <w:sz w:val="24"/>
          <w:szCs w:val="24"/>
        </w:rPr>
        <w:t xml:space="preserve"> </w:t>
      </w:r>
      <w:r w:rsidR="00F40D58" w:rsidRPr="00860EFC">
        <w:rPr>
          <w:rFonts w:ascii="Arial" w:hAnsi="Arial" w:cs="Arial"/>
          <w:sz w:val="24"/>
          <w:szCs w:val="24"/>
        </w:rPr>
        <w:t>(Barron </w:t>
      </w:r>
      <w:r w:rsidR="00F40D58" w:rsidRPr="00860EFC">
        <w:rPr>
          <w:rFonts w:ascii="Arial" w:hAnsi="Arial" w:cs="Arial"/>
          <w:i/>
          <w:iCs/>
          <w:sz w:val="24"/>
          <w:szCs w:val="24"/>
        </w:rPr>
        <w:t>et al.</w:t>
      </w:r>
      <w:r w:rsidR="00F40D58" w:rsidRPr="00860EFC">
        <w:rPr>
          <w:rFonts w:ascii="Arial" w:hAnsi="Arial" w:cs="Arial"/>
          <w:sz w:val="24"/>
          <w:szCs w:val="24"/>
        </w:rPr>
        <w:t>, 2022)</w:t>
      </w:r>
      <w:r w:rsidR="000751A8">
        <w:rPr>
          <w:rFonts w:ascii="Arial" w:hAnsi="Arial" w:cs="Arial"/>
          <w:sz w:val="24"/>
          <w:szCs w:val="24"/>
        </w:rPr>
        <w:t>.</w:t>
      </w:r>
      <w:r w:rsidR="004F2F65">
        <w:rPr>
          <w:rFonts w:ascii="Arial" w:hAnsi="Arial" w:cs="Arial"/>
          <w:sz w:val="24"/>
          <w:szCs w:val="24"/>
        </w:rPr>
        <w:t xml:space="preserve"> They offer support similar to the face-to-face programme but in a digitised way</w:t>
      </w:r>
      <w:r w:rsidR="00944104">
        <w:rPr>
          <w:rFonts w:ascii="Arial" w:hAnsi="Arial" w:cs="Arial"/>
          <w:sz w:val="24"/>
          <w:szCs w:val="24"/>
        </w:rPr>
        <w:t xml:space="preserve"> since the apps allow users to access online peer support groups, health coaches, </w:t>
      </w:r>
      <w:r w:rsidR="006D17BC">
        <w:rPr>
          <w:rFonts w:ascii="Arial" w:hAnsi="Arial" w:cs="Arial"/>
          <w:sz w:val="24"/>
          <w:szCs w:val="24"/>
        </w:rPr>
        <w:t>electronically setting and monitoring goals, and accommodating wearable technologies that monitor levels of exercise</w:t>
      </w:r>
      <w:r w:rsidR="00860EFC">
        <w:rPr>
          <w:rFonts w:ascii="Arial" w:hAnsi="Arial" w:cs="Arial"/>
          <w:sz w:val="24"/>
          <w:szCs w:val="24"/>
        </w:rPr>
        <w:t xml:space="preserve"> </w:t>
      </w:r>
      <w:r w:rsidR="00860EFC" w:rsidRPr="00860EFC">
        <w:rPr>
          <w:rFonts w:ascii="Arial" w:hAnsi="Arial" w:cs="Arial"/>
          <w:sz w:val="24"/>
          <w:szCs w:val="24"/>
        </w:rPr>
        <w:t>(Barron </w:t>
      </w:r>
      <w:r w:rsidR="00860EFC" w:rsidRPr="00860EFC">
        <w:rPr>
          <w:rFonts w:ascii="Arial" w:hAnsi="Arial" w:cs="Arial"/>
          <w:i/>
          <w:iCs/>
          <w:sz w:val="24"/>
          <w:szCs w:val="24"/>
        </w:rPr>
        <w:t>et al.</w:t>
      </w:r>
      <w:r w:rsidR="00860EFC" w:rsidRPr="00860EFC">
        <w:rPr>
          <w:rFonts w:ascii="Arial" w:hAnsi="Arial" w:cs="Arial"/>
          <w:sz w:val="24"/>
          <w:szCs w:val="24"/>
        </w:rPr>
        <w:t>, 2022)</w:t>
      </w:r>
      <w:r w:rsidR="006D17BC">
        <w:rPr>
          <w:rFonts w:ascii="Arial" w:hAnsi="Arial" w:cs="Arial"/>
          <w:sz w:val="24"/>
          <w:szCs w:val="24"/>
        </w:rPr>
        <w:t>.</w:t>
      </w:r>
      <w:r w:rsidR="0019012C">
        <w:rPr>
          <w:rFonts w:ascii="Arial" w:hAnsi="Arial" w:cs="Arial"/>
          <w:sz w:val="24"/>
          <w:szCs w:val="24"/>
        </w:rPr>
        <w:t xml:space="preserve"> The study by </w:t>
      </w:r>
      <w:proofErr w:type="spellStart"/>
      <w:r w:rsidR="0019012C" w:rsidRPr="005322F7">
        <w:rPr>
          <w:rFonts w:ascii="Arial" w:hAnsi="Arial" w:cs="Arial"/>
          <w:sz w:val="24"/>
          <w:szCs w:val="24"/>
        </w:rPr>
        <w:t>Almohammadi</w:t>
      </w:r>
      <w:proofErr w:type="spellEnd"/>
      <w:r w:rsidR="0019012C" w:rsidRPr="005322F7">
        <w:rPr>
          <w:rFonts w:ascii="Arial" w:hAnsi="Arial" w:cs="Arial"/>
          <w:sz w:val="24"/>
          <w:szCs w:val="24"/>
        </w:rPr>
        <w:t xml:space="preserve"> </w:t>
      </w:r>
      <w:r w:rsidR="0019012C">
        <w:rPr>
          <w:rFonts w:ascii="Arial" w:hAnsi="Arial" w:cs="Arial"/>
          <w:sz w:val="24"/>
          <w:szCs w:val="24"/>
        </w:rPr>
        <w:t>(</w:t>
      </w:r>
      <w:r w:rsidR="0019012C" w:rsidRPr="005322F7">
        <w:rPr>
          <w:rFonts w:ascii="Arial" w:hAnsi="Arial" w:cs="Arial"/>
          <w:sz w:val="24"/>
          <w:szCs w:val="24"/>
        </w:rPr>
        <w:t>2026)</w:t>
      </w:r>
      <w:r w:rsidR="0019012C">
        <w:rPr>
          <w:rFonts w:ascii="Arial" w:hAnsi="Arial" w:cs="Arial"/>
          <w:sz w:val="24"/>
          <w:szCs w:val="24"/>
        </w:rPr>
        <w:t xml:space="preserve"> shows that mobile health interventions show </w:t>
      </w:r>
      <w:r w:rsidR="00050A03">
        <w:rPr>
          <w:rFonts w:ascii="Arial" w:hAnsi="Arial" w:cs="Arial"/>
          <w:sz w:val="24"/>
          <w:szCs w:val="24"/>
        </w:rPr>
        <w:t xml:space="preserve">consistent glycaemic improvements, with HbA1c reductions of </w:t>
      </w:r>
      <w:r w:rsidR="009A52FF">
        <w:rPr>
          <w:rFonts w:ascii="Arial" w:hAnsi="Arial" w:cs="Arial"/>
          <w:sz w:val="24"/>
          <w:szCs w:val="24"/>
        </w:rPr>
        <w:t>-</w:t>
      </w:r>
      <w:r w:rsidR="009A52FF" w:rsidRPr="009A52FF">
        <w:rPr>
          <w:rFonts w:ascii="Arial" w:hAnsi="Arial" w:cs="Arial"/>
          <w:sz w:val="24"/>
          <w:szCs w:val="24"/>
        </w:rPr>
        <w:t xml:space="preserve">0.49% (95% CI: </w:t>
      </w:r>
      <w:r w:rsidR="009A52FF">
        <w:rPr>
          <w:rFonts w:ascii="Arial" w:hAnsi="Arial" w:cs="Arial"/>
          <w:sz w:val="24"/>
          <w:szCs w:val="24"/>
        </w:rPr>
        <w:t>-</w:t>
      </w:r>
      <w:r w:rsidR="009A52FF" w:rsidRPr="009A52FF">
        <w:rPr>
          <w:rFonts w:ascii="Arial" w:hAnsi="Arial" w:cs="Arial"/>
          <w:sz w:val="24"/>
          <w:szCs w:val="24"/>
        </w:rPr>
        <w:t xml:space="preserve">0.65% to </w:t>
      </w:r>
      <w:r w:rsidR="009A52FF">
        <w:rPr>
          <w:rFonts w:ascii="Arial" w:hAnsi="Arial" w:cs="Arial"/>
          <w:sz w:val="24"/>
          <w:szCs w:val="24"/>
        </w:rPr>
        <w:t>-</w:t>
      </w:r>
      <w:r w:rsidR="009A52FF" w:rsidRPr="009A52FF">
        <w:rPr>
          <w:rFonts w:ascii="Arial" w:hAnsi="Arial" w:cs="Arial"/>
          <w:sz w:val="24"/>
          <w:szCs w:val="24"/>
        </w:rPr>
        <w:t>0.32%)</w:t>
      </w:r>
      <w:r w:rsidR="00CE3355">
        <w:rPr>
          <w:rFonts w:ascii="Arial" w:hAnsi="Arial" w:cs="Arial"/>
          <w:sz w:val="24"/>
          <w:szCs w:val="24"/>
        </w:rPr>
        <w:t xml:space="preserve"> seen in comparison to standard care.</w:t>
      </w:r>
      <w:r w:rsidR="00F90599">
        <w:rPr>
          <w:rFonts w:ascii="Arial" w:hAnsi="Arial" w:cs="Arial"/>
          <w:sz w:val="24"/>
          <w:szCs w:val="24"/>
        </w:rPr>
        <w:t xml:space="preserve"> The systematic review </w:t>
      </w:r>
      <w:r w:rsidR="008A14D9">
        <w:rPr>
          <w:rFonts w:ascii="Arial" w:hAnsi="Arial" w:cs="Arial"/>
          <w:sz w:val="24"/>
          <w:szCs w:val="24"/>
        </w:rPr>
        <w:t xml:space="preserve">by </w:t>
      </w:r>
      <w:r w:rsidR="008A14D9" w:rsidRPr="008A14D9">
        <w:rPr>
          <w:rFonts w:ascii="Arial" w:hAnsi="Arial" w:cs="Arial"/>
          <w:sz w:val="24"/>
          <w:szCs w:val="24"/>
        </w:rPr>
        <w:t>Mladin </w:t>
      </w:r>
      <w:r w:rsidR="008A14D9" w:rsidRPr="008A14D9">
        <w:rPr>
          <w:rFonts w:ascii="Arial" w:hAnsi="Arial" w:cs="Arial"/>
          <w:i/>
          <w:iCs/>
          <w:sz w:val="24"/>
          <w:szCs w:val="24"/>
        </w:rPr>
        <w:t>et al.</w:t>
      </w:r>
      <w:r w:rsidR="008A14D9">
        <w:rPr>
          <w:rFonts w:ascii="Arial" w:hAnsi="Arial" w:cs="Arial"/>
          <w:sz w:val="24"/>
          <w:szCs w:val="24"/>
        </w:rPr>
        <w:t xml:space="preserve"> (</w:t>
      </w:r>
      <w:r w:rsidR="008A14D9" w:rsidRPr="008A14D9">
        <w:rPr>
          <w:rFonts w:ascii="Arial" w:hAnsi="Arial" w:cs="Arial"/>
          <w:sz w:val="24"/>
          <w:szCs w:val="24"/>
        </w:rPr>
        <w:t>2024)</w:t>
      </w:r>
      <w:r w:rsidR="004B1785">
        <w:rPr>
          <w:rFonts w:ascii="Arial" w:hAnsi="Arial" w:cs="Arial"/>
          <w:sz w:val="24"/>
          <w:szCs w:val="24"/>
        </w:rPr>
        <w:t xml:space="preserve"> also confirmed that mobile health apps can empower patients living with chronic conditions like diabetes by providing personalised </w:t>
      </w:r>
      <w:r w:rsidR="004B1785">
        <w:rPr>
          <w:rFonts w:ascii="Arial" w:hAnsi="Arial" w:cs="Arial"/>
          <w:sz w:val="24"/>
          <w:szCs w:val="24"/>
        </w:rPr>
        <w:lastRenderedPageBreak/>
        <w:t xml:space="preserve">tools for accessing educational resources, tracking health behaviours, and </w:t>
      </w:r>
      <w:r w:rsidR="008D69F7">
        <w:rPr>
          <w:rFonts w:ascii="Arial" w:hAnsi="Arial" w:cs="Arial"/>
          <w:sz w:val="24"/>
          <w:szCs w:val="24"/>
        </w:rPr>
        <w:t>linking them with supportive communities.</w:t>
      </w:r>
    </w:p>
    <w:p w14:paraId="27D245EA" w14:textId="7645CA35" w:rsidR="008D69F7" w:rsidRPr="0019012C" w:rsidRDefault="008D69F7" w:rsidP="00B83DBF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impact of these technologies is however not felt uniformly. </w:t>
      </w:r>
      <w:r w:rsidR="00FB52A2">
        <w:rPr>
          <w:rFonts w:ascii="Arial" w:hAnsi="Arial" w:cs="Arial"/>
          <w:sz w:val="24"/>
          <w:szCs w:val="24"/>
        </w:rPr>
        <w:t xml:space="preserve">Digital interventions are often seen to </w:t>
      </w:r>
      <w:r w:rsidR="007F419B">
        <w:rPr>
          <w:rFonts w:ascii="Arial" w:hAnsi="Arial" w:cs="Arial"/>
          <w:sz w:val="24"/>
          <w:szCs w:val="24"/>
        </w:rPr>
        <w:t>serve the more privileged and affluent users better than populations which are less privileged – this phenomenon is referred to as the digital health divide</w:t>
      </w:r>
      <w:r w:rsidR="00636FA7">
        <w:rPr>
          <w:rFonts w:ascii="Arial" w:hAnsi="Arial" w:cs="Arial"/>
          <w:sz w:val="24"/>
          <w:szCs w:val="24"/>
        </w:rPr>
        <w:t xml:space="preserve"> </w:t>
      </w:r>
      <w:r w:rsidR="00636FA7" w:rsidRPr="00636FA7">
        <w:rPr>
          <w:rFonts w:ascii="Arial" w:hAnsi="Arial" w:cs="Arial"/>
          <w:sz w:val="24"/>
          <w:szCs w:val="24"/>
        </w:rPr>
        <w:t>(Western </w:t>
      </w:r>
      <w:r w:rsidR="00636FA7" w:rsidRPr="00636FA7">
        <w:rPr>
          <w:rFonts w:ascii="Arial" w:hAnsi="Arial" w:cs="Arial"/>
          <w:i/>
          <w:iCs/>
          <w:sz w:val="24"/>
          <w:szCs w:val="24"/>
        </w:rPr>
        <w:t>et al.</w:t>
      </w:r>
      <w:r w:rsidR="00636FA7" w:rsidRPr="00636FA7">
        <w:rPr>
          <w:rFonts w:ascii="Arial" w:hAnsi="Arial" w:cs="Arial"/>
          <w:sz w:val="24"/>
          <w:szCs w:val="24"/>
        </w:rPr>
        <w:t>, 2025)</w:t>
      </w:r>
      <w:r w:rsidR="007F419B">
        <w:rPr>
          <w:rFonts w:ascii="Arial" w:hAnsi="Arial" w:cs="Arial"/>
          <w:sz w:val="24"/>
          <w:szCs w:val="24"/>
        </w:rPr>
        <w:t>.</w:t>
      </w:r>
      <w:r w:rsidR="00636FA7">
        <w:rPr>
          <w:rFonts w:ascii="Arial" w:hAnsi="Arial" w:cs="Arial"/>
          <w:sz w:val="24"/>
          <w:szCs w:val="24"/>
        </w:rPr>
        <w:t xml:space="preserve"> Meanwhile, the latter are often the group which is </w:t>
      </w:r>
      <w:r w:rsidR="003453E1">
        <w:rPr>
          <w:rFonts w:ascii="Arial" w:hAnsi="Arial" w:cs="Arial"/>
          <w:sz w:val="24"/>
          <w:szCs w:val="24"/>
        </w:rPr>
        <w:t xml:space="preserve">usually at the highest risk of developing NCDs, such as diabetes. </w:t>
      </w:r>
      <w:r w:rsidR="00B87EA2">
        <w:rPr>
          <w:rFonts w:ascii="Arial" w:hAnsi="Arial" w:cs="Arial"/>
          <w:sz w:val="24"/>
          <w:szCs w:val="24"/>
        </w:rPr>
        <w:t>Individuals with higher digital literacy and harbour more positive attitudes towards e-services are more likely to engage with digital health i</w:t>
      </w:r>
      <w:r w:rsidR="0042693E">
        <w:rPr>
          <w:rFonts w:ascii="Arial" w:hAnsi="Arial" w:cs="Arial"/>
          <w:sz w:val="24"/>
          <w:szCs w:val="24"/>
        </w:rPr>
        <w:t>nt</w:t>
      </w:r>
      <w:r w:rsidR="00B87EA2">
        <w:rPr>
          <w:rFonts w:ascii="Arial" w:hAnsi="Arial" w:cs="Arial"/>
          <w:sz w:val="24"/>
          <w:szCs w:val="24"/>
        </w:rPr>
        <w:t>erventions</w:t>
      </w:r>
      <w:r w:rsidR="003428A1">
        <w:rPr>
          <w:rFonts w:ascii="Arial" w:hAnsi="Arial" w:cs="Arial"/>
          <w:sz w:val="24"/>
          <w:szCs w:val="24"/>
        </w:rPr>
        <w:t xml:space="preserve"> </w:t>
      </w:r>
      <w:r w:rsidR="003428A1" w:rsidRPr="003428A1">
        <w:rPr>
          <w:rFonts w:ascii="Arial" w:hAnsi="Arial" w:cs="Arial"/>
          <w:sz w:val="24"/>
          <w:szCs w:val="24"/>
        </w:rPr>
        <w:t>(Ruotsalainen </w:t>
      </w:r>
      <w:r w:rsidR="003428A1" w:rsidRPr="003428A1">
        <w:rPr>
          <w:rFonts w:ascii="Arial" w:hAnsi="Arial" w:cs="Arial"/>
          <w:i/>
          <w:iCs/>
          <w:sz w:val="24"/>
          <w:szCs w:val="24"/>
        </w:rPr>
        <w:t>et al.</w:t>
      </w:r>
      <w:r w:rsidR="003428A1" w:rsidRPr="003428A1">
        <w:rPr>
          <w:rFonts w:ascii="Arial" w:hAnsi="Arial" w:cs="Arial"/>
          <w:sz w:val="24"/>
          <w:szCs w:val="24"/>
        </w:rPr>
        <w:t>, 2025)</w:t>
      </w:r>
      <w:r w:rsidR="003428A1">
        <w:rPr>
          <w:rFonts w:ascii="Arial" w:hAnsi="Arial" w:cs="Arial"/>
          <w:sz w:val="24"/>
          <w:szCs w:val="24"/>
        </w:rPr>
        <w:t xml:space="preserve">. </w:t>
      </w:r>
      <w:r w:rsidR="00B81D53">
        <w:rPr>
          <w:rFonts w:ascii="Arial" w:hAnsi="Arial" w:cs="Arial"/>
          <w:sz w:val="24"/>
          <w:szCs w:val="24"/>
        </w:rPr>
        <w:t xml:space="preserve">To address this shortfall, a shift towards promoting equity through </w:t>
      </w:r>
      <w:r w:rsidR="00334930">
        <w:rPr>
          <w:rFonts w:ascii="Arial" w:hAnsi="Arial" w:cs="Arial"/>
          <w:sz w:val="24"/>
          <w:szCs w:val="24"/>
        </w:rPr>
        <w:t>the design</w:t>
      </w:r>
      <w:r w:rsidR="00E825C3">
        <w:rPr>
          <w:rFonts w:ascii="Arial" w:hAnsi="Arial" w:cs="Arial"/>
          <w:sz w:val="24"/>
          <w:szCs w:val="24"/>
        </w:rPr>
        <w:t xml:space="preserve"> of interventions is needed</w:t>
      </w:r>
      <w:r w:rsidR="006E6C2C">
        <w:rPr>
          <w:rFonts w:ascii="Arial" w:hAnsi="Arial" w:cs="Arial"/>
          <w:sz w:val="24"/>
          <w:szCs w:val="24"/>
        </w:rPr>
        <w:t xml:space="preserve"> </w:t>
      </w:r>
      <w:r w:rsidR="006E6C2C" w:rsidRPr="006E6C2C">
        <w:rPr>
          <w:rFonts w:ascii="Arial" w:hAnsi="Arial" w:cs="Arial"/>
          <w:sz w:val="24"/>
          <w:szCs w:val="24"/>
        </w:rPr>
        <w:t xml:space="preserve">(Bitomsky, </w:t>
      </w:r>
      <w:proofErr w:type="spellStart"/>
      <w:r w:rsidR="006E6C2C" w:rsidRPr="006E6C2C">
        <w:rPr>
          <w:rFonts w:ascii="Arial" w:hAnsi="Arial" w:cs="Arial"/>
          <w:sz w:val="24"/>
          <w:szCs w:val="24"/>
        </w:rPr>
        <w:t>Nißen</w:t>
      </w:r>
      <w:proofErr w:type="spellEnd"/>
      <w:r w:rsidR="006E6C2C" w:rsidRPr="006E6C2C">
        <w:rPr>
          <w:rFonts w:ascii="Arial" w:hAnsi="Arial" w:cs="Arial"/>
          <w:sz w:val="24"/>
          <w:szCs w:val="24"/>
        </w:rPr>
        <w:t xml:space="preserve"> and Kowatsch, 2025)</w:t>
      </w:r>
      <w:r w:rsidR="00E825C3">
        <w:rPr>
          <w:rFonts w:ascii="Arial" w:hAnsi="Arial" w:cs="Arial"/>
          <w:sz w:val="24"/>
          <w:szCs w:val="24"/>
        </w:rPr>
        <w:t>.</w:t>
      </w:r>
      <w:r w:rsidR="009011AD">
        <w:rPr>
          <w:rFonts w:ascii="Arial" w:hAnsi="Arial" w:cs="Arial"/>
          <w:sz w:val="24"/>
          <w:szCs w:val="24"/>
        </w:rPr>
        <w:t xml:space="preserve"> The approach involves co-designing interventions alongside the target populations to make sure they are user-friendly, </w:t>
      </w:r>
      <w:r w:rsidR="005E46E6">
        <w:rPr>
          <w:rFonts w:ascii="Arial" w:hAnsi="Arial" w:cs="Arial"/>
          <w:sz w:val="24"/>
          <w:szCs w:val="24"/>
        </w:rPr>
        <w:t>linguistically accessible, and are culturally appropriate.</w:t>
      </w:r>
      <w:r w:rsidR="00122588">
        <w:rPr>
          <w:rFonts w:ascii="Arial" w:hAnsi="Arial" w:cs="Arial"/>
          <w:sz w:val="24"/>
          <w:szCs w:val="24"/>
        </w:rPr>
        <w:t xml:space="preserve"> It requires the development of multi-level strategies, including targeted digital literacy training</w:t>
      </w:r>
      <w:r w:rsidR="00274FC1">
        <w:rPr>
          <w:rFonts w:ascii="Arial" w:hAnsi="Arial" w:cs="Arial"/>
          <w:sz w:val="24"/>
          <w:szCs w:val="24"/>
        </w:rPr>
        <w:t>, user-centred design</w:t>
      </w:r>
      <w:r w:rsidR="00F739A7">
        <w:rPr>
          <w:rFonts w:ascii="Arial" w:hAnsi="Arial" w:cs="Arial"/>
          <w:sz w:val="24"/>
          <w:szCs w:val="24"/>
        </w:rPr>
        <w:t>,</w:t>
      </w:r>
      <w:r w:rsidR="00122588">
        <w:rPr>
          <w:rFonts w:ascii="Arial" w:hAnsi="Arial" w:cs="Arial"/>
          <w:sz w:val="24"/>
          <w:szCs w:val="24"/>
        </w:rPr>
        <w:t xml:space="preserve"> and supporting infra</w:t>
      </w:r>
      <w:r w:rsidR="00F052C9">
        <w:rPr>
          <w:rFonts w:ascii="Arial" w:hAnsi="Arial" w:cs="Arial"/>
          <w:sz w:val="24"/>
          <w:szCs w:val="24"/>
        </w:rPr>
        <w:t>structure in communities that have been historically underserved</w:t>
      </w:r>
      <w:r w:rsidR="001E6DA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E6DAF" w:rsidRPr="005322F7">
        <w:rPr>
          <w:rFonts w:ascii="Arial" w:hAnsi="Arial" w:cs="Arial"/>
          <w:sz w:val="24"/>
          <w:szCs w:val="24"/>
        </w:rPr>
        <w:t>Almohammadi</w:t>
      </w:r>
      <w:proofErr w:type="spellEnd"/>
      <w:r w:rsidR="001E6DAF">
        <w:rPr>
          <w:rFonts w:ascii="Arial" w:hAnsi="Arial" w:cs="Arial"/>
          <w:sz w:val="24"/>
          <w:szCs w:val="24"/>
        </w:rPr>
        <w:t>,</w:t>
      </w:r>
      <w:r w:rsidR="001E6DAF" w:rsidRPr="005322F7">
        <w:rPr>
          <w:rFonts w:ascii="Arial" w:hAnsi="Arial" w:cs="Arial"/>
          <w:sz w:val="24"/>
          <w:szCs w:val="24"/>
        </w:rPr>
        <w:t xml:space="preserve"> 2026)</w:t>
      </w:r>
      <w:r w:rsidR="00F052C9">
        <w:rPr>
          <w:rFonts w:ascii="Arial" w:hAnsi="Arial" w:cs="Arial"/>
          <w:sz w:val="24"/>
          <w:szCs w:val="24"/>
        </w:rPr>
        <w:t>.</w:t>
      </w:r>
    </w:p>
    <w:p w14:paraId="79446219" w14:textId="3B12BFBB" w:rsidR="00233ED2" w:rsidRDefault="00233ED2" w:rsidP="00233E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CAAE010" wp14:editId="5467C591">
            <wp:extent cx="4066990" cy="2630184"/>
            <wp:effectExtent l="0" t="0" r="0" b="0"/>
            <wp:docPr id="1063141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406" cy="2649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8FCF0E" w14:textId="71A67A24" w:rsidR="005D42D6" w:rsidRDefault="00312CF4" w:rsidP="00233E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Fig. 1</w:t>
      </w:r>
      <w:r w:rsidR="000161A8">
        <w:rPr>
          <w:rFonts w:ascii="Arial" w:hAnsi="Arial" w:cs="Arial"/>
          <w:sz w:val="24"/>
          <w:szCs w:val="24"/>
        </w:rPr>
        <w:t xml:space="preserve">: Low- and middle-income countries and </w:t>
      </w:r>
      <w:r w:rsidR="002A73A9">
        <w:rPr>
          <w:rFonts w:ascii="Arial" w:hAnsi="Arial" w:cs="Arial"/>
          <w:sz w:val="24"/>
          <w:szCs w:val="24"/>
        </w:rPr>
        <w:t>growth of type 2 diabetes 1990-2019</w:t>
      </w:r>
      <w:r w:rsidR="005D42D6">
        <w:rPr>
          <w:rFonts w:ascii="Arial" w:hAnsi="Arial" w:cs="Arial"/>
          <w:sz w:val="24"/>
          <w:szCs w:val="24"/>
        </w:rPr>
        <w:t xml:space="preserve"> </w:t>
      </w:r>
      <w:r w:rsidR="005D42D6" w:rsidRPr="005D42D6">
        <w:rPr>
          <w:rFonts w:ascii="Arial" w:hAnsi="Arial" w:cs="Arial"/>
          <w:sz w:val="24"/>
          <w:szCs w:val="24"/>
        </w:rPr>
        <w:t>(Liu </w:t>
      </w:r>
      <w:r w:rsidR="005D42D6" w:rsidRPr="005D42D6">
        <w:rPr>
          <w:rFonts w:ascii="Arial" w:hAnsi="Arial" w:cs="Arial"/>
          <w:i/>
          <w:iCs/>
          <w:sz w:val="24"/>
          <w:szCs w:val="24"/>
        </w:rPr>
        <w:t>et al.</w:t>
      </w:r>
      <w:r w:rsidR="005D42D6" w:rsidRPr="005D42D6">
        <w:rPr>
          <w:rFonts w:ascii="Arial" w:hAnsi="Arial" w:cs="Arial"/>
          <w:sz w:val="24"/>
          <w:szCs w:val="24"/>
        </w:rPr>
        <w:t>, 2022)</w:t>
      </w:r>
    </w:p>
    <w:p w14:paraId="1AA8AC58" w14:textId="77777777" w:rsidR="005D42D6" w:rsidRDefault="005D42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E73F8C1" w14:textId="614F8435" w:rsidR="003B0798" w:rsidRPr="00233ED2" w:rsidRDefault="003B0798" w:rsidP="00337DEC">
      <w:pPr>
        <w:spacing w:before="240" w:line="480" w:lineRule="auto"/>
        <w:jc w:val="center"/>
        <w:rPr>
          <w:rFonts w:ascii="Arial" w:hAnsi="Arial" w:cs="Arial"/>
          <w:sz w:val="24"/>
          <w:szCs w:val="24"/>
        </w:rPr>
      </w:pPr>
      <w:r w:rsidRPr="00BF5A58">
        <w:rPr>
          <w:rFonts w:ascii="Arial" w:hAnsi="Arial" w:cs="Arial"/>
          <w:b/>
          <w:bCs/>
          <w:sz w:val="24"/>
          <w:szCs w:val="24"/>
        </w:rPr>
        <w:lastRenderedPageBreak/>
        <w:t xml:space="preserve">Blog 2: </w:t>
      </w:r>
      <w:r w:rsidR="00853C3A" w:rsidRPr="00BF5A58">
        <w:rPr>
          <w:rFonts w:ascii="Arial" w:hAnsi="Arial" w:cs="Arial"/>
          <w:b/>
          <w:bCs/>
          <w:sz w:val="24"/>
          <w:szCs w:val="24"/>
        </w:rPr>
        <w:t>The ‘</w:t>
      </w:r>
      <w:proofErr w:type="spellStart"/>
      <w:r w:rsidR="00853C3A" w:rsidRPr="00BF5A58">
        <w:rPr>
          <w:rFonts w:ascii="Arial" w:hAnsi="Arial" w:cs="Arial"/>
          <w:b/>
          <w:bCs/>
          <w:sz w:val="24"/>
          <w:szCs w:val="24"/>
        </w:rPr>
        <w:t>HealthConnect</w:t>
      </w:r>
      <w:proofErr w:type="spellEnd"/>
      <w:r w:rsidR="00853C3A" w:rsidRPr="00BF5A58">
        <w:rPr>
          <w:rFonts w:ascii="Arial" w:hAnsi="Arial" w:cs="Arial"/>
          <w:b/>
          <w:bCs/>
          <w:sz w:val="24"/>
          <w:szCs w:val="24"/>
        </w:rPr>
        <w:t xml:space="preserve">’ community hub and </w:t>
      </w:r>
      <w:r w:rsidR="00BF5A58" w:rsidRPr="00BF5A58">
        <w:rPr>
          <w:rFonts w:ascii="Arial" w:hAnsi="Arial" w:cs="Arial"/>
          <w:b/>
          <w:bCs/>
          <w:sz w:val="24"/>
          <w:szCs w:val="24"/>
        </w:rPr>
        <w:t>designing for inclusion</w:t>
      </w:r>
    </w:p>
    <w:p w14:paraId="398BBD3F" w14:textId="01396004" w:rsidR="0062018C" w:rsidRDefault="002174C7" w:rsidP="00337DEC">
      <w:pPr>
        <w:spacing w:before="24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seen in the study by </w:t>
      </w:r>
      <w:r w:rsidRPr="00636FA7">
        <w:rPr>
          <w:rFonts w:ascii="Arial" w:hAnsi="Arial" w:cs="Arial"/>
          <w:sz w:val="24"/>
          <w:szCs w:val="24"/>
        </w:rPr>
        <w:t>Western </w:t>
      </w:r>
      <w:r w:rsidRPr="00636FA7">
        <w:rPr>
          <w:rFonts w:ascii="Arial" w:hAnsi="Arial" w:cs="Arial"/>
          <w:i/>
          <w:iCs/>
          <w:sz w:val="24"/>
          <w:szCs w:val="24"/>
        </w:rPr>
        <w:t>et al.</w:t>
      </w:r>
      <w:r w:rsidRPr="00636FA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636FA7">
        <w:rPr>
          <w:rFonts w:ascii="Arial" w:hAnsi="Arial" w:cs="Arial"/>
          <w:sz w:val="24"/>
          <w:szCs w:val="24"/>
        </w:rPr>
        <w:t>2025)</w:t>
      </w:r>
      <w:r>
        <w:rPr>
          <w:rFonts w:ascii="Arial" w:hAnsi="Arial" w:cs="Arial"/>
          <w:sz w:val="24"/>
          <w:szCs w:val="24"/>
        </w:rPr>
        <w:t xml:space="preserve">, the digital divide in health is a </w:t>
      </w:r>
      <w:r w:rsidR="00805EFD">
        <w:rPr>
          <w:rFonts w:ascii="Arial" w:hAnsi="Arial" w:cs="Arial"/>
          <w:sz w:val="24"/>
          <w:szCs w:val="24"/>
        </w:rPr>
        <w:t xml:space="preserve">significant and persistent </w:t>
      </w:r>
      <w:r w:rsidR="00EA6259">
        <w:rPr>
          <w:rFonts w:ascii="Arial" w:hAnsi="Arial" w:cs="Arial"/>
          <w:sz w:val="24"/>
          <w:szCs w:val="24"/>
        </w:rPr>
        <w:t>challenge and</w:t>
      </w:r>
      <w:r w:rsidR="00805EFD">
        <w:rPr>
          <w:rFonts w:ascii="Arial" w:hAnsi="Arial" w:cs="Arial"/>
          <w:sz w:val="24"/>
          <w:szCs w:val="24"/>
        </w:rPr>
        <w:t xml:space="preserve"> aligns with the broader trend where the adoption of technology is skewed towards groups that are more educated, more digitally literate, and have higher incomes.</w:t>
      </w:r>
      <w:r w:rsidR="00EA6259">
        <w:rPr>
          <w:rFonts w:ascii="Arial" w:hAnsi="Arial" w:cs="Arial"/>
          <w:sz w:val="24"/>
          <w:szCs w:val="24"/>
        </w:rPr>
        <w:t xml:space="preserve"> Despite their </w:t>
      </w:r>
      <w:r w:rsidR="0049349F">
        <w:rPr>
          <w:rFonts w:ascii="Arial" w:hAnsi="Arial" w:cs="Arial"/>
          <w:sz w:val="24"/>
          <w:szCs w:val="24"/>
        </w:rPr>
        <w:t xml:space="preserve">vast potential, mHealth apps </w:t>
      </w:r>
      <w:r w:rsidR="00EF3562">
        <w:rPr>
          <w:rFonts w:ascii="Arial" w:hAnsi="Arial" w:cs="Arial"/>
          <w:sz w:val="24"/>
          <w:szCs w:val="24"/>
        </w:rPr>
        <w:t xml:space="preserve">are often taken up following </w:t>
      </w:r>
      <w:r w:rsidR="009E11C0">
        <w:rPr>
          <w:rFonts w:ascii="Arial" w:hAnsi="Arial" w:cs="Arial"/>
          <w:sz w:val="24"/>
          <w:szCs w:val="24"/>
        </w:rPr>
        <w:t>the existing social stratification, and risks leaving the most vulnerable people behind</w:t>
      </w:r>
      <w:r w:rsidR="00BB0FA6">
        <w:rPr>
          <w:rFonts w:ascii="Arial" w:hAnsi="Arial" w:cs="Arial"/>
          <w:sz w:val="24"/>
          <w:szCs w:val="24"/>
        </w:rPr>
        <w:t xml:space="preserve"> </w:t>
      </w:r>
      <w:r w:rsidR="00BB0FA6" w:rsidRPr="00BB0FA6">
        <w:rPr>
          <w:rFonts w:ascii="Arial" w:hAnsi="Arial" w:cs="Arial"/>
          <w:sz w:val="24"/>
          <w:szCs w:val="24"/>
        </w:rPr>
        <w:t xml:space="preserve">(Bitomsky, </w:t>
      </w:r>
      <w:proofErr w:type="spellStart"/>
      <w:r w:rsidR="00BB0FA6" w:rsidRPr="00BB0FA6">
        <w:rPr>
          <w:rFonts w:ascii="Arial" w:hAnsi="Arial" w:cs="Arial"/>
          <w:sz w:val="24"/>
          <w:szCs w:val="24"/>
        </w:rPr>
        <w:t>Nißen</w:t>
      </w:r>
      <w:proofErr w:type="spellEnd"/>
      <w:r w:rsidR="00BB0FA6" w:rsidRPr="00BB0FA6">
        <w:rPr>
          <w:rFonts w:ascii="Arial" w:hAnsi="Arial" w:cs="Arial"/>
          <w:sz w:val="24"/>
          <w:szCs w:val="24"/>
        </w:rPr>
        <w:t xml:space="preserve"> and Kowatsch, 2025)</w:t>
      </w:r>
      <w:r w:rsidR="009E11C0">
        <w:rPr>
          <w:rFonts w:ascii="Arial" w:hAnsi="Arial" w:cs="Arial"/>
          <w:sz w:val="24"/>
          <w:szCs w:val="24"/>
        </w:rPr>
        <w:t>.</w:t>
      </w:r>
      <w:r w:rsidR="00911942">
        <w:rPr>
          <w:rFonts w:ascii="Arial" w:hAnsi="Arial" w:cs="Arial"/>
          <w:sz w:val="24"/>
          <w:szCs w:val="24"/>
        </w:rPr>
        <w:t xml:space="preserve"> Therefore, to address this divide a new approach</w:t>
      </w:r>
      <w:r w:rsidR="00F26F19">
        <w:rPr>
          <w:rFonts w:ascii="Arial" w:hAnsi="Arial" w:cs="Arial"/>
          <w:sz w:val="24"/>
          <w:szCs w:val="24"/>
        </w:rPr>
        <w:t xml:space="preserve"> is required</w:t>
      </w:r>
      <w:r w:rsidR="00911942">
        <w:rPr>
          <w:rFonts w:ascii="Arial" w:hAnsi="Arial" w:cs="Arial"/>
          <w:sz w:val="24"/>
          <w:szCs w:val="24"/>
        </w:rPr>
        <w:t xml:space="preserve">, one that goes beyond </w:t>
      </w:r>
      <w:r w:rsidR="00F26F19">
        <w:rPr>
          <w:rFonts w:ascii="Arial" w:hAnsi="Arial" w:cs="Arial"/>
          <w:sz w:val="24"/>
          <w:szCs w:val="24"/>
        </w:rPr>
        <w:t xml:space="preserve">addressing the individual user behaviour to </w:t>
      </w:r>
      <w:r w:rsidR="00C35A6B">
        <w:rPr>
          <w:rFonts w:ascii="Arial" w:hAnsi="Arial" w:cs="Arial"/>
          <w:sz w:val="24"/>
          <w:szCs w:val="24"/>
        </w:rPr>
        <w:t>building community capacity and establishing/widening digital infrastructure. This blog introduces ‘</w:t>
      </w:r>
      <w:proofErr w:type="spellStart"/>
      <w:r w:rsidR="00C35A6B">
        <w:rPr>
          <w:rFonts w:ascii="Arial" w:hAnsi="Arial" w:cs="Arial"/>
          <w:sz w:val="24"/>
          <w:szCs w:val="24"/>
        </w:rPr>
        <w:t>HealthConnect</w:t>
      </w:r>
      <w:proofErr w:type="spellEnd"/>
      <w:r w:rsidR="00C35A6B">
        <w:rPr>
          <w:rFonts w:ascii="Arial" w:hAnsi="Arial" w:cs="Arial"/>
          <w:sz w:val="24"/>
          <w:szCs w:val="24"/>
        </w:rPr>
        <w:t>’</w:t>
      </w:r>
      <w:r w:rsidR="00C339F3">
        <w:rPr>
          <w:rFonts w:ascii="Arial" w:hAnsi="Arial" w:cs="Arial"/>
          <w:sz w:val="24"/>
          <w:szCs w:val="24"/>
        </w:rPr>
        <w:t>, a community-based digital health hub.</w:t>
      </w:r>
    </w:p>
    <w:p w14:paraId="585C4D9A" w14:textId="22017CB4" w:rsidR="00C339F3" w:rsidRDefault="00C339F3" w:rsidP="009F0B7E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HealthConnect</w:t>
      </w:r>
      <w:proofErr w:type="spellEnd"/>
      <w:r>
        <w:rPr>
          <w:rFonts w:ascii="Arial" w:hAnsi="Arial" w:cs="Arial"/>
          <w:sz w:val="24"/>
          <w:szCs w:val="24"/>
        </w:rPr>
        <w:t xml:space="preserve"> is not an app, but a system that has been designed for the purpose of bridging the digital health gap. </w:t>
      </w:r>
      <w:r w:rsidR="00623571">
        <w:rPr>
          <w:rFonts w:ascii="Arial" w:hAnsi="Arial" w:cs="Arial"/>
          <w:sz w:val="24"/>
          <w:szCs w:val="24"/>
        </w:rPr>
        <w:t xml:space="preserve">It is a physical community hub that has been equipped with </w:t>
      </w:r>
      <w:r w:rsidR="005F7B16">
        <w:rPr>
          <w:rFonts w:ascii="Arial" w:hAnsi="Arial" w:cs="Arial"/>
          <w:sz w:val="24"/>
          <w:szCs w:val="24"/>
        </w:rPr>
        <w:t>tablet kiosks (i</w:t>
      </w:r>
      <w:r w:rsidR="00F55D76">
        <w:rPr>
          <w:rFonts w:ascii="Arial" w:hAnsi="Arial" w:cs="Arial"/>
          <w:sz w:val="24"/>
          <w:szCs w:val="24"/>
        </w:rPr>
        <w:t>OS and/or Android</w:t>
      </w:r>
      <w:r w:rsidR="005F7B16">
        <w:rPr>
          <w:rFonts w:ascii="Arial" w:hAnsi="Arial" w:cs="Arial"/>
          <w:sz w:val="24"/>
          <w:szCs w:val="24"/>
        </w:rPr>
        <w:t>)</w:t>
      </w:r>
      <w:r w:rsidR="00F55D76">
        <w:rPr>
          <w:rFonts w:ascii="Arial" w:hAnsi="Arial" w:cs="Arial"/>
          <w:sz w:val="24"/>
          <w:szCs w:val="24"/>
        </w:rPr>
        <w:t xml:space="preserve"> that offer educational materials, risk assessments, and linkages to local health services.</w:t>
      </w:r>
      <w:r w:rsidR="000739A4">
        <w:rPr>
          <w:rFonts w:ascii="Arial" w:hAnsi="Arial" w:cs="Arial"/>
          <w:sz w:val="24"/>
          <w:szCs w:val="24"/>
        </w:rPr>
        <w:t xml:space="preserve"> </w:t>
      </w:r>
      <w:r w:rsidR="00D755ED">
        <w:rPr>
          <w:rFonts w:ascii="Arial" w:hAnsi="Arial" w:cs="Arial"/>
          <w:sz w:val="24"/>
          <w:szCs w:val="24"/>
        </w:rPr>
        <w:t>The hub’s staff would be tra</w:t>
      </w:r>
      <w:r w:rsidR="00A46161">
        <w:rPr>
          <w:rFonts w:ascii="Arial" w:hAnsi="Arial" w:cs="Arial"/>
          <w:sz w:val="24"/>
          <w:szCs w:val="24"/>
        </w:rPr>
        <w:t>ined digital health navigators</w:t>
      </w:r>
      <w:r w:rsidR="00C039D9">
        <w:rPr>
          <w:rFonts w:ascii="Arial" w:hAnsi="Arial" w:cs="Arial"/>
          <w:sz w:val="24"/>
          <w:szCs w:val="24"/>
        </w:rPr>
        <w:t xml:space="preserve"> – they would be peers from the community who provide one-on-one support. Their presence helps address the situation where individuals with lower digital competence and those with high</w:t>
      </w:r>
      <w:r w:rsidR="00195275">
        <w:rPr>
          <w:rFonts w:ascii="Arial" w:hAnsi="Arial" w:cs="Arial"/>
          <w:sz w:val="24"/>
          <w:szCs w:val="24"/>
        </w:rPr>
        <w:t xml:space="preserve"> data</w:t>
      </w:r>
      <w:r w:rsidR="00C039D9">
        <w:rPr>
          <w:rFonts w:ascii="Arial" w:hAnsi="Arial" w:cs="Arial"/>
          <w:sz w:val="24"/>
          <w:szCs w:val="24"/>
        </w:rPr>
        <w:t xml:space="preserve"> </w:t>
      </w:r>
      <w:r w:rsidR="005E4748">
        <w:rPr>
          <w:rFonts w:ascii="Arial" w:hAnsi="Arial" w:cs="Arial"/>
          <w:sz w:val="24"/>
          <w:szCs w:val="24"/>
        </w:rPr>
        <w:t>security concerns vis-à-vis their data are seen to be less likely to adopt digital health tools</w:t>
      </w:r>
      <w:r w:rsidR="00E16D83">
        <w:rPr>
          <w:rFonts w:ascii="Arial" w:hAnsi="Arial" w:cs="Arial"/>
          <w:sz w:val="24"/>
          <w:szCs w:val="24"/>
        </w:rPr>
        <w:t xml:space="preserve"> </w:t>
      </w:r>
      <w:r w:rsidR="00E16D83" w:rsidRPr="00E16D83">
        <w:rPr>
          <w:rFonts w:ascii="Arial" w:hAnsi="Arial" w:cs="Arial"/>
          <w:sz w:val="24"/>
          <w:szCs w:val="24"/>
        </w:rPr>
        <w:t>(Ruotsalainen </w:t>
      </w:r>
      <w:r w:rsidR="00E16D83" w:rsidRPr="00E16D83">
        <w:rPr>
          <w:rFonts w:ascii="Arial" w:hAnsi="Arial" w:cs="Arial"/>
          <w:i/>
          <w:iCs/>
          <w:sz w:val="24"/>
          <w:szCs w:val="24"/>
        </w:rPr>
        <w:t>et al.</w:t>
      </w:r>
      <w:r w:rsidR="00E16D83" w:rsidRPr="00E16D83">
        <w:rPr>
          <w:rFonts w:ascii="Arial" w:hAnsi="Arial" w:cs="Arial"/>
          <w:sz w:val="24"/>
          <w:szCs w:val="24"/>
        </w:rPr>
        <w:t>, 2025)</w:t>
      </w:r>
      <w:r w:rsidR="005E4748">
        <w:rPr>
          <w:rFonts w:ascii="Arial" w:hAnsi="Arial" w:cs="Arial"/>
          <w:sz w:val="24"/>
          <w:szCs w:val="24"/>
        </w:rPr>
        <w:t>.</w:t>
      </w:r>
      <w:r w:rsidR="00DD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D6AD7">
        <w:rPr>
          <w:rFonts w:ascii="Arial" w:hAnsi="Arial" w:cs="Arial"/>
          <w:sz w:val="24"/>
          <w:szCs w:val="24"/>
        </w:rPr>
        <w:t>HealthConnect</w:t>
      </w:r>
      <w:proofErr w:type="spellEnd"/>
      <w:r w:rsidR="00DD6AD7">
        <w:rPr>
          <w:rFonts w:ascii="Arial" w:hAnsi="Arial" w:cs="Arial"/>
          <w:sz w:val="24"/>
          <w:szCs w:val="24"/>
        </w:rPr>
        <w:t>, through providing a safe</w:t>
      </w:r>
      <w:r w:rsidR="00365D3A">
        <w:rPr>
          <w:rFonts w:ascii="Arial" w:hAnsi="Arial" w:cs="Arial"/>
          <w:sz w:val="24"/>
          <w:szCs w:val="24"/>
        </w:rPr>
        <w:t xml:space="preserve">, supportive environment and merging technology functionality within the current social infrastructure, </w:t>
      </w:r>
      <w:r w:rsidR="00CC1D85">
        <w:rPr>
          <w:rFonts w:ascii="Arial" w:hAnsi="Arial" w:cs="Arial"/>
          <w:sz w:val="24"/>
          <w:szCs w:val="24"/>
        </w:rPr>
        <w:t>aims to bypass the barriers of mistrust of digital systems and low digital literacy.</w:t>
      </w:r>
      <w:r w:rsidR="005E4748">
        <w:rPr>
          <w:rFonts w:ascii="Arial" w:hAnsi="Arial" w:cs="Arial"/>
          <w:sz w:val="24"/>
          <w:szCs w:val="24"/>
        </w:rPr>
        <w:t xml:space="preserve"> </w:t>
      </w:r>
    </w:p>
    <w:p w14:paraId="66421828" w14:textId="4B4E6158" w:rsidR="00DD2EB4" w:rsidRDefault="00DD2EB4" w:rsidP="009F0B7E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HealthConnect’s</w:t>
      </w:r>
      <w:proofErr w:type="spellEnd"/>
      <w:r>
        <w:rPr>
          <w:rFonts w:ascii="Arial" w:hAnsi="Arial" w:cs="Arial"/>
          <w:sz w:val="24"/>
          <w:szCs w:val="24"/>
        </w:rPr>
        <w:t xml:space="preserve"> expected impact is notable. </w:t>
      </w:r>
      <w:r w:rsidR="005F4CEE">
        <w:rPr>
          <w:rFonts w:ascii="Arial" w:hAnsi="Arial" w:cs="Arial"/>
          <w:sz w:val="24"/>
          <w:szCs w:val="24"/>
        </w:rPr>
        <w:t>It is designed to empower communities and being the digital confidence of the population therein.</w:t>
      </w:r>
      <w:r w:rsidR="006629A1">
        <w:rPr>
          <w:rFonts w:ascii="Arial" w:hAnsi="Arial" w:cs="Arial"/>
          <w:sz w:val="24"/>
          <w:szCs w:val="24"/>
        </w:rPr>
        <w:t xml:space="preserve"> Studies such as </w:t>
      </w:r>
      <w:r w:rsidR="006629A1" w:rsidRPr="006629A1">
        <w:rPr>
          <w:rFonts w:ascii="Arial" w:hAnsi="Arial" w:cs="Arial"/>
          <w:sz w:val="24"/>
          <w:szCs w:val="24"/>
        </w:rPr>
        <w:t xml:space="preserve">Seo </w:t>
      </w:r>
      <w:r w:rsidR="006629A1">
        <w:rPr>
          <w:rFonts w:ascii="Arial" w:hAnsi="Arial" w:cs="Arial"/>
          <w:sz w:val="24"/>
          <w:szCs w:val="24"/>
        </w:rPr>
        <w:t>(</w:t>
      </w:r>
      <w:r w:rsidR="006629A1" w:rsidRPr="006629A1">
        <w:rPr>
          <w:rFonts w:ascii="Arial" w:hAnsi="Arial" w:cs="Arial"/>
          <w:sz w:val="24"/>
          <w:szCs w:val="24"/>
        </w:rPr>
        <w:t>2024)</w:t>
      </w:r>
      <w:r w:rsidR="00BF5363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BF5363" w:rsidRPr="00BF5363">
        <w:rPr>
          <w:rFonts w:ascii="Arial" w:hAnsi="Arial" w:cs="Arial"/>
          <w:sz w:val="24"/>
          <w:szCs w:val="24"/>
        </w:rPr>
        <w:t>Ombech</w:t>
      </w:r>
      <w:proofErr w:type="spellEnd"/>
      <w:r w:rsidR="00BF5363" w:rsidRPr="00BF5363">
        <w:rPr>
          <w:rFonts w:ascii="Arial" w:hAnsi="Arial" w:cs="Arial"/>
          <w:sz w:val="24"/>
          <w:szCs w:val="24"/>
        </w:rPr>
        <w:t> </w:t>
      </w:r>
      <w:r w:rsidR="00BF5363" w:rsidRPr="00BF5363">
        <w:rPr>
          <w:rFonts w:ascii="Arial" w:hAnsi="Arial" w:cs="Arial"/>
          <w:i/>
          <w:iCs/>
          <w:sz w:val="24"/>
          <w:szCs w:val="24"/>
        </w:rPr>
        <w:t>et al.</w:t>
      </w:r>
      <w:r w:rsidR="00BF5363">
        <w:rPr>
          <w:rFonts w:ascii="Arial" w:hAnsi="Arial" w:cs="Arial"/>
          <w:sz w:val="24"/>
          <w:szCs w:val="24"/>
        </w:rPr>
        <w:t xml:space="preserve"> (</w:t>
      </w:r>
      <w:r w:rsidR="00BF5363" w:rsidRPr="00BF5363">
        <w:rPr>
          <w:rFonts w:ascii="Arial" w:hAnsi="Arial" w:cs="Arial"/>
          <w:sz w:val="24"/>
          <w:szCs w:val="24"/>
        </w:rPr>
        <w:t>2025)</w:t>
      </w:r>
      <w:r w:rsidR="00BF5363">
        <w:rPr>
          <w:rFonts w:ascii="Arial" w:hAnsi="Arial" w:cs="Arial"/>
          <w:sz w:val="24"/>
          <w:szCs w:val="24"/>
        </w:rPr>
        <w:t xml:space="preserve"> </w:t>
      </w:r>
      <w:r w:rsidR="00A2333C">
        <w:rPr>
          <w:rFonts w:ascii="Arial" w:hAnsi="Arial" w:cs="Arial"/>
          <w:sz w:val="24"/>
          <w:szCs w:val="24"/>
        </w:rPr>
        <w:t>show that integrating digital health interventions into community settings is effective</w:t>
      </w:r>
      <w:r w:rsidR="00C37AB3">
        <w:rPr>
          <w:rFonts w:ascii="Arial" w:hAnsi="Arial" w:cs="Arial"/>
          <w:sz w:val="24"/>
          <w:szCs w:val="24"/>
        </w:rPr>
        <w:t xml:space="preserve"> in improving population health outcomes</w:t>
      </w:r>
      <w:r w:rsidR="00A2333C">
        <w:rPr>
          <w:rFonts w:ascii="Arial" w:hAnsi="Arial" w:cs="Arial"/>
          <w:sz w:val="24"/>
          <w:szCs w:val="24"/>
        </w:rPr>
        <w:t>, as well as</w:t>
      </w:r>
      <w:r w:rsidR="00407E2A">
        <w:rPr>
          <w:rFonts w:ascii="Arial" w:hAnsi="Arial" w:cs="Arial"/>
          <w:sz w:val="24"/>
          <w:szCs w:val="24"/>
        </w:rPr>
        <w:t xml:space="preserve">, making sure their design is user-centred and </w:t>
      </w:r>
      <w:r w:rsidR="00C37AB3">
        <w:rPr>
          <w:rFonts w:ascii="Arial" w:hAnsi="Arial" w:cs="Arial"/>
          <w:sz w:val="24"/>
          <w:szCs w:val="24"/>
        </w:rPr>
        <w:t>participatory. This strategy also has the potential of fostering enhanced social support and connection, b</w:t>
      </w:r>
      <w:r w:rsidR="00713FB1">
        <w:rPr>
          <w:rFonts w:ascii="Arial" w:hAnsi="Arial" w:cs="Arial"/>
          <w:sz w:val="24"/>
          <w:szCs w:val="24"/>
        </w:rPr>
        <w:t>oth of which are needed to sustain changes in behaviour and often lack in digital-only interventions.</w:t>
      </w:r>
    </w:p>
    <w:p w14:paraId="2D00E0DF" w14:textId="4EE6E492" w:rsidR="00CC1D85" w:rsidRDefault="00CC1D85" w:rsidP="009F0B7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potential shortfall is the anticipated operational cost and </w:t>
      </w:r>
      <w:r w:rsidR="00106F8B">
        <w:rPr>
          <w:rFonts w:ascii="Arial" w:hAnsi="Arial" w:cs="Arial"/>
          <w:sz w:val="24"/>
          <w:szCs w:val="24"/>
        </w:rPr>
        <w:t>how sustainable maintaining physical hubs and training staff is. Besides this, scalability in rural areas could als</w:t>
      </w:r>
      <w:r w:rsidR="006172C3">
        <w:rPr>
          <w:rFonts w:ascii="Arial" w:hAnsi="Arial" w:cs="Arial"/>
          <w:sz w:val="24"/>
          <w:szCs w:val="24"/>
        </w:rPr>
        <w:t>o</w:t>
      </w:r>
      <w:r w:rsidR="00106F8B">
        <w:rPr>
          <w:rFonts w:ascii="Arial" w:hAnsi="Arial" w:cs="Arial"/>
          <w:sz w:val="24"/>
          <w:szCs w:val="24"/>
        </w:rPr>
        <w:t xml:space="preserve"> present a challenge. </w:t>
      </w:r>
      <w:r w:rsidR="006172C3">
        <w:rPr>
          <w:rFonts w:ascii="Arial" w:hAnsi="Arial" w:cs="Arial"/>
          <w:sz w:val="24"/>
          <w:szCs w:val="24"/>
        </w:rPr>
        <w:t xml:space="preserve">A hybrid model could be considered to address this. </w:t>
      </w:r>
      <w:r w:rsidR="00031DF1">
        <w:rPr>
          <w:rFonts w:ascii="Arial" w:hAnsi="Arial" w:cs="Arial"/>
          <w:sz w:val="24"/>
          <w:szCs w:val="24"/>
        </w:rPr>
        <w:t xml:space="preserve">This would take the form of kiosks being complemented by a simplified, data-light mobile version </w:t>
      </w:r>
      <w:r w:rsidR="007705C1">
        <w:rPr>
          <w:rFonts w:ascii="Arial" w:hAnsi="Arial" w:cs="Arial"/>
          <w:sz w:val="24"/>
          <w:szCs w:val="24"/>
        </w:rPr>
        <w:t>to be able to serve</w:t>
      </w:r>
      <w:r w:rsidR="00031DF1">
        <w:rPr>
          <w:rFonts w:ascii="Arial" w:hAnsi="Arial" w:cs="Arial"/>
          <w:sz w:val="24"/>
          <w:szCs w:val="24"/>
        </w:rPr>
        <w:t xml:space="preserve"> those who have </w:t>
      </w:r>
      <w:r w:rsidR="007705C1">
        <w:rPr>
          <w:rFonts w:ascii="Arial" w:hAnsi="Arial" w:cs="Arial"/>
          <w:sz w:val="24"/>
          <w:szCs w:val="24"/>
        </w:rPr>
        <w:t>old or basic smartphones, or an SMS service</w:t>
      </w:r>
      <w:r w:rsidR="0072544F">
        <w:rPr>
          <w:rFonts w:ascii="Arial" w:hAnsi="Arial" w:cs="Arial"/>
          <w:sz w:val="24"/>
          <w:szCs w:val="24"/>
        </w:rPr>
        <w:t xml:space="preserve"> </w:t>
      </w:r>
      <w:r w:rsidR="0072544F" w:rsidRPr="0072544F">
        <w:rPr>
          <w:rFonts w:ascii="Arial" w:hAnsi="Arial" w:cs="Arial"/>
          <w:sz w:val="24"/>
          <w:szCs w:val="24"/>
        </w:rPr>
        <w:t>(</w:t>
      </w:r>
      <w:proofErr w:type="spellStart"/>
      <w:r w:rsidR="0072544F" w:rsidRPr="0072544F">
        <w:rPr>
          <w:rFonts w:ascii="Arial" w:hAnsi="Arial" w:cs="Arial"/>
          <w:sz w:val="24"/>
          <w:szCs w:val="24"/>
        </w:rPr>
        <w:t>Aljohi</w:t>
      </w:r>
      <w:proofErr w:type="spellEnd"/>
      <w:r w:rsidR="0072544F" w:rsidRPr="0072544F">
        <w:rPr>
          <w:rFonts w:ascii="Arial" w:hAnsi="Arial" w:cs="Arial"/>
          <w:sz w:val="24"/>
          <w:szCs w:val="24"/>
        </w:rPr>
        <w:t> </w:t>
      </w:r>
      <w:r w:rsidR="0072544F" w:rsidRPr="0072544F">
        <w:rPr>
          <w:rFonts w:ascii="Arial" w:hAnsi="Arial" w:cs="Arial"/>
          <w:i/>
          <w:iCs/>
          <w:sz w:val="24"/>
          <w:szCs w:val="24"/>
        </w:rPr>
        <w:t>et al.</w:t>
      </w:r>
      <w:r w:rsidR="0072544F" w:rsidRPr="0072544F">
        <w:rPr>
          <w:rFonts w:ascii="Arial" w:hAnsi="Arial" w:cs="Arial"/>
          <w:sz w:val="24"/>
          <w:szCs w:val="24"/>
        </w:rPr>
        <w:t>, 2024)</w:t>
      </w:r>
      <w:r w:rsidR="007705C1">
        <w:rPr>
          <w:rFonts w:ascii="Arial" w:hAnsi="Arial" w:cs="Arial"/>
          <w:sz w:val="24"/>
          <w:szCs w:val="24"/>
        </w:rPr>
        <w:t>.</w:t>
      </w:r>
      <w:r w:rsidR="009766FF">
        <w:rPr>
          <w:rFonts w:ascii="Arial" w:hAnsi="Arial" w:cs="Arial"/>
          <w:sz w:val="24"/>
          <w:szCs w:val="24"/>
        </w:rPr>
        <w:t xml:space="preserve"> Additionally, partnerships with local governments and non-governmental organisations (NGOs) could be leveraged to secure long-term funding </w:t>
      </w:r>
      <w:r w:rsidR="001F3FED">
        <w:rPr>
          <w:rFonts w:ascii="Arial" w:hAnsi="Arial" w:cs="Arial"/>
          <w:sz w:val="24"/>
          <w:szCs w:val="24"/>
        </w:rPr>
        <w:t>to</w:t>
      </w:r>
      <w:r w:rsidR="009766FF">
        <w:rPr>
          <w:rFonts w:ascii="Arial" w:hAnsi="Arial" w:cs="Arial"/>
          <w:sz w:val="24"/>
          <w:szCs w:val="24"/>
        </w:rPr>
        <w:t xml:space="preserve"> </w:t>
      </w:r>
      <w:r w:rsidR="00326FBC">
        <w:rPr>
          <w:rFonts w:ascii="Arial" w:hAnsi="Arial" w:cs="Arial"/>
          <w:sz w:val="24"/>
          <w:szCs w:val="24"/>
        </w:rPr>
        <w:t>facilitate the embedment of these hubs in existing community centres</w:t>
      </w:r>
      <w:r w:rsidR="001F3FED">
        <w:rPr>
          <w:rFonts w:ascii="Arial" w:hAnsi="Arial" w:cs="Arial"/>
          <w:sz w:val="24"/>
          <w:szCs w:val="24"/>
        </w:rPr>
        <w:t>, making the hubs a sustainable community asset</w:t>
      </w:r>
      <w:r w:rsidR="00326FBC">
        <w:rPr>
          <w:rFonts w:ascii="Arial" w:hAnsi="Arial" w:cs="Arial"/>
          <w:sz w:val="24"/>
          <w:szCs w:val="24"/>
        </w:rPr>
        <w:t>.</w:t>
      </w:r>
      <w:r w:rsidR="007705C1">
        <w:rPr>
          <w:rFonts w:ascii="Arial" w:hAnsi="Arial" w:cs="Arial"/>
          <w:sz w:val="24"/>
          <w:szCs w:val="24"/>
        </w:rPr>
        <w:t xml:space="preserve"> </w:t>
      </w:r>
    </w:p>
    <w:p w14:paraId="6B5B12AB" w14:textId="3A47B000" w:rsidR="00C35A6B" w:rsidRDefault="00E50DA9" w:rsidP="009F0B7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4EF57D3" wp14:editId="2A4A62F5">
            <wp:extent cx="4561726" cy="2565972"/>
            <wp:effectExtent l="0" t="0" r="0" b="0"/>
            <wp:docPr id="18235077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058" cy="2596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C0ECAF" w14:textId="5A6F1A1E" w:rsidR="002174C7" w:rsidRDefault="00E50D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Fig. 2:</w:t>
      </w:r>
      <w:r w:rsidR="00226247">
        <w:rPr>
          <w:rFonts w:ascii="Arial" w:hAnsi="Arial" w:cs="Arial"/>
          <w:sz w:val="24"/>
          <w:szCs w:val="24"/>
        </w:rPr>
        <w:t xml:space="preserve"> </w:t>
      </w:r>
      <w:r w:rsidR="00226247" w:rsidRPr="00226247">
        <w:rPr>
          <w:rFonts w:ascii="Arial" w:hAnsi="Arial" w:cs="Arial"/>
          <w:sz w:val="24"/>
          <w:szCs w:val="24"/>
        </w:rPr>
        <w:t>Councillor Obaida Ahmed</w:t>
      </w:r>
      <w:r w:rsidR="00226247">
        <w:rPr>
          <w:rFonts w:ascii="Arial" w:hAnsi="Arial" w:cs="Arial"/>
          <w:sz w:val="24"/>
          <w:szCs w:val="24"/>
        </w:rPr>
        <w:t xml:space="preserve"> and a self-service health kiosk</w:t>
      </w:r>
      <w:r w:rsidR="0074585B">
        <w:rPr>
          <w:rFonts w:ascii="Arial" w:hAnsi="Arial" w:cs="Arial"/>
          <w:sz w:val="24"/>
          <w:szCs w:val="24"/>
        </w:rPr>
        <w:t xml:space="preserve"> </w:t>
      </w:r>
      <w:r w:rsidR="0074585B" w:rsidRPr="0074585B">
        <w:rPr>
          <w:rFonts w:ascii="Arial" w:hAnsi="Arial" w:cs="Arial"/>
          <w:sz w:val="24"/>
          <w:szCs w:val="24"/>
        </w:rPr>
        <w:t>(Gall, 2025)</w:t>
      </w:r>
    </w:p>
    <w:p w14:paraId="5DD7AEF7" w14:textId="1D569292" w:rsidR="00BF5A58" w:rsidRPr="00BF5A58" w:rsidRDefault="00BF5A58" w:rsidP="00B83DBF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F5A58">
        <w:rPr>
          <w:rFonts w:ascii="Arial" w:hAnsi="Arial" w:cs="Arial"/>
          <w:b/>
          <w:bCs/>
          <w:sz w:val="24"/>
          <w:szCs w:val="24"/>
        </w:rPr>
        <w:t>References</w:t>
      </w:r>
    </w:p>
    <w:p w14:paraId="0CB288DE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74585B">
        <w:rPr>
          <w:rFonts w:ascii="Arial" w:hAnsi="Arial" w:cs="Arial"/>
          <w:sz w:val="24"/>
          <w:szCs w:val="24"/>
        </w:rPr>
        <w:t>Aljohi</w:t>
      </w:r>
      <w:proofErr w:type="spellEnd"/>
      <w:r w:rsidRPr="0074585B">
        <w:rPr>
          <w:rFonts w:ascii="Arial" w:hAnsi="Arial" w:cs="Arial"/>
          <w:sz w:val="24"/>
          <w:szCs w:val="24"/>
        </w:rPr>
        <w:t>, A. S.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> (2024) ‘Navigating the Divide: Digital Kiosks and Mobile Apps as Complementary Human-</w:t>
      </w:r>
      <w:proofErr w:type="spellStart"/>
      <w:r w:rsidRPr="0074585B">
        <w:rPr>
          <w:rFonts w:ascii="Arial" w:hAnsi="Arial" w:cs="Arial"/>
          <w:sz w:val="24"/>
          <w:szCs w:val="24"/>
        </w:rPr>
        <w:t>Centered</w:t>
      </w:r>
      <w:proofErr w:type="spellEnd"/>
      <w:r w:rsidRPr="0074585B">
        <w:rPr>
          <w:rFonts w:ascii="Arial" w:hAnsi="Arial" w:cs="Arial"/>
          <w:sz w:val="24"/>
          <w:szCs w:val="24"/>
        </w:rPr>
        <w:t xml:space="preserve"> Self-Service Technologies’, </w:t>
      </w:r>
      <w:r w:rsidRPr="0074585B">
        <w:rPr>
          <w:rFonts w:ascii="Arial" w:hAnsi="Arial" w:cs="Arial"/>
          <w:i/>
          <w:iCs/>
          <w:sz w:val="24"/>
          <w:szCs w:val="24"/>
        </w:rPr>
        <w:t>RAiSE-2023</w:t>
      </w:r>
      <w:r w:rsidRPr="0074585B">
        <w:rPr>
          <w:rFonts w:ascii="Arial" w:hAnsi="Arial" w:cs="Arial"/>
          <w:sz w:val="24"/>
          <w:szCs w:val="24"/>
        </w:rPr>
        <w:t>. Available at: </w:t>
      </w:r>
      <w:hyperlink r:id="rId8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https://doi.org/10.3390/engproc2023059162</w:t>
        </w:r>
      </w:hyperlink>
    </w:p>
    <w:p w14:paraId="38396A04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74585B">
        <w:rPr>
          <w:rFonts w:ascii="Arial" w:hAnsi="Arial" w:cs="Arial"/>
          <w:sz w:val="24"/>
          <w:szCs w:val="24"/>
        </w:rPr>
        <w:t>Almohammadi</w:t>
      </w:r>
      <w:proofErr w:type="spellEnd"/>
      <w:r w:rsidRPr="0074585B">
        <w:rPr>
          <w:rFonts w:ascii="Arial" w:hAnsi="Arial" w:cs="Arial"/>
          <w:sz w:val="24"/>
          <w:szCs w:val="24"/>
        </w:rPr>
        <w:t>, A. A. (2026) ‘Digital Health Technologies for Chronic Disease Prevention: A Narrative Review’, </w:t>
      </w:r>
      <w:r w:rsidRPr="0074585B">
        <w:rPr>
          <w:rFonts w:ascii="Arial" w:hAnsi="Arial" w:cs="Arial"/>
          <w:i/>
          <w:iCs/>
          <w:sz w:val="24"/>
          <w:szCs w:val="24"/>
        </w:rPr>
        <w:t>Current Medical Issues</w:t>
      </w:r>
      <w:r w:rsidRPr="0074585B">
        <w:rPr>
          <w:rFonts w:ascii="Arial" w:hAnsi="Arial" w:cs="Arial"/>
          <w:sz w:val="24"/>
          <w:szCs w:val="24"/>
        </w:rPr>
        <w:t>, 24(2), pp. 223–229. Available at: </w:t>
      </w:r>
      <w:hyperlink r:id="rId9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https://doi.org/10.4103/cmi.cmi_227_25</w:t>
        </w:r>
      </w:hyperlink>
    </w:p>
    <w:p w14:paraId="0DA4EC3B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Barron, E.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 xml:space="preserve"> (2022) ‘Effectiveness of digital and remote provision of the Healthier You: NHS Diabetes Prevention Programme during the COVID </w:t>
      </w:r>
      <w:r w:rsidRPr="0074585B">
        <w:rPr>
          <w:rFonts w:ascii="Cambria Math" w:hAnsi="Cambria Math" w:cs="Cambria Math"/>
          <w:sz w:val="24"/>
          <w:szCs w:val="24"/>
        </w:rPr>
        <w:t>‐</w:t>
      </w:r>
      <w:r w:rsidRPr="0074585B">
        <w:rPr>
          <w:rFonts w:ascii="Arial" w:hAnsi="Arial" w:cs="Arial"/>
          <w:sz w:val="24"/>
          <w:szCs w:val="24"/>
        </w:rPr>
        <w:t>19 pandemic’, </w:t>
      </w:r>
      <w:r w:rsidRPr="0074585B">
        <w:rPr>
          <w:rFonts w:ascii="Arial" w:hAnsi="Arial" w:cs="Arial"/>
          <w:i/>
          <w:iCs/>
          <w:sz w:val="24"/>
          <w:szCs w:val="24"/>
        </w:rPr>
        <w:t>Diabetic Medicine</w:t>
      </w:r>
      <w:r w:rsidRPr="0074585B">
        <w:rPr>
          <w:rFonts w:ascii="Arial" w:hAnsi="Arial" w:cs="Arial"/>
          <w:sz w:val="24"/>
          <w:szCs w:val="24"/>
        </w:rPr>
        <w:t>, (16 December). Available at: </w:t>
      </w:r>
      <w:hyperlink r:id="rId10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https://doi.org/10.1111/dme.15028</w:t>
        </w:r>
      </w:hyperlink>
    </w:p>
    <w:p w14:paraId="0B073F92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 xml:space="preserve">Bitomsky, L., </w:t>
      </w:r>
      <w:proofErr w:type="spellStart"/>
      <w:r w:rsidRPr="0074585B">
        <w:rPr>
          <w:rFonts w:ascii="Arial" w:hAnsi="Arial" w:cs="Arial"/>
          <w:sz w:val="24"/>
          <w:szCs w:val="24"/>
        </w:rPr>
        <w:t>Nißen</w:t>
      </w:r>
      <w:proofErr w:type="spellEnd"/>
      <w:r w:rsidRPr="0074585B">
        <w:rPr>
          <w:rFonts w:ascii="Arial" w:hAnsi="Arial" w:cs="Arial"/>
          <w:sz w:val="24"/>
          <w:szCs w:val="24"/>
        </w:rPr>
        <w:t xml:space="preserve">, M. and </w:t>
      </w:r>
      <w:proofErr w:type="spellStart"/>
      <w:r w:rsidRPr="0074585B">
        <w:rPr>
          <w:rFonts w:ascii="Arial" w:hAnsi="Arial" w:cs="Arial"/>
          <w:sz w:val="24"/>
          <w:szCs w:val="24"/>
        </w:rPr>
        <w:t>Kowatsch</w:t>
      </w:r>
      <w:proofErr w:type="spellEnd"/>
      <w:r w:rsidRPr="0074585B">
        <w:rPr>
          <w:rFonts w:ascii="Arial" w:hAnsi="Arial" w:cs="Arial"/>
          <w:sz w:val="24"/>
          <w:szCs w:val="24"/>
        </w:rPr>
        <w:t>, T. (2025) ‘Equity by design principles for digital health interventions’, </w:t>
      </w:r>
      <w:r w:rsidRPr="0074585B">
        <w:rPr>
          <w:rFonts w:ascii="Arial" w:hAnsi="Arial" w:cs="Arial"/>
          <w:i/>
          <w:iCs/>
          <w:sz w:val="24"/>
          <w:szCs w:val="24"/>
        </w:rPr>
        <w:t>International Journal for Equity in Health</w:t>
      </w:r>
      <w:r w:rsidRPr="0074585B">
        <w:rPr>
          <w:rFonts w:ascii="Arial" w:hAnsi="Arial" w:cs="Arial"/>
          <w:sz w:val="24"/>
          <w:szCs w:val="24"/>
        </w:rPr>
        <w:t>, 24(1). Available at: </w:t>
      </w:r>
      <w:hyperlink r:id="rId11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https://doi.org/10.1186/s12939-025-02645-6</w:t>
        </w:r>
      </w:hyperlink>
    </w:p>
    <w:p w14:paraId="301E76FE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lastRenderedPageBreak/>
        <w:t>Gall, C. (2025) </w:t>
      </w:r>
      <w:r w:rsidRPr="0074585B">
        <w:rPr>
          <w:rFonts w:ascii="Arial" w:hAnsi="Arial" w:cs="Arial"/>
          <w:i/>
          <w:iCs/>
          <w:sz w:val="24"/>
          <w:szCs w:val="24"/>
        </w:rPr>
        <w:t>Self-service health kiosks set up at GP surgeries</w:t>
      </w:r>
      <w:r w:rsidRPr="0074585B">
        <w:rPr>
          <w:rFonts w:ascii="Arial" w:hAnsi="Arial" w:cs="Arial"/>
          <w:sz w:val="24"/>
          <w:szCs w:val="24"/>
        </w:rPr>
        <w:t>. Available at: </w:t>
      </w:r>
      <w:hyperlink r:id="rId12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https://www.bbc.com/news/articles/cvg9qn175qpo</w:t>
        </w:r>
      </w:hyperlink>
      <w:r w:rsidRPr="0074585B">
        <w:rPr>
          <w:rFonts w:ascii="Arial" w:hAnsi="Arial" w:cs="Arial"/>
          <w:sz w:val="24"/>
          <w:szCs w:val="24"/>
        </w:rPr>
        <w:t> (Accessed: 9 July 2026).</w:t>
      </w:r>
    </w:p>
    <w:p w14:paraId="1BC7B588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Liu, J.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> (2022) ‘Low- and middle-income countries demonstrate rapid growth of type 2 diabetes: an analysis based on Global Burden of Disease 1990–2019 data’, </w:t>
      </w:r>
      <w:proofErr w:type="spellStart"/>
      <w:r w:rsidRPr="0074585B">
        <w:rPr>
          <w:rFonts w:ascii="Arial" w:hAnsi="Arial" w:cs="Arial"/>
          <w:i/>
          <w:iCs/>
          <w:sz w:val="24"/>
          <w:szCs w:val="24"/>
        </w:rPr>
        <w:t>Diabetologia</w:t>
      </w:r>
      <w:proofErr w:type="spellEnd"/>
      <w:r w:rsidRPr="0074585B">
        <w:rPr>
          <w:rFonts w:ascii="Arial" w:hAnsi="Arial" w:cs="Arial"/>
          <w:sz w:val="24"/>
          <w:szCs w:val="24"/>
        </w:rPr>
        <w:t>, (19 May). Available at: </w:t>
      </w:r>
      <w:hyperlink r:id="rId13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https://doi.org/10.1007/s00125-022-05713-6</w:t>
        </w:r>
      </w:hyperlink>
    </w:p>
    <w:p w14:paraId="578BF247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Mladin, O. A.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> (2024) ‘The transformative power of mHealth apps: empowering patients with obesity and diabetes – a narrative review’, </w:t>
      </w:r>
      <w:r w:rsidRPr="0074585B">
        <w:rPr>
          <w:rFonts w:ascii="Arial" w:hAnsi="Arial" w:cs="Arial"/>
          <w:i/>
          <w:iCs/>
          <w:sz w:val="24"/>
          <w:szCs w:val="24"/>
        </w:rPr>
        <w:t>Journal of Medicine and Life</w:t>
      </w:r>
      <w:r w:rsidRPr="0074585B">
        <w:rPr>
          <w:rFonts w:ascii="Arial" w:hAnsi="Arial" w:cs="Arial"/>
          <w:sz w:val="24"/>
          <w:szCs w:val="24"/>
        </w:rPr>
        <w:t>, 17(12), pp. 1030–1035. Available at: </w:t>
      </w:r>
      <w:hyperlink r:id="rId14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https://doi.org/10.25122/jml-2024-0340</w:t>
        </w:r>
      </w:hyperlink>
    </w:p>
    <w:p w14:paraId="2EDA7FC3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National Institute of Diabetes and Digestive and Kidney Diseases (NIDDK) (2022) </w:t>
      </w:r>
      <w:r w:rsidRPr="0074585B">
        <w:rPr>
          <w:rFonts w:ascii="Arial" w:hAnsi="Arial" w:cs="Arial"/>
          <w:i/>
          <w:iCs/>
          <w:sz w:val="24"/>
          <w:szCs w:val="24"/>
        </w:rPr>
        <w:t>Risk Factors for Type 2 Diabetes</w:t>
      </w:r>
      <w:r w:rsidRPr="0074585B">
        <w:rPr>
          <w:rFonts w:ascii="Arial" w:hAnsi="Arial" w:cs="Arial"/>
          <w:sz w:val="24"/>
          <w:szCs w:val="24"/>
        </w:rPr>
        <w:t>. Available at: </w:t>
      </w:r>
      <w:hyperlink r:id="rId15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https://www.niddk.nih.gov/health-information/diabetes/overview/risk-factors-type-2-diabetes</w:t>
        </w:r>
      </w:hyperlink>
      <w:r w:rsidRPr="0074585B">
        <w:rPr>
          <w:rFonts w:ascii="Arial" w:hAnsi="Arial" w:cs="Arial"/>
          <w:sz w:val="24"/>
          <w:szCs w:val="24"/>
        </w:rPr>
        <w:t> (Accessed: 9 July 2026).</w:t>
      </w:r>
    </w:p>
    <w:p w14:paraId="0F6419E2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74585B">
        <w:rPr>
          <w:rFonts w:ascii="Arial" w:hAnsi="Arial" w:cs="Arial"/>
          <w:sz w:val="24"/>
          <w:szCs w:val="24"/>
        </w:rPr>
        <w:t>Ombech</w:t>
      </w:r>
      <w:proofErr w:type="spellEnd"/>
      <w:r w:rsidRPr="0074585B">
        <w:rPr>
          <w:rFonts w:ascii="Arial" w:hAnsi="Arial" w:cs="Arial"/>
          <w:sz w:val="24"/>
          <w:szCs w:val="24"/>
        </w:rPr>
        <w:t>, E. A.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> (2025) ‘Effectiveness of an integrated community and hospital digital health information system for maternal and newborn healthcare in Northern Kenya: a nonrandomized before-after evaluation’, </w:t>
      </w:r>
      <w:r w:rsidRPr="0074585B">
        <w:rPr>
          <w:rFonts w:ascii="Arial" w:hAnsi="Arial" w:cs="Arial"/>
          <w:i/>
          <w:iCs/>
          <w:sz w:val="24"/>
          <w:szCs w:val="24"/>
        </w:rPr>
        <w:t>Frontiers in Digital Health</w:t>
      </w:r>
      <w:r w:rsidRPr="0074585B">
        <w:rPr>
          <w:rFonts w:ascii="Arial" w:hAnsi="Arial" w:cs="Arial"/>
          <w:sz w:val="24"/>
          <w:szCs w:val="24"/>
        </w:rPr>
        <w:t>, 7(17 December). Available at: </w:t>
      </w:r>
      <w:hyperlink r:id="rId16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https://doi.org/10.3389/fdgth.2025.1584733</w:t>
        </w:r>
      </w:hyperlink>
    </w:p>
    <w:p w14:paraId="0E41B5DE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Ruotsalainen, I.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> (2025) ‘</w:t>
      </w:r>
      <w:proofErr w:type="spellStart"/>
      <w:r w:rsidRPr="0074585B">
        <w:rPr>
          <w:rFonts w:ascii="Arial" w:hAnsi="Arial" w:cs="Arial"/>
          <w:sz w:val="24"/>
          <w:szCs w:val="24"/>
        </w:rPr>
        <w:t>Unraveling</w:t>
      </w:r>
      <w:proofErr w:type="spellEnd"/>
      <w:r w:rsidRPr="0074585B">
        <w:rPr>
          <w:rFonts w:ascii="Arial" w:hAnsi="Arial" w:cs="Arial"/>
          <w:sz w:val="24"/>
          <w:szCs w:val="24"/>
        </w:rPr>
        <w:t xml:space="preserve"> the Factors Associated </w:t>
      </w:r>
      <w:proofErr w:type="gramStart"/>
      <w:r w:rsidRPr="0074585B">
        <w:rPr>
          <w:rFonts w:ascii="Arial" w:hAnsi="Arial" w:cs="Arial"/>
          <w:sz w:val="24"/>
          <w:szCs w:val="24"/>
        </w:rPr>
        <w:t>With</w:t>
      </w:r>
      <w:proofErr w:type="gramEnd"/>
      <w:r w:rsidRPr="0074585B">
        <w:rPr>
          <w:rFonts w:ascii="Arial" w:hAnsi="Arial" w:cs="Arial"/>
          <w:sz w:val="24"/>
          <w:szCs w:val="24"/>
        </w:rPr>
        <w:t xml:space="preserve"> Digital Health Intervention Uptake: Cross-Sectional Study’, </w:t>
      </w:r>
      <w:r w:rsidRPr="0074585B">
        <w:rPr>
          <w:rFonts w:ascii="Arial" w:hAnsi="Arial" w:cs="Arial"/>
          <w:i/>
          <w:iCs/>
          <w:sz w:val="24"/>
          <w:szCs w:val="24"/>
        </w:rPr>
        <w:t xml:space="preserve">JMIR mHealth and </w:t>
      </w:r>
      <w:proofErr w:type="spellStart"/>
      <w:r w:rsidRPr="0074585B">
        <w:rPr>
          <w:rFonts w:ascii="Arial" w:hAnsi="Arial" w:cs="Arial"/>
          <w:i/>
          <w:iCs/>
          <w:sz w:val="24"/>
          <w:szCs w:val="24"/>
        </w:rPr>
        <w:t>uHealth</w:t>
      </w:r>
      <w:proofErr w:type="spellEnd"/>
      <w:r w:rsidRPr="0074585B">
        <w:rPr>
          <w:rFonts w:ascii="Arial" w:hAnsi="Arial" w:cs="Arial"/>
          <w:sz w:val="24"/>
          <w:szCs w:val="24"/>
        </w:rPr>
        <w:t>, 13(9 December), p. e63896. Available at: </w:t>
      </w:r>
      <w:hyperlink r:id="rId17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https://doi.org/10.2196/63896</w:t>
        </w:r>
      </w:hyperlink>
    </w:p>
    <w:p w14:paraId="09EAB30F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Seo, J. (2024) ‘Designing Public Healthcare Platform for Rapidly Aging Population in South Korea: Mixed-Method Study Based on Design Thinking Approach (Preprint)’, </w:t>
      </w:r>
      <w:r w:rsidRPr="0074585B">
        <w:rPr>
          <w:rFonts w:ascii="Arial" w:hAnsi="Arial" w:cs="Arial"/>
          <w:i/>
          <w:iCs/>
          <w:sz w:val="24"/>
          <w:szCs w:val="24"/>
        </w:rPr>
        <w:t>JMIR Research Protocols</w:t>
      </w:r>
      <w:r w:rsidRPr="0074585B">
        <w:rPr>
          <w:rFonts w:ascii="Arial" w:hAnsi="Arial" w:cs="Arial"/>
          <w:sz w:val="24"/>
          <w:szCs w:val="24"/>
        </w:rPr>
        <w:t>, (8 July). Available at: </w:t>
      </w:r>
      <w:hyperlink r:id="rId18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https://doi.org/10.2196/63094</w:t>
        </w:r>
      </w:hyperlink>
    </w:p>
    <w:p w14:paraId="0BE3FCC7" w14:textId="77777777" w:rsidR="0074585B" w:rsidRPr="0074585B" w:rsidRDefault="0074585B" w:rsidP="0074585B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lastRenderedPageBreak/>
        <w:t>Western, M. J.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> (2025) ‘Bridging the digital health divide: a narrative review of the causes, implications, and solutions for digital health inequalities’, </w:t>
      </w:r>
      <w:r w:rsidRPr="0074585B">
        <w:rPr>
          <w:rFonts w:ascii="Arial" w:hAnsi="Arial" w:cs="Arial"/>
          <w:i/>
          <w:iCs/>
          <w:sz w:val="24"/>
          <w:szCs w:val="24"/>
        </w:rPr>
        <w:t xml:space="preserve">Health Psychology and </w:t>
      </w:r>
      <w:proofErr w:type="spellStart"/>
      <w:r w:rsidRPr="0074585B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74585B">
        <w:rPr>
          <w:rFonts w:ascii="Arial" w:hAnsi="Arial" w:cs="Arial"/>
          <w:i/>
          <w:iCs/>
          <w:sz w:val="24"/>
          <w:szCs w:val="24"/>
        </w:rPr>
        <w:t xml:space="preserve"> Medicine</w:t>
      </w:r>
      <w:r w:rsidRPr="0074585B">
        <w:rPr>
          <w:rFonts w:ascii="Arial" w:hAnsi="Arial" w:cs="Arial"/>
          <w:sz w:val="24"/>
          <w:szCs w:val="24"/>
        </w:rPr>
        <w:t>, 13(1). Available at: </w:t>
      </w:r>
      <w:hyperlink r:id="rId19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https://doi.org/10.1080/21642850.2025.2493139</w:t>
        </w:r>
      </w:hyperlink>
    </w:p>
    <w:p w14:paraId="4BA1DF22" w14:textId="778AE119" w:rsidR="00BF5A58" w:rsidRPr="00B83DBF" w:rsidRDefault="0074585B" w:rsidP="00B83DBF">
      <w:pPr>
        <w:spacing w:line="480" w:lineRule="auto"/>
        <w:rPr>
          <w:rFonts w:ascii="Arial" w:hAnsi="Arial" w:cs="Arial"/>
          <w:sz w:val="24"/>
          <w:szCs w:val="24"/>
        </w:rPr>
      </w:pPr>
      <w:r w:rsidRPr="0074585B">
        <w:rPr>
          <w:rFonts w:ascii="Arial" w:hAnsi="Arial" w:cs="Arial"/>
          <w:sz w:val="24"/>
          <w:szCs w:val="24"/>
        </w:rPr>
        <w:t>Zhu, M. </w:t>
      </w:r>
      <w:r w:rsidRPr="0074585B">
        <w:rPr>
          <w:rFonts w:ascii="Arial" w:hAnsi="Arial" w:cs="Arial"/>
          <w:i/>
          <w:iCs/>
          <w:sz w:val="24"/>
          <w:szCs w:val="24"/>
        </w:rPr>
        <w:t>et al.</w:t>
      </w:r>
      <w:r w:rsidRPr="0074585B">
        <w:rPr>
          <w:rFonts w:ascii="Arial" w:hAnsi="Arial" w:cs="Arial"/>
          <w:sz w:val="24"/>
          <w:szCs w:val="24"/>
        </w:rPr>
        <w:t xml:space="preserve"> (2025) ‘Global burden of non-communicable diseases attributable to </w:t>
      </w:r>
      <w:proofErr w:type="spellStart"/>
      <w:r w:rsidRPr="0074585B">
        <w:rPr>
          <w:rFonts w:ascii="Arial" w:hAnsi="Arial" w:cs="Arial"/>
          <w:sz w:val="24"/>
          <w:szCs w:val="24"/>
        </w:rPr>
        <w:t>behavioral</w:t>
      </w:r>
      <w:proofErr w:type="spellEnd"/>
      <w:r w:rsidRPr="0074585B">
        <w:rPr>
          <w:rFonts w:ascii="Arial" w:hAnsi="Arial" w:cs="Arial"/>
          <w:sz w:val="24"/>
          <w:szCs w:val="24"/>
        </w:rPr>
        <w:t xml:space="preserve"> factors’, </w:t>
      </w:r>
      <w:r w:rsidRPr="0074585B">
        <w:rPr>
          <w:rFonts w:ascii="Arial" w:hAnsi="Arial" w:cs="Arial"/>
          <w:i/>
          <w:iCs/>
          <w:sz w:val="24"/>
          <w:szCs w:val="24"/>
        </w:rPr>
        <w:t>Science Bulletin</w:t>
      </w:r>
      <w:r w:rsidRPr="0074585B">
        <w:rPr>
          <w:rFonts w:ascii="Arial" w:hAnsi="Arial" w:cs="Arial"/>
          <w:sz w:val="24"/>
          <w:szCs w:val="24"/>
        </w:rPr>
        <w:t>, (August). Available at: </w:t>
      </w:r>
      <w:hyperlink r:id="rId20" w:tgtFrame="_blank" w:history="1">
        <w:r w:rsidRPr="0074585B">
          <w:rPr>
            <w:rStyle w:val="Hyperlink"/>
            <w:rFonts w:ascii="Arial" w:hAnsi="Arial" w:cs="Arial"/>
            <w:sz w:val="24"/>
            <w:szCs w:val="24"/>
          </w:rPr>
          <w:t>https://doi.org/10.1016/j.scib.2025.08.037</w:t>
        </w:r>
      </w:hyperlink>
    </w:p>
    <w:sectPr w:rsidR="00BF5A58" w:rsidRPr="00B83DBF" w:rsidSect="0068575F"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C977" w14:textId="77777777" w:rsidR="00786161" w:rsidRDefault="00786161" w:rsidP="00B83DBF">
      <w:pPr>
        <w:spacing w:after="0" w:line="240" w:lineRule="auto"/>
      </w:pPr>
      <w:r>
        <w:separator/>
      </w:r>
    </w:p>
  </w:endnote>
  <w:endnote w:type="continuationSeparator" w:id="0">
    <w:p w14:paraId="32BA9E87" w14:textId="77777777" w:rsidR="00786161" w:rsidRDefault="00786161" w:rsidP="00B83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82889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6DA7B4" w14:textId="148ACE68" w:rsidR="00B83DBF" w:rsidRDefault="00B83D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1655F" w14:textId="77777777" w:rsidR="00B83DBF" w:rsidRDefault="00B83D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F7A6F" w14:textId="77777777" w:rsidR="00786161" w:rsidRDefault="00786161" w:rsidP="00B83DBF">
      <w:pPr>
        <w:spacing w:after="0" w:line="240" w:lineRule="auto"/>
      </w:pPr>
      <w:r>
        <w:separator/>
      </w:r>
    </w:p>
  </w:footnote>
  <w:footnote w:type="continuationSeparator" w:id="0">
    <w:p w14:paraId="43854D0E" w14:textId="77777777" w:rsidR="00786161" w:rsidRDefault="00786161" w:rsidP="00B83D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C1E"/>
    <w:rsid w:val="000161A8"/>
    <w:rsid w:val="00031DF1"/>
    <w:rsid w:val="00050A03"/>
    <w:rsid w:val="0007152E"/>
    <w:rsid w:val="000739A4"/>
    <w:rsid w:val="000751A8"/>
    <w:rsid w:val="000A720F"/>
    <w:rsid w:val="000B5B2A"/>
    <w:rsid w:val="00106F8B"/>
    <w:rsid w:val="00122588"/>
    <w:rsid w:val="00130C82"/>
    <w:rsid w:val="00134B50"/>
    <w:rsid w:val="00176223"/>
    <w:rsid w:val="0019012C"/>
    <w:rsid w:val="00195275"/>
    <w:rsid w:val="001E264E"/>
    <w:rsid w:val="001E6DAF"/>
    <w:rsid w:val="001F3FED"/>
    <w:rsid w:val="002174C7"/>
    <w:rsid w:val="00226247"/>
    <w:rsid w:val="00233ED2"/>
    <w:rsid w:val="00274FC1"/>
    <w:rsid w:val="0029173A"/>
    <w:rsid w:val="002A73A9"/>
    <w:rsid w:val="003008C1"/>
    <w:rsid w:val="00310EF4"/>
    <w:rsid w:val="00312CF4"/>
    <w:rsid w:val="00326FBC"/>
    <w:rsid w:val="00330CB8"/>
    <w:rsid w:val="00334930"/>
    <w:rsid w:val="00337DEC"/>
    <w:rsid w:val="003428A1"/>
    <w:rsid w:val="003453E1"/>
    <w:rsid w:val="00365D3A"/>
    <w:rsid w:val="00370D3E"/>
    <w:rsid w:val="00394130"/>
    <w:rsid w:val="003A2C1E"/>
    <w:rsid w:val="003B0798"/>
    <w:rsid w:val="004037C7"/>
    <w:rsid w:val="00407E2A"/>
    <w:rsid w:val="00420A7F"/>
    <w:rsid w:val="0042693E"/>
    <w:rsid w:val="004577B2"/>
    <w:rsid w:val="0049349F"/>
    <w:rsid w:val="004B1785"/>
    <w:rsid w:val="004F2F65"/>
    <w:rsid w:val="005322F7"/>
    <w:rsid w:val="005B75CF"/>
    <w:rsid w:val="005D42D6"/>
    <w:rsid w:val="005E46E6"/>
    <w:rsid w:val="005E4748"/>
    <w:rsid w:val="005F4CEE"/>
    <w:rsid w:val="005F7B16"/>
    <w:rsid w:val="006172C3"/>
    <w:rsid w:val="0062018C"/>
    <w:rsid w:val="00623571"/>
    <w:rsid w:val="00636FA7"/>
    <w:rsid w:val="00660F72"/>
    <w:rsid w:val="006629A1"/>
    <w:rsid w:val="0068575F"/>
    <w:rsid w:val="006C7925"/>
    <w:rsid w:val="006D17BC"/>
    <w:rsid w:val="006E6C2C"/>
    <w:rsid w:val="00713FB1"/>
    <w:rsid w:val="0072544F"/>
    <w:rsid w:val="0074585B"/>
    <w:rsid w:val="007705C1"/>
    <w:rsid w:val="00786161"/>
    <w:rsid w:val="007A22D7"/>
    <w:rsid w:val="007F419B"/>
    <w:rsid w:val="007F6712"/>
    <w:rsid w:val="00805EFD"/>
    <w:rsid w:val="00812696"/>
    <w:rsid w:val="00853C3A"/>
    <w:rsid w:val="00860EFC"/>
    <w:rsid w:val="008A14D9"/>
    <w:rsid w:val="008D69F7"/>
    <w:rsid w:val="009011AD"/>
    <w:rsid w:val="00911942"/>
    <w:rsid w:val="00944104"/>
    <w:rsid w:val="00962561"/>
    <w:rsid w:val="009766FF"/>
    <w:rsid w:val="009A4EC8"/>
    <w:rsid w:val="009A52FF"/>
    <w:rsid w:val="009E11C0"/>
    <w:rsid w:val="009F0B7E"/>
    <w:rsid w:val="009F2D63"/>
    <w:rsid w:val="00A2333C"/>
    <w:rsid w:val="00A26B9B"/>
    <w:rsid w:val="00A34C82"/>
    <w:rsid w:val="00A364A0"/>
    <w:rsid w:val="00A46161"/>
    <w:rsid w:val="00B10FB7"/>
    <w:rsid w:val="00B15B99"/>
    <w:rsid w:val="00B30509"/>
    <w:rsid w:val="00B81D53"/>
    <w:rsid w:val="00B83DBF"/>
    <w:rsid w:val="00B84ED5"/>
    <w:rsid w:val="00B87EA2"/>
    <w:rsid w:val="00BB0FA6"/>
    <w:rsid w:val="00BC2148"/>
    <w:rsid w:val="00BE5886"/>
    <w:rsid w:val="00BF5363"/>
    <w:rsid w:val="00BF5A58"/>
    <w:rsid w:val="00C039D9"/>
    <w:rsid w:val="00C2130A"/>
    <w:rsid w:val="00C339F3"/>
    <w:rsid w:val="00C35A6B"/>
    <w:rsid w:val="00C37AB3"/>
    <w:rsid w:val="00CC1D85"/>
    <w:rsid w:val="00CE3355"/>
    <w:rsid w:val="00CE6FAE"/>
    <w:rsid w:val="00D755ED"/>
    <w:rsid w:val="00D917AF"/>
    <w:rsid w:val="00DD2EB4"/>
    <w:rsid w:val="00DD6AD7"/>
    <w:rsid w:val="00DE5C12"/>
    <w:rsid w:val="00DF68F1"/>
    <w:rsid w:val="00E16D83"/>
    <w:rsid w:val="00E41C02"/>
    <w:rsid w:val="00E50DA9"/>
    <w:rsid w:val="00E825C3"/>
    <w:rsid w:val="00EA6259"/>
    <w:rsid w:val="00EB73E4"/>
    <w:rsid w:val="00EF3562"/>
    <w:rsid w:val="00F052C9"/>
    <w:rsid w:val="00F1033F"/>
    <w:rsid w:val="00F26F19"/>
    <w:rsid w:val="00F40D58"/>
    <w:rsid w:val="00F55D76"/>
    <w:rsid w:val="00F739A7"/>
    <w:rsid w:val="00F90599"/>
    <w:rsid w:val="00FB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5C780"/>
  <w15:chartTrackingRefBased/>
  <w15:docId w15:val="{01D1960A-D80C-4259-9A3F-7B043911E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2C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2C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C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C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C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C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C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C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C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C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2C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C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C1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C1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C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C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C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C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C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C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C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C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C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C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C1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C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C1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C1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3D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DBF"/>
  </w:style>
  <w:style w:type="paragraph" w:styleId="Footer">
    <w:name w:val="footer"/>
    <w:basedOn w:val="Normal"/>
    <w:link w:val="FooterChar"/>
    <w:uiPriority w:val="99"/>
    <w:unhideWhenUsed/>
    <w:rsid w:val="00B83D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DBF"/>
  </w:style>
  <w:style w:type="character" w:styleId="Hyperlink">
    <w:name w:val="Hyperlink"/>
    <w:basedOn w:val="DefaultParagraphFont"/>
    <w:uiPriority w:val="99"/>
    <w:unhideWhenUsed/>
    <w:rsid w:val="00745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58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engproc2023059162" TargetMode="External"/><Relationship Id="rId13" Type="http://schemas.openxmlformats.org/officeDocument/2006/relationships/hyperlink" Target="https://doi.org/10.1007/s00125-022-05713-6" TargetMode="External"/><Relationship Id="rId18" Type="http://schemas.openxmlformats.org/officeDocument/2006/relationships/hyperlink" Target="https://doi.org/10.2196/63094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hyperlink" Target="https://www.bbc.com/news/articles/cvg9qn175qpo" TargetMode="External"/><Relationship Id="rId17" Type="http://schemas.openxmlformats.org/officeDocument/2006/relationships/hyperlink" Target="https://doi.org/10.2196/6389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3389/fdgth.2025.1584733" TargetMode="External"/><Relationship Id="rId20" Type="http://schemas.openxmlformats.org/officeDocument/2006/relationships/hyperlink" Target="https://doi.org/10.1016/j.scib.2025.08.037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oi.org/10.1186/s12939-025-02645-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iddk.nih.gov/health-information/diabetes/overview/risk-factors-type-2-diabet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111/dme.15028" TargetMode="External"/><Relationship Id="rId19" Type="http://schemas.openxmlformats.org/officeDocument/2006/relationships/hyperlink" Target="https://doi.org/10.1080/21642850.2025.249313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4103/cmi.cmi_227_25" TargetMode="External"/><Relationship Id="rId14" Type="http://schemas.openxmlformats.org/officeDocument/2006/relationships/hyperlink" Target="https://doi.org/10.25122/jml-2024-034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1566</Words>
  <Characters>8932</Characters>
  <Application>Microsoft Office Word</Application>
  <DocSecurity>0</DocSecurity>
  <Lines>74</Lines>
  <Paragraphs>20</Paragraphs>
  <ScaleCrop>false</ScaleCrop>
  <Company/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Ndegwa</dc:creator>
  <cp:keywords/>
  <dc:description/>
  <cp:lastModifiedBy>HP</cp:lastModifiedBy>
  <cp:revision>120</cp:revision>
  <dcterms:created xsi:type="dcterms:W3CDTF">2026-07-09T08:14:00Z</dcterms:created>
  <dcterms:modified xsi:type="dcterms:W3CDTF">2026-07-14T09:55:00Z</dcterms:modified>
</cp:coreProperties>
</file>