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564695" w:rsidRPr="00564695" w:rsidRDefault="00564695" w:rsidP="00564695">
      <w:pPr>
        <w:pStyle w:val="NoSpacing"/>
        <w:jc w:val="center"/>
        <w:rPr>
          <w:i/>
        </w:rPr>
      </w:pPr>
      <w:r w:rsidRPr="00564695">
        <w:rPr>
          <w:i/>
        </w:rPr>
        <w:t xml:space="preserve">Out of the North shall evil break </w:t>
      </w:r>
      <w:proofErr w:type="gramStart"/>
      <w:r w:rsidRPr="00564695">
        <w:rPr>
          <w:i/>
        </w:rPr>
        <w:t>forth</w:t>
      </w:r>
      <w:proofErr w:type="gramEnd"/>
    </w:p>
    <w:p w:rsidR="00564695" w:rsidRPr="00564695" w:rsidRDefault="00564695" w:rsidP="00564695">
      <w:pPr>
        <w:pStyle w:val="NoSpacing"/>
        <w:jc w:val="center"/>
      </w:pPr>
      <w:r>
        <w:t>Jeremiah, I</w:t>
      </w:r>
      <w:proofErr w:type="gramStart"/>
      <w:r>
        <w:t>:14</w:t>
      </w:r>
      <w:proofErr w:type="gramEnd"/>
      <w:r>
        <w:t xml:space="preserve"> (King James Version)</w:t>
      </w:r>
    </w:p>
    <w:p w:rsidR="00564695" w:rsidRDefault="00564695"/>
    <w:p w:rsidR="00790195" w:rsidRDefault="0034662C" w:rsidP="00AB7687">
      <w:r>
        <w:t xml:space="preserve">The Benedictine monk </w:t>
      </w:r>
      <w:proofErr w:type="spellStart"/>
      <w:r>
        <w:t>Amatus</w:t>
      </w:r>
      <w:proofErr w:type="spellEnd"/>
      <w:r>
        <w:t xml:space="preserve"> was commissioned by Abbot Desiderius to write the first history of the Normans in Italy to commemorate Richard </w:t>
      </w:r>
      <w:proofErr w:type="spellStart"/>
      <w:r>
        <w:t>Drengot</w:t>
      </w:r>
      <w:proofErr w:type="spellEnd"/>
      <w:r w:rsidR="003F6B1C">
        <w:t xml:space="preserve"> and Robert Guiscard</w:t>
      </w:r>
      <w:r>
        <w:t>, Prince of Capua and Duke of Apulia, Calabria and Sicily</w:t>
      </w:r>
      <w:r w:rsidR="003F6B1C">
        <w:t xml:space="preserve"> respectively by virtue of conquest,</w:t>
      </w:r>
      <w:r>
        <w:t xml:space="preserve"> ostensibly for their generosity towards </w:t>
      </w:r>
      <w:proofErr w:type="spellStart"/>
      <w:r>
        <w:t>Montec</w:t>
      </w:r>
      <w:bookmarkStart w:id="0" w:name="_GoBack"/>
      <w:bookmarkEnd w:id="0"/>
      <w:r>
        <w:t>assino</w:t>
      </w:r>
      <w:proofErr w:type="spellEnd"/>
      <w:r>
        <w:t xml:space="preserve"> Abbey and the Church. </w:t>
      </w:r>
      <w:r w:rsidR="00060826">
        <w:t>It is likely that t</w:t>
      </w:r>
      <w:r w:rsidR="003A585D">
        <w:t xml:space="preserve">he </w:t>
      </w:r>
      <w:proofErr w:type="spellStart"/>
      <w:r w:rsidR="00D0199D">
        <w:rPr>
          <w:i/>
        </w:rPr>
        <w:t>Historia</w:t>
      </w:r>
      <w:proofErr w:type="spellEnd"/>
      <w:r w:rsidR="00D0199D">
        <w:rPr>
          <w:i/>
        </w:rPr>
        <w:t xml:space="preserve"> </w:t>
      </w:r>
      <w:proofErr w:type="spellStart"/>
      <w:r w:rsidR="00D0199D">
        <w:rPr>
          <w:i/>
        </w:rPr>
        <w:t>Normannorum</w:t>
      </w:r>
      <w:proofErr w:type="spellEnd"/>
      <w:r w:rsidR="00D0199D">
        <w:t xml:space="preserve"> </w:t>
      </w:r>
      <w:r w:rsidR="003A585D">
        <w:t xml:space="preserve">was </w:t>
      </w:r>
      <w:r w:rsidR="00060826">
        <w:t>written between 1078 and 1080 after the death of Richard</w:t>
      </w:r>
      <w:r w:rsidR="003F6B1C">
        <w:t xml:space="preserve"> who was considered to be an ally of the </w:t>
      </w:r>
      <w:r w:rsidR="00902A56">
        <w:t>A</w:t>
      </w:r>
      <w:r w:rsidR="003F6B1C">
        <w:t>bbey,</w:t>
      </w:r>
      <w:r w:rsidR="00060826">
        <w:t xml:space="preserve"> </w:t>
      </w:r>
      <w:r w:rsidR="00CB5932">
        <w:t>and before Robert’s reconciliation with Gregory VII in July 1080.</w:t>
      </w:r>
      <w:r w:rsidR="00CB5932">
        <w:rPr>
          <w:rStyle w:val="FootnoteReference"/>
        </w:rPr>
        <w:footnoteReference w:id="1"/>
      </w:r>
      <w:r>
        <w:t xml:space="preserve"> The work o</w:t>
      </w:r>
      <w:r w:rsidR="00790195">
        <w:t xml:space="preserve">nly survives as a </w:t>
      </w:r>
      <w:r w:rsidR="00C838C6">
        <w:t xml:space="preserve">single manuscript </w:t>
      </w:r>
      <w:r w:rsidR="00AB7687">
        <w:t>in</w:t>
      </w:r>
      <w:r w:rsidR="00C838C6">
        <w:t xml:space="preserve"> a </w:t>
      </w:r>
      <w:r w:rsidR="00790195">
        <w:t xml:space="preserve">French </w:t>
      </w:r>
      <w:r w:rsidR="005D007D">
        <w:t xml:space="preserve">translation </w:t>
      </w:r>
      <w:r w:rsidR="00252150">
        <w:t>commissioned by a</w:t>
      </w:r>
      <w:r w:rsidR="00790195">
        <w:t xml:space="preserve"> ‘</w:t>
      </w:r>
      <w:proofErr w:type="spellStart"/>
      <w:r w:rsidR="00790195">
        <w:t>conte</w:t>
      </w:r>
      <w:proofErr w:type="spellEnd"/>
      <w:r w:rsidR="00790195">
        <w:t xml:space="preserve"> de </w:t>
      </w:r>
      <w:proofErr w:type="spellStart"/>
      <w:r w:rsidR="00790195">
        <w:t>Militr</w:t>
      </w:r>
      <w:r w:rsidR="00790195">
        <w:rPr>
          <w:rFonts w:cstheme="minorHAnsi"/>
        </w:rPr>
        <w:t>é</w:t>
      </w:r>
      <w:r w:rsidR="00790195">
        <w:t>e</w:t>
      </w:r>
      <w:proofErr w:type="spellEnd"/>
      <w:r w:rsidR="005D007D">
        <w:t>’</w:t>
      </w:r>
      <w:r w:rsidR="005D007D">
        <w:rPr>
          <w:rStyle w:val="FootnoteReference"/>
        </w:rPr>
        <w:footnoteReference w:id="2"/>
      </w:r>
      <w:r w:rsidR="00790195">
        <w:t xml:space="preserve"> in 1310</w:t>
      </w:r>
      <w:r w:rsidR="005D007D">
        <w:t xml:space="preserve">. </w:t>
      </w:r>
      <w:r>
        <w:t>It</w:t>
      </w:r>
      <w:r w:rsidR="005D007D">
        <w:t xml:space="preserve"> is abridged thus </w:t>
      </w:r>
      <w:r w:rsidR="00AB7687">
        <w:t>the</w:t>
      </w:r>
      <w:r w:rsidR="005D007D">
        <w:t xml:space="preserve"> work is as much a product of the 14</w:t>
      </w:r>
      <w:r w:rsidR="005D007D" w:rsidRPr="005D007D">
        <w:rPr>
          <w:vertAlign w:val="superscript"/>
        </w:rPr>
        <w:t>th</w:t>
      </w:r>
      <w:r w:rsidR="005D007D">
        <w:t xml:space="preserve"> as of the 12</w:t>
      </w:r>
      <w:r w:rsidR="005D007D" w:rsidRPr="005D007D">
        <w:rPr>
          <w:vertAlign w:val="superscript"/>
        </w:rPr>
        <w:t>th</w:t>
      </w:r>
      <w:r w:rsidR="005D007D">
        <w:t xml:space="preserve"> century.</w:t>
      </w:r>
      <w:r w:rsidR="00A70DD6">
        <w:t xml:space="preserve"> However, Leo </w:t>
      </w:r>
      <w:proofErr w:type="spellStart"/>
      <w:r w:rsidR="00A70DD6">
        <w:t>Marsicanus</w:t>
      </w:r>
      <w:proofErr w:type="spellEnd"/>
      <w:r w:rsidR="000918C8">
        <w:rPr>
          <w:rStyle w:val="FootnoteReference"/>
        </w:rPr>
        <w:footnoteReference w:id="3"/>
      </w:r>
      <w:r w:rsidR="00A70DD6">
        <w:t xml:space="preserve"> used </w:t>
      </w:r>
      <w:proofErr w:type="spellStart"/>
      <w:r w:rsidR="00A70DD6">
        <w:t>Amatus’</w:t>
      </w:r>
      <w:r w:rsidR="00D3241B">
        <w:t>s</w:t>
      </w:r>
      <w:proofErr w:type="spellEnd"/>
      <w:r w:rsidR="00A70DD6">
        <w:t xml:space="preserve"> original Latin script as a source for </w:t>
      </w:r>
      <w:r w:rsidR="002464E0">
        <w:t xml:space="preserve">the second redaction of </w:t>
      </w:r>
      <w:r w:rsidR="00A70DD6">
        <w:t xml:space="preserve">his </w:t>
      </w:r>
      <w:proofErr w:type="spellStart"/>
      <w:r w:rsidR="00A70DD6" w:rsidRPr="00A70DD6">
        <w:rPr>
          <w:i/>
        </w:rPr>
        <w:t>Chronica</w:t>
      </w:r>
      <w:proofErr w:type="spellEnd"/>
      <w:r w:rsidR="00A70DD6" w:rsidRPr="00A70DD6">
        <w:rPr>
          <w:i/>
        </w:rPr>
        <w:t xml:space="preserve"> </w:t>
      </w:r>
      <w:proofErr w:type="spellStart"/>
      <w:r w:rsidR="00A70DD6" w:rsidRPr="00A70DD6">
        <w:rPr>
          <w:i/>
        </w:rPr>
        <w:t>monasterii</w:t>
      </w:r>
      <w:proofErr w:type="spellEnd"/>
      <w:r w:rsidR="00A70DD6" w:rsidRPr="00A70DD6">
        <w:rPr>
          <w:i/>
        </w:rPr>
        <w:t xml:space="preserve"> </w:t>
      </w:r>
      <w:proofErr w:type="spellStart"/>
      <w:r w:rsidR="00A70DD6" w:rsidRPr="00A70DD6">
        <w:rPr>
          <w:i/>
        </w:rPr>
        <w:t>Casiniensis</w:t>
      </w:r>
      <w:proofErr w:type="spellEnd"/>
      <w:r w:rsidR="00A70DD6">
        <w:t xml:space="preserve"> and </w:t>
      </w:r>
      <w:r>
        <w:t xml:space="preserve">relevant </w:t>
      </w:r>
      <w:r w:rsidR="00A70DD6">
        <w:t xml:space="preserve">passages do not differ appreciably from </w:t>
      </w:r>
      <w:proofErr w:type="spellStart"/>
      <w:r w:rsidR="00A70DD6">
        <w:t>L’Ystoire</w:t>
      </w:r>
      <w:proofErr w:type="spellEnd"/>
      <w:r w:rsidR="00252150">
        <w:t xml:space="preserve"> thus authenticating the abridgement</w:t>
      </w:r>
      <w:r w:rsidR="002464E0">
        <w:t>.</w:t>
      </w:r>
      <w:r w:rsidR="002464E0">
        <w:rPr>
          <w:rStyle w:val="FootnoteReference"/>
        </w:rPr>
        <w:footnoteReference w:id="4"/>
      </w:r>
    </w:p>
    <w:p w:rsidR="0044283B" w:rsidRDefault="0044283B" w:rsidP="00AB7687">
      <w:r>
        <w:t xml:space="preserve">No complete inventory of the </w:t>
      </w:r>
      <w:proofErr w:type="spellStart"/>
      <w:r>
        <w:t>Montecassino</w:t>
      </w:r>
      <w:proofErr w:type="spellEnd"/>
      <w:r>
        <w:t xml:space="preserve"> library survives from the </w:t>
      </w:r>
      <w:r w:rsidR="00CC0849">
        <w:t>period</w:t>
      </w:r>
      <w:r w:rsidR="00A400DE">
        <w:t xml:space="preserve"> but by </w:t>
      </w:r>
      <w:r>
        <w:t>the 11</w:t>
      </w:r>
      <w:r w:rsidRPr="003B3909">
        <w:rPr>
          <w:vertAlign w:val="superscript"/>
        </w:rPr>
        <w:t>th</w:t>
      </w:r>
      <w:r w:rsidR="00902A56">
        <w:t xml:space="preserve"> century it </w:t>
      </w:r>
      <w:r>
        <w:t>boasted one of the richest scriptoria in Europe</w:t>
      </w:r>
      <w:r w:rsidR="00A400DE">
        <w:t>.</w:t>
      </w:r>
      <w:r>
        <w:rPr>
          <w:rStyle w:val="FootnoteReference"/>
        </w:rPr>
        <w:footnoteReference w:id="5"/>
      </w:r>
      <w:r>
        <w:t xml:space="preserve"> </w:t>
      </w:r>
      <w:proofErr w:type="spellStart"/>
      <w:r>
        <w:t>Amatus</w:t>
      </w:r>
      <w:proofErr w:type="spellEnd"/>
      <w:r>
        <w:t xml:space="preserve"> may well have </w:t>
      </w:r>
      <w:r w:rsidR="00AB7687">
        <w:t>had</w:t>
      </w:r>
      <w:r>
        <w:t xml:space="preserve"> access </w:t>
      </w:r>
      <w:r w:rsidR="00AB7687">
        <w:t xml:space="preserve">to </w:t>
      </w:r>
      <w:r>
        <w:t xml:space="preserve">classical works either in their original or </w:t>
      </w:r>
      <w:r w:rsidR="003F6B1C">
        <w:t xml:space="preserve">as </w:t>
      </w:r>
      <w:r>
        <w:t xml:space="preserve">copies as well as ecclesiastical treatises. The library contained </w:t>
      </w:r>
      <w:r w:rsidR="00A400DE">
        <w:t>classical and m</w:t>
      </w:r>
      <w:r>
        <w:t>edieval histories and he would have been fami</w:t>
      </w:r>
      <w:r w:rsidR="0043765A">
        <w:t xml:space="preserve">liar with classical historians. </w:t>
      </w:r>
      <w:r>
        <w:t>He specifically refer</w:t>
      </w:r>
      <w:r w:rsidR="00AB7687">
        <w:t xml:space="preserve">ences </w:t>
      </w:r>
      <w:r>
        <w:t xml:space="preserve">the works of </w:t>
      </w:r>
      <w:r w:rsidR="003F6B1C">
        <w:t xml:space="preserve">fellow Benedictine, </w:t>
      </w:r>
      <w:r>
        <w:t>Paul the Deacon.</w:t>
      </w:r>
      <w:r>
        <w:rPr>
          <w:rStyle w:val="FootnoteReference"/>
        </w:rPr>
        <w:footnoteReference w:id="6"/>
      </w:r>
      <w:r>
        <w:t xml:space="preserve"> It is likely that he read other historical texts as well</w:t>
      </w:r>
      <w:r w:rsidR="003F6B1C">
        <w:t>.</w:t>
      </w:r>
      <w:r>
        <w:rPr>
          <w:rStyle w:val="FootnoteReference"/>
        </w:rPr>
        <w:footnoteReference w:id="7"/>
      </w:r>
      <w:r w:rsidR="0043765A">
        <w:t xml:space="preserve"> </w:t>
      </w:r>
      <w:r w:rsidR="003F6B1C">
        <w:t xml:space="preserve">However, it is important to stress that </w:t>
      </w:r>
      <w:r>
        <w:t>medieval histories</w:t>
      </w:r>
      <w:r w:rsidR="00CC12A9">
        <w:t xml:space="preserve">, including </w:t>
      </w:r>
      <w:proofErr w:type="spellStart"/>
      <w:r w:rsidR="00CC12A9">
        <w:t>Amatus’</w:t>
      </w:r>
      <w:r w:rsidR="00902A56">
        <w:t>s</w:t>
      </w:r>
      <w:proofErr w:type="spellEnd"/>
      <w:r w:rsidR="00CC12A9">
        <w:t>,</w:t>
      </w:r>
      <w:r>
        <w:t xml:space="preserve"> </w:t>
      </w:r>
      <w:r w:rsidR="0043765A">
        <w:t xml:space="preserve">characteristically </w:t>
      </w:r>
      <w:r>
        <w:t>form</w:t>
      </w:r>
      <w:r w:rsidR="00AB7687">
        <w:t>ed</w:t>
      </w:r>
      <w:r>
        <w:t xml:space="preserve"> a fusi</w:t>
      </w:r>
      <w:r w:rsidR="003F6B1C">
        <w:t xml:space="preserve">on of the fabulous and narrative, in contrast to more modern histories </w:t>
      </w:r>
      <w:r w:rsidR="00CC12A9">
        <w:t xml:space="preserve">that </w:t>
      </w:r>
      <w:r w:rsidR="003F6B1C">
        <w:t>use evidence to inform interpretation</w:t>
      </w:r>
      <w:r>
        <w:t xml:space="preserve">. </w:t>
      </w:r>
    </w:p>
    <w:p w:rsidR="0043765A" w:rsidRDefault="00A400DE" w:rsidP="00AB7687">
      <w:r>
        <w:t xml:space="preserve">The French redaction begins with a short editorial preface in which </w:t>
      </w:r>
      <w:proofErr w:type="spellStart"/>
      <w:r>
        <w:t>Amatus</w:t>
      </w:r>
      <w:proofErr w:type="spellEnd"/>
      <w:r>
        <w:t xml:space="preserve"> </w:t>
      </w:r>
      <w:r w:rsidR="00290E43">
        <w:t>justifies</w:t>
      </w:r>
      <w:r>
        <w:t xml:space="preserve"> a non-ecclesiastical work by linking Richard and Robert’s actions to Cyrus the Great </w:t>
      </w:r>
      <w:r w:rsidR="00D3241B">
        <w:t>(</w:t>
      </w:r>
      <w:r>
        <w:t>thereby divinely sanctioned</w:t>
      </w:r>
      <w:r w:rsidR="00CC12A9">
        <w:t xml:space="preserve"> </w:t>
      </w:r>
      <w:r w:rsidR="00A9091C">
        <w:t>and legitimising</w:t>
      </w:r>
      <w:r w:rsidR="00D3241B">
        <w:t>)</w:t>
      </w:r>
      <w:r>
        <w:t xml:space="preserve">:  </w:t>
      </w:r>
      <w:r>
        <w:rPr>
          <w:i/>
        </w:rPr>
        <w:t xml:space="preserve">princes de </w:t>
      </w:r>
      <w:proofErr w:type="spellStart"/>
      <w:r>
        <w:rPr>
          <w:i/>
        </w:rPr>
        <w:t>Normandie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est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complie</w:t>
      </w:r>
      <w:proofErr w:type="spellEnd"/>
      <w:r>
        <w:rPr>
          <w:i/>
        </w:rPr>
        <w:t xml:space="preserve"> la parole que </w:t>
      </w:r>
      <w:proofErr w:type="spellStart"/>
      <w:r>
        <w:rPr>
          <w:i/>
        </w:rPr>
        <w:t>Dieu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dist</w:t>
      </w:r>
      <w:proofErr w:type="spellEnd"/>
      <w:r>
        <w:rPr>
          <w:i/>
        </w:rPr>
        <w:t xml:space="preserve"> </w:t>
      </w:r>
      <w:r>
        <w:rPr>
          <w:rFonts w:cstheme="minorHAnsi"/>
          <w:i/>
        </w:rPr>
        <w:t>à</w:t>
      </w:r>
      <w:r>
        <w:rPr>
          <w:i/>
        </w:rPr>
        <w:t xml:space="preserve"> </w:t>
      </w:r>
      <w:proofErr w:type="spellStart"/>
      <w:r>
        <w:rPr>
          <w:i/>
        </w:rPr>
        <w:t>Cyre</w:t>
      </w:r>
      <w:proofErr w:type="spellEnd"/>
      <w:r>
        <w:rPr>
          <w:i/>
        </w:rPr>
        <w:t xml:space="preserve">, </w:t>
      </w:r>
      <w:proofErr w:type="spellStart"/>
      <w:r>
        <w:rPr>
          <w:i/>
        </w:rPr>
        <w:t>roi</w:t>
      </w:r>
      <w:proofErr w:type="spellEnd"/>
      <w:r>
        <w:rPr>
          <w:i/>
        </w:rPr>
        <w:t xml:space="preserve"> de </w:t>
      </w:r>
      <w:proofErr w:type="spellStart"/>
      <w:r>
        <w:rPr>
          <w:i/>
        </w:rPr>
        <w:t>Persie</w:t>
      </w:r>
      <w:proofErr w:type="spellEnd"/>
      <w:r>
        <w:rPr>
          <w:i/>
        </w:rPr>
        <w:t>’</w:t>
      </w:r>
      <w:r>
        <w:t xml:space="preserve">.  </w:t>
      </w:r>
      <w:r w:rsidR="00DF30B5">
        <w:t>The</w:t>
      </w:r>
      <w:r>
        <w:t xml:space="preserve"> choice of biblical allusion</w:t>
      </w:r>
      <w:r w:rsidR="00DF30B5">
        <w:t>, written in medieval French,</w:t>
      </w:r>
      <w:r>
        <w:t xml:space="preserve"> suggests that </w:t>
      </w:r>
      <w:r w:rsidR="00DF30B5">
        <w:t xml:space="preserve">the readers are </w:t>
      </w:r>
      <w:r>
        <w:t>to view the Normans as powerful alien forces (‘</w:t>
      </w:r>
      <w:proofErr w:type="spellStart"/>
      <w:r>
        <w:t>Cyruses</w:t>
      </w:r>
      <w:proofErr w:type="spellEnd"/>
      <w:r>
        <w:t xml:space="preserve">’) chosen by God to assist </w:t>
      </w:r>
      <w:r w:rsidR="004F22B3">
        <w:t xml:space="preserve">the </w:t>
      </w:r>
      <w:r>
        <w:t>Catholic Church.</w:t>
      </w:r>
      <w:r>
        <w:rPr>
          <w:rStyle w:val="FootnoteReference"/>
        </w:rPr>
        <w:footnoteReference w:id="8"/>
      </w:r>
      <w:r>
        <w:t xml:space="preserve"> The </w:t>
      </w:r>
      <w:r w:rsidR="0029226D">
        <w:t xml:space="preserve">short </w:t>
      </w:r>
      <w:r>
        <w:t xml:space="preserve">excerpt is from the beginning of the narrative and deals with </w:t>
      </w:r>
      <w:r w:rsidR="00DF30B5">
        <w:t>Norman</w:t>
      </w:r>
      <w:r>
        <w:t xml:space="preserve"> </w:t>
      </w:r>
      <w:r w:rsidR="00DF30B5">
        <w:t>roots</w:t>
      </w:r>
      <w:r>
        <w:t xml:space="preserve">. </w:t>
      </w:r>
      <w:proofErr w:type="spellStart"/>
      <w:r w:rsidR="00150922">
        <w:t>Amatus</w:t>
      </w:r>
      <w:proofErr w:type="spellEnd"/>
      <w:r w:rsidR="00150922">
        <w:t xml:space="preserve"> claims a single origin</w:t>
      </w:r>
      <w:r w:rsidR="004F22B3">
        <w:t xml:space="preserve"> before </w:t>
      </w:r>
      <w:r w:rsidR="00D3241B">
        <w:t>their</w:t>
      </w:r>
      <w:r w:rsidR="004F22B3">
        <w:t xml:space="preserve"> migration to France</w:t>
      </w:r>
      <w:r w:rsidR="00150922">
        <w:t>: an island called ‘Nora’ (i</w:t>
      </w:r>
      <w:r w:rsidR="009D5D2F">
        <w:t>n the North, associated in the m</w:t>
      </w:r>
      <w:r w:rsidR="00150922">
        <w:t>edieval mind with paganism</w:t>
      </w:r>
      <w:r w:rsidR="00150922">
        <w:rPr>
          <w:rStyle w:val="FootnoteReference"/>
        </w:rPr>
        <w:footnoteReference w:id="9"/>
      </w:r>
      <w:r w:rsidR="009D5D2F">
        <w:t>)</w:t>
      </w:r>
      <w:r w:rsidR="00E56869">
        <w:t xml:space="preserve">. Unlike other writers who posited </w:t>
      </w:r>
      <w:r w:rsidR="00DF30B5">
        <w:t xml:space="preserve">classical or biblical </w:t>
      </w:r>
      <w:r w:rsidR="00E56869">
        <w:t>ancestry,</w:t>
      </w:r>
      <w:r w:rsidR="00E56869">
        <w:rPr>
          <w:rStyle w:val="FootnoteReference"/>
        </w:rPr>
        <w:footnoteReference w:id="10"/>
      </w:r>
      <w:r w:rsidR="00E56869">
        <w:t xml:space="preserve"> </w:t>
      </w:r>
      <w:r w:rsidR="00E56869">
        <w:lastRenderedPageBreak/>
        <w:t xml:space="preserve">he does not ascribe eastern roots </w:t>
      </w:r>
      <w:r w:rsidR="00902A56">
        <w:t>to</w:t>
      </w:r>
      <w:r w:rsidR="009D5D2F">
        <w:t xml:space="preserve"> the Normans</w:t>
      </w:r>
      <w:r w:rsidR="00E56869">
        <w:t>:</w:t>
      </w:r>
      <w:r w:rsidR="009D5D2F" w:rsidRPr="009D5D2F">
        <w:t xml:space="preserve"> </w:t>
      </w:r>
      <w:proofErr w:type="spellStart"/>
      <w:r w:rsidR="00CC12A9">
        <w:t>Amatus</w:t>
      </w:r>
      <w:proofErr w:type="spellEnd"/>
      <w:r w:rsidR="00CC12A9">
        <w:t xml:space="preserve"> is the first to cite </w:t>
      </w:r>
      <w:r w:rsidR="009518C7">
        <w:t>‘</w:t>
      </w:r>
      <w:r w:rsidR="009D5D2F">
        <w:t>Nora</w:t>
      </w:r>
      <w:r w:rsidR="009518C7">
        <w:t xml:space="preserve">’ </w:t>
      </w:r>
      <w:r w:rsidR="009D5D2F">
        <w:t xml:space="preserve">and it is possible that he may be using </w:t>
      </w:r>
      <w:r w:rsidR="00E56869">
        <w:t>Norman</w:t>
      </w:r>
      <w:r w:rsidR="009D5D2F">
        <w:t xml:space="preserve"> oral </w:t>
      </w:r>
      <w:r w:rsidR="00CC12A9">
        <w:t xml:space="preserve">rather than classical </w:t>
      </w:r>
      <w:r w:rsidR="00E56869">
        <w:t>mythologies</w:t>
      </w:r>
      <w:r w:rsidR="009D5D2F">
        <w:t>.</w:t>
      </w:r>
      <w:r w:rsidR="009D5D2F">
        <w:rPr>
          <w:rStyle w:val="FootnoteReference"/>
        </w:rPr>
        <w:footnoteReference w:id="11"/>
      </w:r>
      <w:r w:rsidR="004F22B3">
        <w:t xml:space="preserve"> </w:t>
      </w:r>
      <w:r w:rsidR="00CC12A9">
        <w:t>T</w:t>
      </w:r>
      <w:r w:rsidR="0043765A">
        <w:t xml:space="preserve">he </w:t>
      </w:r>
      <w:r w:rsidR="0043765A">
        <w:rPr>
          <w:i/>
        </w:rPr>
        <w:t xml:space="preserve">patria </w:t>
      </w:r>
      <w:proofErr w:type="spellStart"/>
      <w:r w:rsidR="0043765A">
        <w:rPr>
          <w:i/>
        </w:rPr>
        <w:t>Normannorum</w:t>
      </w:r>
      <w:proofErr w:type="spellEnd"/>
      <w:r w:rsidR="0043765A">
        <w:t xml:space="preserve"> was fertile: ‘filled with woods and fruit trees’, </w:t>
      </w:r>
      <w:r w:rsidR="00D3241B">
        <w:t xml:space="preserve">but </w:t>
      </w:r>
      <w:r w:rsidR="0043765A">
        <w:t>overpopulation caused them to move again (</w:t>
      </w:r>
      <w:r w:rsidR="00CC12A9">
        <w:t>6</w:t>
      </w:r>
      <w:r w:rsidR="00CC12A9" w:rsidRPr="00CC12A9">
        <w:rPr>
          <w:vertAlign w:val="superscript"/>
        </w:rPr>
        <w:t>th</w:t>
      </w:r>
      <w:r w:rsidR="00CC12A9">
        <w:t xml:space="preserve"> century </w:t>
      </w:r>
      <w:proofErr w:type="spellStart"/>
      <w:r w:rsidR="00CC12A9">
        <w:t>Jordanes</w:t>
      </w:r>
      <w:proofErr w:type="spellEnd"/>
      <w:r w:rsidR="00CC12A9">
        <w:t xml:space="preserve"> gave a similar reason for Goth migrations</w:t>
      </w:r>
      <w:r w:rsidR="0043765A">
        <w:rPr>
          <w:rStyle w:val="FootnoteReference"/>
        </w:rPr>
        <w:footnoteReference w:id="12"/>
      </w:r>
      <w:r w:rsidR="0043765A">
        <w:t xml:space="preserve">). The second paragraph </w:t>
      </w:r>
      <w:r w:rsidR="0029226D">
        <w:t>covers</w:t>
      </w:r>
      <w:r w:rsidR="00D3241B">
        <w:t xml:space="preserve"> the Norman diaspora. </w:t>
      </w:r>
      <w:proofErr w:type="spellStart"/>
      <w:r w:rsidR="0043765A">
        <w:t>Amatus</w:t>
      </w:r>
      <w:proofErr w:type="spellEnd"/>
      <w:r w:rsidR="0043765A">
        <w:t xml:space="preserve"> obliquely </w:t>
      </w:r>
      <w:r w:rsidR="0029226D">
        <w:t>refers to their rapacity and aggression: ‘abandoning little in order to acquire much....like ancient warriors’. Although documentary evidence is to the contrary</w:t>
      </w:r>
      <w:r w:rsidR="0029226D">
        <w:rPr>
          <w:rStyle w:val="FootnoteReference"/>
        </w:rPr>
        <w:footnoteReference w:id="13"/>
      </w:r>
      <w:r w:rsidR="0029226D">
        <w:t xml:space="preserve">, </w:t>
      </w:r>
      <w:proofErr w:type="spellStart"/>
      <w:r w:rsidR="0029226D">
        <w:t>Amatus</w:t>
      </w:r>
      <w:proofErr w:type="spellEnd"/>
      <w:r w:rsidR="0029226D">
        <w:t xml:space="preserve"> posits that they did not come to Italy as mercenaries: ‘placing themselves in the service of others’ but he is clear that the Normans came to dominate: ‘they desired to have all people under their rule’.</w:t>
      </w:r>
    </w:p>
    <w:p w:rsidR="00D0199D" w:rsidRPr="008E080B" w:rsidRDefault="009B58F2" w:rsidP="00AB7687">
      <w:r>
        <w:t xml:space="preserve">Medieval ecclesiastical histories are as much about what should be, as what was </w:t>
      </w:r>
      <w:r>
        <w:rPr>
          <w:i/>
        </w:rPr>
        <w:t>i.e.</w:t>
      </w:r>
      <w:r w:rsidR="00401BCC">
        <w:t xml:space="preserve"> they should be viewed as enlightening treatises rather than statements of fact</w:t>
      </w:r>
      <w:r>
        <w:t xml:space="preserve">. </w:t>
      </w:r>
      <w:r w:rsidR="00BA1CCA">
        <w:t>T</w:t>
      </w:r>
      <w:r w:rsidR="0029226D">
        <w:t>he Normans had been in Italy for less than a century</w:t>
      </w:r>
      <w:r w:rsidR="00A9091C">
        <w:t xml:space="preserve"> and needed to e</w:t>
      </w:r>
      <w:r w:rsidR="005C6B6A">
        <w:t xml:space="preserve">stablish </w:t>
      </w:r>
      <w:r w:rsidR="00A9091C">
        <w:t>their legitimacy</w:t>
      </w:r>
      <w:r w:rsidR="005C6B6A">
        <w:t xml:space="preserve"> to rule. T</w:t>
      </w:r>
      <w:r w:rsidR="00BA1CCA">
        <w:t>he earliest reported date of the arrival of Normans in southern Italy is ‘before the year 1000’</w:t>
      </w:r>
      <w:r w:rsidR="00BA1CCA">
        <w:rPr>
          <w:rStyle w:val="FootnoteReference"/>
        </w:rPr>
        <w:footnoteReference w:id="14"/>
      </w:r>
      <w:r w:rsidR="00BA1CCA">
        <w:t>, as pilgrims returning from Jerusalem, returning later as opportunist adventurers</w:t>
      </w:r>
      <w:r w:rsidR="00401BCC">
        <w:t xml:space="preserve"> (</w:t>
      </w:r>
      <w:proofErr w:type="spellStart"/>
      <w:r w:rsidR="00401BCC">
        <w:t>Amatus</w:t>
      </w:r>
      <w:proofErr w:type="spellEnd"/>
      <w:r w:rsidR="00401BCC">
        <w:t xml:space="preserve"> somewhat glosses over this point)</w:t>
      </w:r>
      <w:r w:rsidR="00BA1CCA">
        <w:t>. They took advantage of the fragment</w:t>
      </w:r>
      <w:r w:rsidR="00401BCC">
        <w:t>ation</w:t>
      </w:r>
      <w:r w:rsidR="00563830">
        <w:t xml:space="preserve"> of </w:t>
      </w:r>
      <w:r w:rsidR="00BA1CCA">
        <w:t xml:space="preserve">southern Italy, </w:t>
      </w:r>
      <w:r w:rsidR="009518C7">
        <w:t>which</w:t>
      </w:r>
      <w:r w:rsidR="00BA1CCA">
        <w:t xml:space="preserve"> was </w:t>
      </w:r>
      <w:r w:rsidR="009518C7">
        <w:t xml:space="preserve">divided </w:t>
      </w:r>
      <w:r w:rsidR="00BA1CCA">
        <w:t>into warring principalities, emirates and empire,</w:t>
      </w:r>
      <w:r w:rsidR="00401BCC">
        <w:t xml:space="preserve"> and</w:t>
      </w:r>
      <w:r w:rsidR="00BA1CCA">
        <w:t xml:space="preserve"> complicated by schism between Rome and Byzantium and rival contenders for the papacy. </w:t>
      </w:r>
      <w:proofErr w:type="spellStart"/>
      <w:r w:rsidR="009518C7">
        <w:t>Amatus</w:t>
      </w:r>
      <w:proofErr w:type="spellEnd"/>
      <w:r w:rsidR="009518C7">
        <w:t xml:space="preserve"> alludes to shifting allegi</w:t>
      </w:r>
      <w:r w:rsidR="00BA1CCA">
        <w:t>an</w:t>
      </w:r>
      <w:r w:rsidR="009518C7">
        <w:t>c</w:t>
      </w:r>
      <w:r w:rsidR="00BA1CCA">
        <w:t xml:space="preserve">es </w:t>
      </w:r>
      <w:r w:rsidR="009518C7">
        <w:t xml:space="preserve">in his narrative and he </w:t>
      </w:r>
      <w:r w:rsidR="00BA1CCA">
        <w:t xml:space="preserve">was </w:t>
      </w:r>
      <w:r w:rsidR="00401BCC">
        <w:t xml:space="preserve">obviously </w:t>
      </w:r>
      <w:r w:rsidR="00BA1CCA">
        <w:t xml:space="preserve">aware of </w:t>
      </w:r>
      <w:r w:rsidR="00290E43">
        <w:t xml:space="preserve">the </w:t>
      </w:r>
      <w:r w:rsidR="00BA1CCA">
        <w:t xml:space="preserve">Norman </w:t>
      </w:r>
      <w:r w:rsidR="008D30C5">
        <w:t xml:space="preserve">acquisitive </w:t>
      </w:r>
      <w:r w:rsidR="00401BCC">
        <w:t xml:space="preserve">and bellicose </w:t>
      </w:r>
      <w:r w:rsidR="00902A56">
        <w:t>reputation</w:t>
      </w:r>
      <w:r w:rsidR="009518C7">
        <w:t>.</w:t>
      </w:r>
      <w:r w:rsidR="00BA1CCA">
        <w:rPr>
          <w:rStyle w:val="FootnoteReference"/>
        </w:rPr>
        <w:footnoteReference w:id="15"/>
      </w:r>
      <w:r w:rsidR="00A920E5">
        <w:t xml:space="preserve"> </w:t>
      </w:r>
      <w:r w:rsidR="00FD6C9B">
        <w:t xml:space="preserve">He </w:t>
      </w:r>
      <w:r w:rsidR="00BA1CCA">
        <w:t>would not have been well-disposed towards them</w:t>
      </w:r>
      <w:r w:rsidR="00FD6C9B">
        <w:t xml:space="preserve"> either as an Italian</w:t>
      </w:r>
      <w:r w:rsidR="008E080B">
        <w:t xml:space="preserve"> or as a monk</w:t>
      </w:r>
      <w:r w:rsidR="00FD6C9B">
        <w:rPr>
          <w:rStyle w:val="FootnoteReference"/>
        </w:rPr>
        <w:footnoteReference w:id="16"/>
      </w:r>
      <w:r w:rsidR="00FD6C9B">
        <w:t xml:space="preserve"> </w:t>
      </w:r>
      <w:r w:rsidR="005C6B6A">
        <w:t xml:space="preserve">and it was probably </w:t>
      </w:r>
      <w:r w:rsidR="00CC0849">
        <w:t xml:space="preserve">Abbot Desiderius </w:t>
      </w:r>
      <w:r w:rsidR="005C6B6A">
        <w:t xml:space="preserve">who </w:t>
      </w:r>
      <w:r w:rsidR="00CC0849">
        <w:t xml:space="preserve">was instrumental in the papal </w:t>
      </w:r>
      <w:r w:rsidR="00CC0849">
        <w:rPr>
          <w:i/>
        </w:rPr>
        <w:t xml:space="preserve">volte face </w:t>
      </w:r>
      <w:r w:rsidR="00CC0849">
        <w:t xml:space="preserve">towards the Normans </w:t>
      </w:r>
      <w:r w:rsidR="00A920E5">
        <w:t>as a matter of necessity. Thus the ‘undisciplined and alien people’</w:t>
      </w:r>
      <w:r w:rsidR="00A9091C">
        <w:t xml:space="preserve"> referred to by Leo IX</w:t>
      </w:r>
      <w:r w:rsidR="00A920E5">
        <w:rPr>
          <w:rStyle w:val="FootnoteReference"/>
        </w:rPr>
        <w:footnoteReference w:id="17"/>
      </w:r>
      <w:r w:rsidR="00A920E5">
        <w:t xml:space="preserve"> are largely white-washed:</w:t>
      </w:r>
      <w:r w:rsidR="00A920E5" w:rsidRPr="00A920E5">
        <w:t xml:space="preserve"> </w:t>
      </w:r>
      <w:proofErr w:type="spellStart"/>
      <w:r w:rsidR="00A920E5">
        <w:t>Amatus’</w:t>
      </w:r>
      <w:r w:rsidR="00563830">
        <w:t>s</w:t>
      </w:r>
      <w:proofErr w:type="spellEnd"/>
      <w:r w:rsidR="00A920E5">
        <w:t xml:space="preserve"> Normans are extremely reluctant to take up arms against </w:t>
      </w:r>
      <w:r w:rsidR="005C6B6A">
        <w:t>the pope</w:t>
      </w:r>
      <w:r w:rsidR="00A920E5">
        <w:t xml:space="preserve"> </w:t>
      </w:r>
      <w:r w:rsidR="009518C7">
        <w:t xml:space="preserve">which </w:t>
      </w:r>
      <w:r w:rsidR="00A920E5">
        <w:t xml:space="preserve">does not accord with other </w:t>
      </w:r>
      <w:r w:rsidR="008D30C5">
        <w:t>accounts</w:t>
      </w:r>
      <w:r w:rsidR="008E080B">
        <w:t>.</w:t>
      </w:r>
      <w:r w:rsidR="00A920E5">
        <w:rPr>
          <w:rStyle w:val="FootnoteReference"/>
        </w:rPr>
        <w:footnoteReference w:id="18"/>
      </w:r>
      <w:r w:rsidR="00A920E5">
        <w:t xml:space="preserve"> </w:t>
      </w:r>
      <w:r w:rsidR="009518C7">
        <w:t>Additionally</w:t>
      </w:r>
      <w:r w:rsidR="008E080B">
        <w:t>,</w:t>
      </w:r>
      <w:r w:rsidR="00A920E5">
        <w:t xml:space="preserve"> it is </w:t>
      </w:r>
      <w:r w:rsidR="008E080B">
        <w:t xml:space="preserve">stretching the </w:t>
      </w:r>
      <w:r w:rsidR="00563830">
        <w:t>point</w:t>
      </w:r>
      <w:r w:rsidR="00A920E5">
        <w:t xml:space="preserve"> for </w:t>
      </w:r>
      <w:proofErr w:type="spellStart"/>
      <w:r w:rsidR="00A920E5">
        <w:t>Amatus</w:t>
      </w:r>
      <w:proofErr w:type="spellEnd"/>
      <w:r w:rsidR="00A920E5">
        <w:t xml:space="preserve"> to describe </w:t>
      </w:r>
      <w:r w:rsidR="00A9091C">
        <w:t xml:space="preserve">sometimes </w:t>
      </w:r>
      <w:r w:rsidR="00A920E5">
        <w:t>fugitive Normans as coming ‘armed, not as enemies, but as angels’</w:t>
      </w:r>
      <w:r w:rsidR="008D30C5">
        <w:t>,</w:t>
      </w:r>
      <w:r w:rsidR="00A920E5">
        <w:rPr>
          <w:rStyle w:val="FootnoteReference"/>
        </w:rPr>
        <w:footnoteReference w:id="19"/>
      </w:r>
      <w:r w:rsidR="008E080B">
        <w:t xml:space="preserve"> Robert Guiscard’s</w:t>
      </w:r>
      <w:r w:rsidR="00A920E5">
        <w:t xml:space="preserve"> ‘poverty forced him to follow the path of a thief’</w:t>
      </w:r>
      <w:r w:rsidR="008E080B">
        <w:t>;</w:t>
      </w:r>
      <w:r w:rsidR="00A920E5">
        <w:rPr>
          <w:rStyle w:val="FootnoteReference"/>
        </w:rPr>
        <w:footnoteReference w:id="20"/>
      </w:r>
      <w:r w:rsidR="00A920E5">
        <w:t xml:space="preserve"> </w:t>
      </w:r>
      <w:r w:rsidR="008E080B">
        <w:t>he is transformed to a repentant paradigm of knightly virtue on account of</w:t>
      </w:r>
      <w:r w:rsidR="00A9091C">
        <w:t xml:space="preserve"> </w:t>
      </w:r>
      <w:r w:rsidR="008E080B">
        <w:t>bringing Latin Christianity to areas historically following ei</w:t>
      </w:r>
      <w:r w:rsidR="00A9091C">
        <w:t>ther Eastern Orthodoxy or Islam</w:t>
      </w:r>
      <w:r w:rsidR="005C6B6A">
        <w:t xml:space="preserve">. </w:t>
      </w:r>
      <w:r w:rsidR="00A9091C">
        <w:t xml:space="preserve"> </w:t>
      </w:r>
      <w:r w:rsidR="005C6B6A">
        <w:t>In</w:t>
      </w:r>
      <w:r w:rsidR="00A9091C">
        <w:t xml:space="preserve"> reality </w:t>
      </w:r>
      <w:r w:rsidR="005C6B6A">
        <w:t>the history is designed to keep</w:t>
      </w:r>
      <w:r w:rsidR="00A9091C">
        <w:t xml:space="preserve"> the </w:t>
      </w:r>
      <w:r w:rsidR="00902A56">
        <w:t>A</w:t>
      </w:r>
      <w:r w:rsidR="00A9091C">
        <w:t>bbey in his good graces.</w:t>
      </w:r>
    </w:p>
    <w:p w:rsidR="004A339E" w:rsidRDefault="00AB7687" w:rsidP="00AB7687">
      <w:proofErr w:type="spellStart"/>
      <w:r>
        <w:t>Amatus</w:t>
      </w:r>
      <w:proofErr w:type="spellEnd"/>
      <w:r>
        <w:t xml:space="preserve"> credits the Normans with a single lineage</w:t>
      </w:r>
      <w:r w:rsidR="009518C7">
        <w:t xml:space="preserve"> </w:t>
      </w:r>
      <w:r w:rsidR="00A9091C">
        <w:t xml:space="preserve">from the north </w:t>
      </w:r>
      <w:r w:rsidR="009518C7">
        <w:t xml:space="preserve">though </w:t>
      </w:r>
      <w:r w:rsidR="005C6B6A">
        <w:t>near contemporaries consider</w:t>
      </w:r>
      <w:r w:rsidR="009518C7">
        <w:t xml:space="preserve"> otherwise</w:t>
      </w:r>
      <w:r>
        <w:t>.</w:t>
      </w:r>
      <w:r w:rsidR="0060163B">
        <w:rPr>
          <w:rStyle w:val="FootnoteReference"/>
        </w:rPr>
        <w:footnoteReference w:id="21"/>
      </w:r>
      <w:r>
        <w:t xml:space="preserve"> </w:t>
      </w:r>
      <w:r w:rsidR="001848F7">
        <w:t xml:space="preserve">Davis </w:t>
      </w:r>
      <w:r w:rsidR="008E080B">
        <w:t>suggests</w:t>
      </w:r>
      <w:r w:rsidR="001848F7">
        <w:t xml:space="preserve"> that in the 11</w:t>
      </w:r>
      <w:r w:rsidR="001848F7" w:rsidRPr="001848F7">
        <w:rPr>
          <w:vertAlign w:val="superscript"/>
        </w:rPr>
        <w:t>th</w:t>
      </w:r>
      <w:r w:rsidR="001848F7">
        <w:t xml:space="preserve"> century, the Normans wanted to establish themselves as Christian Frenchmen rather than alien pagans</w:t>
      </w:r>
      <w:r w:rsidR="00A9091C">
        <w:t xml:space="preserve"> as reported by earlier chroniclers.</w:t>
      </w:r>
      <w:r w:rsidR="001848F7">
        <w:rPr>
          <w:rStyle w:val="FootnoteReference"/>
        </w:rPr>
        <w:footnoteReference w:id="22"/>
      </w:r>
      <w:r w:rsidR="00A9091C">
        <w:t xml:space="preserve">  I</w:t>
      </w:r>
      <w:r w:rsidR="003D7F5C">
        <w:t xml:space="preserve">n this context, contemporary historians argue convincingly that the Normans were a cultural amalgam </w:t>
      </w:r>
      <w:r w:rsidR="003D7F5C">
        <w:lastRenderedPageBreak/>
        <w:t>of Frankish, Scandinavian and Breton elements.</w:t>
      </w:r>
      <w:r w:rsidR="003D7F5C">
        <w:rPr>
          <w:rStyle w:val="FootnoteReference"/>
        </w:rPr>
        <w:footnoteReference w:id="23"/>
      </w:r>
      <w:r w:rsidR="00563830">
        <w:t xml:space="preserve"> </w:t>
      </w:r>
      <w:r>
        <w:t xml:space="preserve">Unlike other narratives, </w:t>
      </w:r>
      <w:proofErr w:type="spellStart"/>
      <w:r>
        <w:t>Amatus</w:t>
      </w:r>
      <w:proofErr w:type="spellEnd"/>
      <w:r>
        <w:t xml:space="preserve"> links Norman </w:t>
      </w:r>
      <w:r w:rsidR="008D30C5">
        <w:t>/</w:t>
      </w:r>
      <w:r>
        <w:t xml:space="preserve"> Saracen </w:t>
      </w:r>
      <w:r w:rsidR="008D30C5">
        <w:t>conflict</w:t>
      </w:r>
      <w:r>
        <w:t xml:space="preserve"> </w:t>
      </w:r>
      <w:r w:rsidR="008D30C5">
        <w:t xml:space="preserve">to </w:t>
      </w:r>
      <w:r w:rsidR="00902A56">
        <w:t>equate</w:t>
      </w:r>
      <w:r w:rsidR="008D30C5">
        <w:t xml:space="preserve"> the</w:t>
      </w:r>
      <w:r>
        <w:t xml:space="preserve"> Norman conquest of Italy </w:t>
      </w:r>
      <w:r w:rsidR="00902A56">
        <w:t>with</w:t>
      </w:r>
      <w:r>
        <w:t xml:space="preserve"> ‘holy war’</w:t>
      </w:r>
      <w:r>
        <w:rPr>
          <w:rStyle w:val="FootnoteReference"/>
        </w:rPr>
        <w:footnoteReference w:id="24"/>
      </w:r>
      <w:r>
        <w:t>, however strange that might appear</w:t>
      </w:r>
      <w:r w:rsidR="005C6B6A">
        <w:t xml:space="preserve"> to us</w:t>
      </w:r>
      <w:r>
        <w:t>. It</w:t>
      </w:r>
      <w:r w:rsidR="00753942">
        <w:t xml:space="preserve"> </w:t>
      </w:r>
      <w:r>
        <w:t>is a</w:t>
      </w:r>
      <w:r w:rsidR="00753942">
        <w:t xml:space="preserve"> far from accurate interpretation </w:t>
      </w:r>
      <w:r w:rsidR="005D2574">
        <w:t xml:space="preserve">but that is </w:t>
      </w:r>
      <w:r>
        <w:t>due to the</w:t>
      </w:r>
      <w:r w:rsidR="005D2574">
        <w:t xml:space="preserve"> </w:t>
      </w:r>
      <w:r w:rsidR="006B4D94">
        <w:t>essential difference</w:t>
      </w:r>
      <w:r w:rsidR="005D2574">
        <w:t xml:space="preserve"> </w:t>
      </w:r>
      <w:r w:rsidR="006B4D94">
        <w:t>between medieva</w:t>
      </w:r>
      <w:r w:rsidR="00753942">
        <w:t xml:space="preserve">l and modern historians: </w:t>
      </w:r>
      <w:r w:rsidR="006B4D94">
        <w:t xml:space="preserve">the former sought to interpret history as a manifestation of divine will whereas the latter </w:t>
      </w:r>
      <w:r w:rsidR="00563830">
        <w:t>use</w:t>
      </w:r>
      <w:r w:rsidR="006B4D94">
        <w:t xml:space="preserve"> narrative and historiography to identify and interpret motivations, mindsets and consequences of human actions.</w:t>
      </w:r>
      <w:r w:rsidR="00216411">
        <w:t xml:space="preserve"> A</w:t>
      </w:r>
      <w:r w:rsidR="00AC7E54">
        <w:t>s</w:t>
      </w:r>
      <w:r w:rsidR="00216411">
        <w:t xml:space="preserve"> Wolf observes, given that </w:t>
      </w:r>
      <w:proofErr w:type="spellStart"/>
      <w:r w:rsidR="00216411">
        <w:t>Amatus</w:t>
      </w:r>
      <w:proofErr w:type="spellEnd"/>
      <w:r w:rsidR="00216411">
        <w:t xml:space="preserve"> was writing his </w:t>
      </w:r>
      <w:proofErr w:type="spellStart"/>
      <w:r w:rsidR="00216411">
        <w:rPr>
          <w:i/>
        </w:rPr>
        <w:t>Historia</w:t>
      </w:r>
      <w:proofErr w:type="spellEnd"/>
      <w:r w:rsidR="00216411">
        <w:t xml:space="preserve"> shortly after Richard’s death, </w:t>
      </w:r>
      <w:r w:rsidR="004A339E">
        <w:t xml:space="preserve">and that Robert was a much less certain friend to the Abbey, </w:t>
      </w:r>
      <w:r w:rsidR="00216411">
        <w:t xml:space="preserve">the positive image of Robert is as much a product of </w:t>
      </w:r>
      <w:proofErr w:type="spellStart"/>
      <w:r w:rsidR="00216411">
        <w:t>Amatus</w:t>
      </w:r>
      <w:proofErr w:type="spellEnd"/>
      <w:r w:rsidR="00216411">
        <w:t xml:space="preserve">’ hope for future security as </w:t>
      </w:r>
      <w:r w:rsidR="00AC7E54">
        <w:t>a</w:t>
      </w:r>
      <w:r w:rsidR="00216411">
        <w:t xml:space="preserve"> rendition of the past.</w:t>
      </w:r>
      <w:r w:rsidR="00216411">
        <w:rPr>
          <w:rStyle w:val="FootnoteReference"/>
        </w:rPr>
        <w:footnoteReference w:id="25"/>
      </w:r>
      <w:r w:rsidR="00AC7E54">
        <w:t xml:space="preserve"> </w:t>
      </w:r>
      <w:r w:rsidR="004A339E">
        <w:t xml:space="preserve">It is inconceivable that </w:t>
      </w:r>
      <w:proofErr w:type="spellStart"/>
      <w:r w:rsidR="004A339E">
        <w:t>Amatus</w:t>
      </w:r>
      <w:proofErr w:type="spellEnd"/>
      <w:r w:rsidR="004A339E">
        <w:t xml:space="preserve"> was </w:t>
      </w:r>
      <w:r w:rsidR="007416D8">
        <w:t xml:space="preserve">oblivious to Norman </w:t>
      </w:r>
      <w:r w:rsidR="00AC7E54">
        <w:t>expropriation</w:t>
      </w:r>
      <w:r w:rsidR="007416D8">
        <w:t>: his mentor Desiderius describes the</w:t>
      </w:r>
      <w:r w:rsidR="00AC7E54">
        <w:t>m</w:t>
      </w:r>
      <w:r w:rsidR="007416D8">
        <w:t xml:space="preserve"> as ‘avid for rapine and insatiably anxious to seize the property of others’</w:t>
      </w:r>
      <w:r w:rsidR="007416D8">
        <w:rPr>
          <w:rStyle w:val="FootnoteReference"/>
        </w:rPr>
        <w:footnoteReference w:id="26"/>
      </w:r>
      <w:r w:rsidR="00CB5932">
        <w:t xml:space="preserve"> and he would be aware of the papal reaffirmation of Robert’s excommunication in 1080. </w:t>
      </w:r>
      <w:r w:rsidR="00AC7E54">
        <w:t xml:space="preserve">Thus </w:t>
      </w:r>
      <w:proofErr w:type="spellStart"/>
      <w:r w:rsidR="00AC7E54">
        <w:t>Amatus</w:t>
      </w:r>
      <w:r w:rsidR="003E1139">
        <w:t>’s</w:t>
      </w:r>
      <w:proofErr w:type="spellEnd"/>
      <w:r w:rsidR="00AC7E54">
        <w:t xml:space="preserve"> </w:t>
      </w:r>
      <w:r w:rsidR="00D3241B">
        <w:t>History</w:t>
      </w:r>
      <w:r w:rsidR="00AC7E54">
        <w:t xml:space="preserve">, which concentrates more on the political and military career of Robert Guiscard than Richard </w:t>
      </w:r>
      <w:proofErr w:type="spellStart"/>
      <w:r w:rsidR="00AC7E54">
        <w:t>Drengot</w:t>
      </w:r>
      <w:proofErr w:type="spellEnd"/>
      <w:r w:rsidR="00AC7E54">
        <w:t>, can be se</w:t>
      </w:r>
      <w:r w:rsidR="00564695">
        <w:t xml:space="preserve">en </w:t>
      </w:r>
      <w:r w:rsidR="008D30C5">
        <w:t>secondarily</w:t>
      </w:r>
      <w:r w:rsidR="00564695">
        <w:t xml:space="preserve"> as a morality tale: a journey from barbarism to faith and salvation, </w:t>
      </w:r>
      <w:r w:rsidR="008D30C5">
        <w:t>but primarily</w:t>
      </w:r>
      <w:r w:rsidR="00AC7E54">
        <w:t xml:space="preserve"> as a politic act of diplomacy</w:t>
      </w:r>
      <w:r w:rsidR="00B23152">
        <w:t xml:space="preserve"> (</w:t>
      </w:r>
      <w:r w:rsidR="00902A56">
        <w:t>as long as it</w:t>
      </w:r>
      <w:r w:rsidR="00B23152">
        <w:t xml:space="preserve"> </w:t>
      </w:r>
      <w:r w:rsidR="008D30C5">
        <w:t>flattered</w:t>
      </w:r>
      <w:r w:rsidR="003E1139">
        <w:t xml:space="preserve"> </w:t>
      </w:r>
      <w:r>
        <w:t xml:space="preserve">Norman and </w:t>
      </w:r>
      <w:proofErr w:type="spellStart"/>
      <w:r>
        <w:t>Angevin</w:t>
      </w:r>
      <w:proofErr w:type="spellEnd"/>
      <w:r>
        <w:t xml:space="preserve"> </w:t>
      </w:r>
      <w:r w:rsidR="003E1139">
        <w:t>audience</w:t>
      </w:r>
      <w:r w:rsidR="00B23152">
        <w:t>s</w:t>
      </w:r>
      <w:r w:rsidR="003E1139">
        <w:t>)</w:t>
      </w:r>
      <w:r w:rsidR="00AC7E54">
        <w:t>.</w:t>
      </w:r>
    </w:p>
    <w:p w:rsidR="00F46A02" w:rsidRDefault="00F46A02" w:rsidP="00AB7687"/>
    <w:p w:rsidR="009D5D2F" w:rsidRDefault="00F46A02" w:rsidP="00AB7687">
      <w:proofErr w:type="spellStart"/>
      <w:r>
        <w:t>Wordcount</w:t>
      </w:r>
      <w:proofErr w:type="spellEnd"/>
      <w:r>
        <w:t xml:space="preserve"> = 1081, including internal quotes</w:t>
      </w:r>
    </w:p>
    <w:p w:rsidR="00F66C36" w:rsidRDefault="00F66C36" w:rsidP="00AB7687"/>
    <w:p w:rsidR="0029226D" w:rsidRDefault="00F66C36" w:rsidP="00F66C36">
      <w:r>
        <w:t>Bibliography:</w:t>
      </w:r>
    </w:p>
    <w:p w:rsidR="00F66C36" w:rsidRPr="00F66C36" w:rsidRDefault="00F66C36" w:rsidP="00F66C36">
      <w:pPr>
        <w:pStyle w:val="FootnoteText"/>
        <w:rPr>
          <w:sz w:val="22"/>
          <w:szCs w:val="22"/>
        </w:rPr>
      </w:pPr>
      <w:r w:rsidRPr="00F66C36">
        <w:rPr>
          <w:sz w:val="22"/>
          <w:szCs w:val="22"/>
        </w:rPr>
        <w:t xml:space="preserve">F. Newton, </w:t>
      </w:r>
      <w:proofErr w:type="gramStart"/>
      <w:r w:rsidRPr="00F66C36">
        <w:rPr>
          <w:i/>
          <w:sz w:val="22"/>
          <w:szCs w:val="22"/>
        </w:rPr>
        <w:t>The</w:t>
      </w:r>
      <w:proofErr w:type="gramEnd"/>
      <w:r w:rsidRPr="00F66C36">
        <w:rPr>
          <w:i/>
          <w:sz w:val="22"/>
          <w:szCs w:val="22"/>
        </w:rPr>
        <w:t xml:space="preserve"> Scriptorium and Library of Monte </w:t>
      </w:r>
      <w:proofErr w:type="spellStart"/>
      <w:r w:rsidRPr="00F66C36">
        <w:rPr>
          <w:i/>
          <w:sz w:val="22"/>
          <w:szCs w:val="22"/>
        </w:rPr>
        <w:t>Cassino</w:t>
      </w:r>
      <w:proofErr w:type="spellEnd"/>
      <w:r w:rsidRPr="00F66C36">
        <w:rPr>
          <w:i/>
          <w:sz w:val="22"/>
          <w:szCs w:val="22"/>
        </w:rPr>
        <w:t>, 1058-1105</w:t>
      </w:r>
      <w:r w:rsidRPr="00F66C36">
        <w:rPr>
          <w:sz w:val="22"/>
          <w:szCs w:val="22"/>
        </w:rPr>
        <w:t xml:space="preserve"> (Cambridge University Press, 2001).</w:t>
      </w:r>
    </w:p>
    <w:p w:rsidR="00F66C36" w:rsidRPr="00F66C36" w:rsidRDefault="00F66C36" w:rsidP="00F66C36">
      <w:pPr>
        <w:pStyle w:val="FootnoteText"/>
        <w:rPr>
          <w:sz w:val="22"/>
          <w:szCs w:val="22"/>
        </w:rPr>
      </w:pPr>
      <w:r w:rsidRPr="00F66C36">
        <w:rPr>
          <w:sz w:val="22"/>
          <w:szCs w:val="22"/>
        </w:rPr>
        <w:t xml:space="preserve">G.A. Loud, The ‘Gens </w:t>
      </w:r>
      <w:proofErr w:type="spellStart"/>
      <w:r w:rsidRPr="00F66C36">
        <w:rPr>
          <w:sz w:val="22"/>
          <w:szCs w:val="22"/>
        </w:rPr>
        <w:t>Normannorum</w:t>
      </w:r>
      <w:proofErr w:type="spellEnd"/>
      <w:r w:rsidRPr="00F66C36">
        <w:rPr>
          <w:sz w:val="22"/>
          <w:szCs w:val="22"/>
        </w:rPr>
        <w:t>’ – Myth or Reality?</w:t>
      </w:r>
      <w:proofErr w:type="gramStart"/>
      <w:r w:rsidRPr="00F66C36">
        <w:rPr>
          <w:sz w:val="22"/>
          <w:szCs w:val="22"/>
        </w:rPr>
        <w:t>,  p</w:t>
      </w:r>
      <w:proofErr w:type="gramEnd"/>
      <w:r w:rsidRPr="00F66C36">
        <w:rPr>
          <w:sz w:val="22"/>
          <w:szCs w:val="22"/>
        </w:rPr>
        <w:t xml:space="preserve">. 109; K.B. Wolf, </w:t>
      </w:r>
      <w:r w:rsidRPr="00F66C36">
        <w:rPr>
          <w:i/>
          <w:sz w:val="22"/>
          <w:szCs w:val="22"/>
        </w:rPr>
        <w:t>Making History: The Normans and Their Historians in Eleventh-Century Italy</w:t>
      </w:r>
      <w:r w:rsidRPr="00F66C36">
        <w:rPr>
          <w:sz w:val="22"/>
          <w:szCs w:val="22"/>
        </w:rPr>
        <w:t xml:space="preserve">; N. Webber, </w:t>
      </w:r>
      <w:r w:rsidRPr="00F66C36">
        <w:rPr>
          <w:i/>
          <w:sz w:val="22"/>
          <w:szCs w:val="22"/>
        </w:rPr>
        <w:t>The Evolution of Norman Identity</w:t>
      </w:r>
      <w:r w:rsidRPr="00F66C36">
        <w:rPr>
          <w:sz w:val="22"/>
          <w:szCs w:val="22"/>
        </w:rPr>
        <w:t xml:space="preserve"> (Cambridge University Press, 2005). </w:t>
      </w:r>
    </w:p>
    <w:p w:rsidR="00F66C36" w:rsidRPr="00F66C36" w:rsidRDefault="00F66C36" w:rsidP="00F66C36">
      <w:pPr>
        <w:spacing w:after="0"/>
      </w:pPr>
      <w:r w:rsidRPr="00F66C36">
        <w:t xml:space="preserve">K.B. Wolf, </w:t>
      </w:r>
      <w:r w:rsidRPr="00F66C36">
        <w:rPr>
          <w:i/>
        </w:rPr>
        <w:t>Making History: the Normans and their Historians in Eleventh-Century Italy</w:t>
      </w:r>
      <w:r w:rsidRPr="00F66C36">
        <w:t xml:space="preserve"> (Pennsylvania University Press, 1995), p. 88.</w:t>
      </w:r>
    </w:p>
    <w:p w:rsidR="00F66C36" w:rsidRPr="00F66C36" w:rsidRDefault="00F66C36" w:rsidP="00F66C36">
      <w:pPr>
        <w:spacing w:after="0"/>
      </w:pPr>
      <w:r w:rsidRPr="00F66C36">
        <w:t xml:space="preserve">R. Rix, </w:t>
      </w:r>
      <w:proofErr w:type="gramStart"/>
      <w:r w:rsidRPr="00F66C36">
        <w:rPr>
          <w:i/>
        </w:rPr>
        <w:t>The</w:t>
      </w:r>
      <w:proofErr w:type="gramEnd"/>
      <w:r w:rsidRPr="00F66C36">
        <w:rPr>
          <w:i/>
        </w:rPr>
        <w:t xml:space="preserve"> Barbarian North in Medieval Imagination: Ethnicity, Legend and Literature</w:t>
      </w:r>
      <w:r w:rsidRPr="00F66C36">
        <w:t>, (London: Routledge, 2014), available at INetCache/IE/T29M1VQZ/The%20Barbarian%20North%20in%20Medieval%20Imagination.pdf (Accessed 22</w:t>
      </w:r>
      <w:r w:rsidRPr="00F66C36">
        <w:rPr>
          <w:vertAlign w:val="superscript"/>
        </w:rPr>
        <w:t>nd</w:t>
      </w:r>
      <w:r w:rsidRPr="00F66C36">
        <w:t xml:space="preserve"> October 2017)</w:t>
      </w:r>
    </w:p>
    <w:p w:rsidR="00F66C36" w:rsidRPr="00F66C36" w:rsidRDefault="00F66C36" w:rsidP="00F66C36">
      <w:r w:rsidRPr="00F66C36">
        <w:t xml:space="preserve">Wolf, </w:t>
      </w:r>
      <w:r w:rsidRPr="00F66C36">
        <w:rPr>
          <w:i/>
        </w:rPr>
        <w:t xml:space="preserve">Making History: the Normans and their Historians in Eleventh-Century Italy. </w:t>
      </w:r>
      <w:r w:rsidRPr="00F66C36">
        <w:t>p. 90.</w:t>
      </w:r>
    </w:p>
    <w:p w:rsidR="00F66C36" w:rsidRPr="00F66C36" w:rsidRDefault="00F66C36" w:rsidP="00F66C36"/>
    <w:sectPr w:rsidR="00F66C36" w:rsidRPr="00F66C36" w:rsidSect="0005757B">
      <w:head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D7A2B" w:rsidRDefault="006D7A2B" w:rsidP="00A94546">
      <w:pPr>
        <w:spacing w:after="0" w:line="240" w:lineRule="auto"/>
      </w:pPr>
      <w:r>
        <w:separator/>
      </w:r>
    </w:p>
  </w:endnote>
  <w:endnote w:type="continuationSeparator" w:id="0">
    <w:p w:rsidR="006D7A2B" w:rsidRDefault="006D7A2B" w:rsidP="00A9454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D7A2B" w:rsidRDefault="006D7A2B" w:rsidP="00A94546">
      <w:pPr>
        <w:spacing w:after="0" w:line="240" w:lineRule="auto"/>
      </w:pPr>
      <w:r>
        <w:separator/>
      </w:r>
    </w:p>
  </w:footnote>
  <w:footnote w:type="continuationSeparator" w:id="0">
    <w:p w:rsidR="006D7A2B" w:rsidRDefault="006D7A2B" w:rsidP="00A94546">
      <w:pPr>
        <w:spacing w:after="0" w:line="240" w:lineRule="auto"/>
      </w:pPr>
      <w:r>
        <w:continuationSeparator/>
      </w:r>
    </w:p>
  </w:footnote>
  <w:footnote w:id="1">
    <w:p w:rsidR="00CB5932" w:rsidRPr="003E1139" w:rsidRDefault="00CB5932">
      <w:pPr>
        <w:pStyle w:val="FootnoteText"/>
        <w:rPr>
          <w:sz w:val="18"/>
          <w:szCs w:val="18"/>
        </w:rPr>
      </w:pPr>
      <w:r w:rsidRPr="003E1139">
        <w:rPr>
          <w:rStyle w:val="FootnoteReference"/>
          <w:sz w:val="18"/>
          <w:szCs w:val="18"/>
        </w:rPr>
        <w:footnoteRef/>
      </w:r>
      <w:r w:rsidRPr="003E1139">
        <w:rPr>
          <w:sz w:val="18"/>
          <w:szCs w:val="18"/>
        </w:rPr>
        <w:t xml:space="preserve"> K.B. Wolf, </w:t>
      </w:r>
      <w:r w:rsidRPr="003E1139">
        <w:rPr>
          <w:i/>
          <w:sz w:val="18"/>
          <w:szCs w:val="18"/>
        </w:rPr>
        <w:t>Making History: the Normans and their Historians in Eleventh-Century Italy</w:t>
      </w:r>
      <w:r w:rsidRPr="003E1139">
        <w:rPr>
          <w:sz w:val="18"/>
          <w:szCs w:val="18"/>
        </w:rPr>
        <w:t xml:space="preserve"> (Pennsylvania University Press, 1995), p. 88.</w:t>
      </w:r>
      <w:r w:rsidR="00252150">
        <w:rPr>
          <w:sz w:val="18"/>
          <w:szCs w:val="18"/>
        </w:rPr>
        <w:t xml:space="preserve"> </w:t>
      </w:r>
      <w:proofErr w:type="spellStart"/>
      <w:r w:rsidR="00252150">
        <w:rPr>
          <w:sz w:val="18"/>
          <w:szCs w:val="18"/>
        </w:rPr>
        <w:t>Amatus</w:t>
      </w:r>
      <w:proofErr w:type="spellEnd"/>
      <w:r w:rsidR="00252150">
        <w:rPr>
          <w:sz w:val="18"/>
          <w:szCs w:val="18"/>
        </w:rPr>
        <w:t xml:space="preserve"> makes no reference to the reconciliation thus placing the work before July 1080.</w:t>
      </w:r>
    </w:p>
  </w:footnote>
  <w:footnote w:id="2">
    <w:p w:rsidR="005D007D" w:rsidRPr="003E1139" w:rsidRDefault="005D007D">
      <w:pPr>
        <w:pStyle w:val="FootnoteText"/>
        <w:rPr>
          <w:sz w:val="18"/>
          <w:szCs w:val="18"/>
        </w:rPr>
      </w:pPr>
      <w:r w:rsidRPr="003E1139">
        <w:rPr>
          <w:rStyle w:val="FootnoteReference"/>
          <w:sz w:val="18"/>
          <w:szCs w:val="18"/>
        </w:rPr>
        <w:footnoteRef/>
      </w:r>
      <w:r w:rsidRPr="003E1139">
        <w:rPr>
          <w:sz w:val="18"/>
          <w:szCs w:val="18"/>
        </w:rPr>
        <w:t xml:space="preserve"> Wolf, </w:t>
      </w:r>
      <w:proofErr w:type="gramStart"/>
      <w:r w:rsidR="00CB5932" w:rsidRPr="003E1139">
        <w:rPr>
          <w:i/>
          <w:sz w:val="18"/>
          <w:szCs w:val="18"/>
        </w:rPr>
        <w:t>ibid.,</w:t>
      </w:r>
      <w:proofErr w:type="gramEnd"/>
      <w:r w:rsidRPr="003E1139">
        <w:rPr>
          <w:sz w:val="18"/>
          <w:szCs w:val="18"/>
        </w:rPr>
        <w:t xml:space="preserve"> p. 89.</w:t>
      </w:r>
      <w:r w:rsidR="0034662C" w:rsidRPr="003E1139">
        <w:rPr>
          <w:sz w:val="18"/>
          <w:szCs w:val="18"/>
        </w:rPr>
        <w:t xml:space="preserve"> Possibly the count had some connection with the </w:t>
      </w:r>
      <w:proofErr w:type="spellStart"/>
      <w:r w:rsidR="0034662C" w:rsidRPr="003E1139">
        <w:rPr>
          <w:sz w:val="18"/>
          <w:szCs w:val="18"/>
        </w:rPr>
        <w:t>Angevin</w:t>
      </w:r>
      <w:proofErr w:type="spellEnd"/>
      <w:r w:rsidR="0034662C" w:rsidRPr="003E1139">
        <w:rPr>
          <w:sz w:val="18"/>
          <w:szCs w:val="18"/>
        </w:rPr>
        <w:t xml:space="preserve"> dynasty, successors to the Normans.</w:t>
      </w:r>
    </w:p>
  </w:footnote>
  <w:footnote w:id="3">
    <w:p w:rsidR="000918C8" w:rsidRPr="003E1139" w:rsidRDefault="000918C8">
      <w:pPr>
        <w:pStyle w:val="FootnoteText"/>
        <w:rPr>
          <w:sz w:val="18"/>
          <w:szCs w:val="18"/>
        </w:rPr>
      </w:pPr>
      <w:r w:rsidRPr="003E1139">
        <w:rPr>
          <w:rStyle w:val="FootnoteReference"/>
          <w:sz w:val="18"/>
          <w:szCs w:val="18"/>
        </w:rPr>
        <w:footnoteRef/>
      </w:r>
      <w:r w:rsidR="00902A56">
        <w:rPr>
          <w:sz w:val="18"/>
          <w:szCs w:val="18"/>
        </w:rPr>
        <w:t xml:space="preserve"> L</w:t>
      </w:r>
      <w:r w:rsidRPr="003E1139">
        <w:rPr>
          <w:sz w:val="18"/>
          <w:szCs w:val="18"/>
        </w:rPr>
        <w:t>ibrarian and archivist</w:t>
      </w:r>
      <w:r w:rsidR="00902A56">
        <w:rPr>
          <w:sz w:val="18"/>
          <w:szCs w:val="18"/>
        </w:rPr>
        <w:t xml:space="preserve"> at </w:t>
      </w:r>
      <w:proofErr w:type="spellStart"/>
      <w:r w:rsidR="00902A56">
        <w:rPr>
          <w:sz w:val="18"/>
          <w:szCs w:val="18"/>
        </w:rPr>
        <w:t>Montecassino</w:t>
      </w:r>
      <w:proofErr w:type="spellEnd"/>
      <w:r w:rsidR="00902A56">
        <w:rPr>
          <w:sz w:val="18"/>
          <w:szCs w:val="18"/>
        </w:rPr>
        <w:t xml:space="preserve"> and near contemporary of </w:t>
      </w:r>
      <w:proofErr w:type="spellStart"/>
      <w:r w:rsidR="00902A56">
        <w:rPr>
          <w:sz w:val="18"/>
          <w:szCs w:val="18"/>
        </w:rPr>
        <w:t>Amatus</w:t>
      </w:r>
      <w:proofErr w:type="spellEnd"/>
      <w:r w:rsidRPr="003E1139">
        <w:rPr>
          <w:sz w:val="18"/>
          <w:szCs w:val="18"/>
        </w:rPr>
        <w:t xml:space="preserve"> (</w:t>
      </w:r>
      <w:r w:rsidRPr="003E1139">
        <w:rPr>
          <w:i/>
          <w:sz w:val="18"/>
          <w:szCs w:val="18"/>
        </w:rPr>
        <w:t>c</w:t>
      </w:r>
      <w:r w:rsidRPr="003E1139">
        <w:rPr>
          <w:sz w:val="18"/>
          <w:szCs w:val="18"/>
        </w:rPr>
        <w:t>1045-1115)</w:t>
      </w:r>
      <w:r w:rsidR="003A585D" w:rsidRPr="003E1139">
        <w:rPr>
          <w:sz w:val="18"/>
          <w:szCs w:val="18"/>
        </w:rPr>
        <w:t>.</w:t>
      </w:r>
    </w:p>
  </w:footnote>
  <w:footnote w:id="4">
    <w:p w:rsidR="002464E0" w:rsidRPr="003E1139" w:rsidRDefault="002464E0">
      <w:pPr>
        <w:pStyle w:val="FootnoteText"/>
        <w:rPr>
          <w:sz w:val="18"/>
          <w:szCs w:val="18"/>
        </w:rPr>
      </w:pPr>
      <w:r w:rsidRPr="003E1139">
        <w:rPr>
          <w:rStyle w:val="FootnoteReference"/>
          <w:sz w:val="18"/>
          <w:szCs w:val="18"/>
        </w:rPr>
        <w:footnoteRef/>
      </w:r>
      <w:r w:rsidRPr="003E1139">
        <w:rPr>
          <w:sz w:val="18"/>
          <w:szCs w:val="18"/>
        </w:rPr>
        <w:t xml:space="preserve"> Wolf,</w:t>
      </w:r>
      <w:r w:rsidR="00F46A02">
        <w:rPr>
          <w:sz w:val="18"/>
          <w:szCs w:val="18"/>
        </w:rPr>
        <w:t xml:space="preserve"> </w:t>
      </w:r>
      <w:proofErr w:type="gramStart"/>
      <w:r w:rsidR="00F46A02">
        <w:rPr>
          <w:i/>
          <w:sz w:val="18"/>
          <w:szCs w:val="18"/>
        </w:rPr>
        <w:t>ibid.</w:t>
      </w:r>
      <w:r w:rsidR="003A585D" w:rsidRPr="003E1139">
        <w:rPr>
          <w:sz w:val="18"/>
          <w:szCs w:val="18"/>
        </w:rPr>
        <w:t>,</w:t>
      </w:r>
      <w:proofErr w:type="gramEnd"/>
      <w:r w:rsidR="003A585D" w:rsidRPr="003E1139">
        <w:rPr>
          <w:sz w:val="18"/>
          <w:szCs w:val="18"/>
        </w:rPr>
        <w:t xml:space="preserve"> p. 89.</w:t>
      </w:r>
    </w:p>
  </w:footnote>
  <w:footnote w:id="5">
    <w:p w:rsidR="0044283B" w:rsidRPr="003E1139" w:rsidRDefault="0044283B" w:rsidP="0044283B">
      <w:pPr>
        <w:pStyle w:val="FootnoteText"/>
        <w:rPr>
          <w:sz w:val="18"/>
          <w:szCs w:val="18"/>
        </w:rPr>
      </w:pPr>
      <w:r w:rsidRPr="00F66C36">
        <w:rPr>
          <w:rStyle w:val="FootnoteReference"/>
          <w:sz w:val="18"/>
          <w:szCs w:val="18"/>
        </w:rPr>
        <w:footnoteRef/>
      </w:r>
      <w:r w:rsidRPr="00F66C36">
        <w:rPr>
          <w:sz w:val="18"/>
          <w:szCs w:val="18"/>
        </w:rPr>
        <w:t xml:space="preserve"> F. Newton, </w:t>
      </w:r>
      <w:proofErr w:type="gramStart"/>
      <w:r w:rsidRPr="00F66C36">
        <w:rPr>
          <w:i/>
          <w:sz w:val="18"/>
          <w:szCs w:val="18"/>
        </w:rPr>
        <w:t>The</w:t>
      </w:r>
      <w:proofErr w:type="gramEnd"/>
      <w:r w:rsidRPr="00F66C36">
        <w:rPr>
          <w:i/>
          <w:sz w:val="18"/>
          <w:szCs w:val="18"/>
        </w:rPr>
        <w:t xml:space="preserve"> Scriptorium and Library of Monte </w:t>
      </w:r>
      <w:proofErr w:type="spellStart"/>
      <w:r w:rsidRPr="00F66C36">
        <w:rPr>
          <w:i/>
          <w:sz w:val="18"/>
          <w:szCs w:val="18"/>
        </w:rPr>
        <w:t>Cassino</w:t>
      </w:r>
      <w:proofErr w:type="spellEnd"/>
      <w:r w:rsidRPr="00F66C36">
        <w:rPr>
          <w:i/>
          <w:sz w:val="18"/>
          <w:szCs w:val="18"/>
        </w:rPr>
        <w:t>, 1058-1105</w:t>
      </w:r>
      <w:r w:rsidRPr="00F66C36">
        <w:rPr>
          <w:sz w:val="18"/>
          <w:szCs w:val="18"/>
        </w:rPr>
        <w:t xml:space="preserve"> (Cambridge University Press, 2001).</w:t>
      </w:r>
    </w:p>
  </w:footnote>
  <w:footnote w:id="6">
    <w:p w:rsidR="0044283B" w:rsidRPr="003E1139" w:rsidRDefault="0044283B" w:rsidP="0044283B">
      <w:pPr>
        <w:pStyle w:val="FootnoteText"/>
        <w:rPr>
          <w:sz w:val="18"/>
          <w:szCs w:val="18"/>
        </w:rPr>
      </w:pPr>
      <w:r w:rsidRPr="003E1139">
        <w:rPr>
          <w:rStyle w:val="FootnoteReference"/>
          <w:sz w:val="18"/>
          <w:szCs w:val="18"/>
        </w:rPr>
        <w:footnoteRef/>
      </w:r>
      <w:r w:rsidRPr="003E1139">
        <w:rPr>
          <w:sz w:val="18"/>
          <w:szCs w:val="18"/>
        </w:rPr>
        <w:t xml:space="preserve"> Paul the Deacon was an 8</w:t>
      </w:r>
      <w:r w:rsidRPr="003E1139">
        <w:rPr>
          <w:sz w:val="18"/>
          <w:szCs w:val="18"/>
          <w:vertAlign w:val="superscript"/>
        </w:rPr>
        <w:t>th</w:t>
      </w:r>
      <w:r w:rsidRPr="003E1139">
        <w:rPr>
          <w:sz w:val="18"/>
          <w:szCs w:val="18"/>
        </w:rPr>
        <w:t xml:space="preserve"> century monk of </w:t>
      </w:r>
      <w:proofErr w:type="spellStart"/>
      <w:r w:rsidRPr="003E1139">
        <w:rPr>
          <w:sz w:val="18"/>
          <w:szCs w:val="18"/>
        </w:rPr>
        <w:t>Montecassino</w:t>
      </w:r>
      <w:proofErr w:type="spellEnd"/>
      <w:r w:rsidRPr="003E1139">
        <w:rPr>
          <w:sz w:val="18"/>
          <w:szCs w:val="18"/>
        </w:rPr>
        <w:t xml:space="preserve"> who wrote </w:t>
      </w:r>
      <w:proofErr w:type="spellStart"/>
      <w:r w:rsidRPr="003E1139">
        <w:rPr>
          <w:i/>
          <w:sz w:val="18"/>
          <w:szCs w:val="18"/>
        </w:rPr>
        <w:t>Historia</w:t>
      </w:r>
      <w:proofErr w:type="spellEnd"/>
      <w:r w:rsidRPr="003E1139">
        <w:rPr>
          <w:i/>
          <w:sz w:val="18"/>
          <w:szCs w:val="18"/>
        </w:rPr>
        <w:t xml:space="preserve"> </w:t>
      </w:r>
      <w:proofErr w:type="spellStart"/>
      <w:r w:rsidRPr="003E1139">
        <w:rPr>
          <w:i/>
          <w:sz w:val="18"/>
          <w:szCs w:val="18"/>
        </w:rPr>
        <w:t>Langobardorum</w:t>
      </w:r>
      <w:proofErr w:type="spellEnd"/>
      <w:r w:rsidRPr="003E1139">
        <w:rPr>
          <w:i/>
          <w:sz w:val="18"/>
          <w:szCs w:val="18"/>
        </w:rPr>
        <w:t xml:space="preserve">, </w:t>
      </w:r>
      <w:proofErr w:type="spellStart"/>
      <w:r w:rsidRPr="003E1139">
        <w:rPr>
          <w:i/>
          <w:sz w:val="18"/>
          <w:szCs w:val="18"/>
        </w:rPr>
        <w:t>Gothorum</w:t>
      </w:r>
      <w:proofErr w:type="spellEnd"/>
      <w:r w:rsidRPr="003E1139">
        <w:rPr>
          <w:i/>
          <w:sz w:val="18"/>
          <w:szCs w:val="18"/>
        </w:rPr>
        <w:t xml:space="preserve"> et </w:t>
      </w:r>
      <w:proofErr w:type="spellStart"/>
      <w:proofErr w:type="gramStart"/>
      <w:r w:rsidRPr="003E1139">
        <w:rPr>
          <w:i/>
          <w:sz w:val="18"/>
          <w:szCs w:val="18"/>
        </w:rPr>
        <w:t>Wandalorum</w:t>
      </w:r>
      <w:proofErr w:type="spellEnd"/>
      <w:r w:rsidRPr="003E1139">
        <w:rPr>
          <w:sz w:val="18"/>
          <w:szCs w:val="18"/>
        </w:rPr>
        <w:t xml:space="preserve">  which</w:t>
      </w:r>
      <w:proofErr w:type="gramEnd"/>
      <w:r w:rsidRPr="003E1139">
        <w:rPr>
          <w:sz w:val="18"/>
          <w:szCs w:val="18"/>
        </w:rPr>
        <w:t xml:space="preserve"> cited the legendary origins of the Franks in Scandinavia.</w:t>
      </w:r>
    </w:p>
  </w:footnote>
  <w:footnote w:id="7">
    <w:p w:rsidR="0044283B" w:rsidRPr="003E1139" w:rsidRDefault="0044283B" w:rsidP="0044283B">
      <w:pPr>
        <w:pStyle w:val="FootnoteText"/>
        <w:rPr>
          <w:sz w:val="18"/>
          <w:szCs w:val="18"/>
        </w:rPr>
      </w:pPr>
      <w:r w:rsidRPr="003E1139">
        <w:rPr>
          <w:rStyle w:val="FootnoteReference"/>
          <w:sz w:val="18"/>
          <w:szCs w:val="18"/>
        </w:rPr>
        <w:footnoteRef/>
      </w:r>
      <w:r w:rsidRPr="003E1139">
        <w:rPr>
          <w:sz w:val="18"/>
          <w:szCs w:val="18"/>
        </w:rPr>
        <w:t xml:space="preserve"> For example Gregory of Tours (</w:t>
      </w:r>
      <w:r w:rsidRPr="003E1139">
        <w:rPr>
          <w:i/>
          <w:sz w:val="18"/>
          <w:szCs w:val="18"/>
        </w:rPr>
        <w:t>c</w:t>
      </w:r>
      <w:r w:rsidRPr="003E1139">
        <w:rPr>
          <w:sz w:val="18"/>
          <w:szCs w:val="18"/>
        </w:rPr>
        <w:t xml:space="preserve">538-594): </w:t>
      </w:r>
      <w:proofErr w:type="spellStart"/>
      <w:r w:rsidRPr="003E1139">
        <w:rPr>
          <w:i/>
          <w:sz w:val="18"/>
          <w:szCs w:val="18"/>
        </w:rPr>
        <w:t>Historia</w:t>
      </w:r>
      <w:proofErr w:type="spellEnd"/>
      <w:r w:rsidRPr="003E1139">
        <w:rPr>
          <w:i/>
          <w:sz w:val="18"/>
          <w:szCs w:val="18"/>
        </w:rPr>
        <w:t xml:space="preserve"> </w:t>
      </w:r>
      <w:proofErr w:type="spellStart"/>
      <w:r w:rsidRPr="003E1139">
        <w:rPr>
          <w:i/>
          <w:sz w:val="18"/>
          <w:szCs w:val="18"/>
        </w:rPr>
        <w:t>Francorum</w:t>
      </w:r>
      <w:proofErr w:type="spellEnd"/>
      <w:r w:rsidRPr="003E1139">
        <w:rPr>
          <w:sz w:val="18"/>
          <w:szCs w:val="18"/>
        </w:rPr>
        <w:t>; Bede (</w:t>
      </w:r>
      <w:r w:rsidRPr="003E1139">
        <w:rPr>
          <w:i/>
          <w:sz w:val="18"/>
          <w:szCs w:val="18"/>
        </w:rPr>
        <w:t>c</w:t>
      </w:r>
      <w:r w:rsidRPr="003E1139">
        <w:rPr>
          <w:sz w:val="18"/>
          <w:szCs w:val="18"/>
        </w:rPr>
        <w:t xml:space="preserve">672-735): </w:t>
      </w:r>
      <w:proofErr w:type="spellStart"/>
      <w:r w:rsidRPr="003E1139">
        <w:rPr>
          <w:i/>
          <w:sz w:val="18"/>
          <w:szCs w:val="18"/>
        </w:rPr>
        <w:t>Historia</w:t>
      </w:r>
      <w:proofErr w:type="spellEnd"/>
      <w:r w:rsidRPr="003E1139">
        <w:rPr>
          <w:i/>
          <w:sz w:val="18"/>
          <w:szCs w:val="18"/>
        </w:rPr>
        <w:t xml:space="preserve"> </w:t>
      </w:r>
      <w:proofErr w:type="spellStart"/>
      <w:r w:rsidRPr="003E1139">
        <w:rPr>
          <w:i/>
          <w:sz w:val="18"/>
          <w:szCs w:val="18"/>
        </w:rPr>
        <w:t>ecclesiastica</w:t>
      </w:r>
      <w:proofErr w:type="spellEnd"/>
      <w:r w:rsidRPr="003E1139">
        <w:rPr>
          <w:i/>
          <w:sz w:val="18"/>
          <w:szCs w:val="18"/>
        </w:rPr>
        <w:t xml:space="preserve"> </w:t>
      </w:r>
      <w:proofErr w:type="spellStart"/>
      <w:r w:rsidRPr="003E1139">
        <w:rPr>
          <w:i/>
          <w:sz w:val="18"/>
          <w:szCs w:val="18"/>
        </w:rPr>
        <w:t>gentis</w:t>
      </w:r>
      <w:proofErr w:type="spellEnd"/>
      <w:r w:rsidRPr="003E1139">
        <w:rPr>
          <w:i/>
          <w:sz w:val="18"/>
          <w:szCs w:val="18"/>
        </w:rPr>
        <w:t xml:space="preserve"> </w:t>
      </w:r>
      <w:proofErr w:type="spellStart"/>
      <w:r w:rsidRPr="003E1139">
        <w:rPr>
          <w:i/>
          <w:sz w:val="18"/>
          <w:szCs w:val="18"/>
        </w:rPr>
        <w:t>Anglorum</w:t>
      </w:r>
      <w:proofErr w:type="spellEnd"/>
      <w:r w:rsidRPr="003E1139">
        <w:rPr>
          <w:sz w:val="18"/>
          <w:szCs w:val="18"/>
        </w:rPr>
        <w:t xml:space="preserve">. It is possible that he also knew of </w:t>
      </w:r>
      <w:proofErr w:type="spellStart"/>
      <w:r w:rsidRPr="003E1139">
        <w:rPr>
          <w:sz w:val="18"/>
          <w:szCs w:val="18"/>
        </w:rPr>
        <w:t>Dudo</w:t>
      </w:r>
      <w:proofErr w:type="spellEnd"/>
      <w:r w:rsidRPr="003E1139">
        <w:rPr>
          <w:sz w:val="18"/>
          <w:szCs w:val="18"/>
        </w:rPr>
        <w:t xml:space="preserve"> of St Quentin (late 10</w:t>
      </w:r>
      <w:r w:rsidRPr="003E1139">
        <w:rPr>
          <w:sz w:val="18"/>
          <w:szCs w:val="18"/>
          <w:vertAlign w:val="superscript"/>
        </w:rPr>
        <w:t>th</w:t>
      </w:r>
      <w:r w:rsidRPr="003E1139">
        <w:rPr>
          <w:sz w:val="18"/>
          <w:szCs w:val="18"/>
        </w:rPr>
        <w:t xml:space="preserve"> century): </w:t>
      </w:r>
      <w:proofErr w:type="spellStart"/>
      <w:r w:rsidRPr="003E1139">
        <w:rPr>
          <w:i/>
          <w:sz w:val="18"/>
          <w:szCs w:val="18"/>
        </w:rPr>
        <w:t>Historia</w:t>
      </w:r>
      <w:proofErr w:type="spellEnd"/>
      <w:r w:rsidRPr="003E1139">
        <w:rPr>
          <w:i/>
          <w:sz w:val="18"/>
          <w:szCs w:val="18"/>
        </w:rPr>
        <w:t xml:space="preserve"> </w:t>
      </w:r>
      <w:proofErr w:type="spellStart"/>
      <w:r w:rsidRPr="003E1139">
        <w:rPr>
          <w:i/>
          <w:sz w:val="18"/>
          <w:szCs w:val="18"/>
        </w:rPr>
        <w:t>Normannorum</w:t>
      </w:r>
      <w:proofErr w:type="spellEnd"/>
      <w:r w:rsidRPr="003E1139">
        <w:rPr>
          <w:sz w:val="18"/>
          <w:szCs w:val="18"/>
        </w:rPr>
        <w:t xml:space="preserve"> and William of </w:t>
      </w:r>
      <w:proofErr w:type="spellStart"/>
      <w:r w:rsidRPr="003E1139">
        <w:rPr>
          <w:sz w:val="18"/>
          <w:szCs w:val="18"/>
        </w:rPr>
        <w:t>Jumi</w:t>
      </w:r>
      <w:r w:rsidRPr="003E1139">
        <w:rPr>
          <w:rFonts w:cstheme="minorHAnsi"/>
          <w:sz w:val="18"/>
          <w:szCs w:val="18"/>
        </w:rPr>
        <w:t>è</w:t>
      </w:r>
      <w:r w:rsidRPr="003E1139">
        <w:rPr>
          <w:sz w:val="18"/>
          <w:szCs w:val="18"/>
        </w:rPr>
        <w:t>ges</w:t>
      </w:r>
      <w:proofErr w:type="spellEnd"/>
      <w:r w:rsidRPr="003E1139">
        <w:rPr>
          <w:sz w:val="18"/>
          <w:szCs w:val="18"/>
        </w:rPr>
        <w:t xml:space="preserve"> who chronicled the Norman Conquest of England, </w:t>
      </w:r>
      <w:proofErr w:type="spellStart"/>
      <w:r w:rsidRPr="003E1139">
        <w:rPr>
          <w:i/>
          <w:sz w:val="18"/>
          <w:szCs w:val="18"/>
        </w:rPr>
        <w:t>Gesta</w:t>
      </w:r>
      <w:proofErr w:type="spellEnd"/>
      <w:r w:rsidRPr="003E1139">
        <w:rPr>
          <w:i/>
          <w:sz w:val="18"/>
          <w:szCs w:val="18"/>
        </w:rPr>
        <w:t xml:space="preserve"> </w:t>
      </w:r>
      <w:proofErr w:type="spellStart"/>
      <w:r w:rsidRPr="003E1139">
        <w:rPr>
          <w:i/>
          <w:sz w:val="18"/>
          <w:szCs w:val="18"/>
        </w:rPr>
        <w:t>Normannorum</w:t>
      </w:r>
      <w:proofErr w:type="spellEnd"/>
      <w:r w:rsidRPr="003E1139">
        <w:rPr>
          <w:i/>
          <w:sz w:val="18"/>
          <w:szCs w:val="18"/>
        </w:rPr>
        <w:t xml:space="preserve"> </w:t>
      </w:r>
      <w:proofErr w:type="spellStart"/>
      <w:r w:rsidRPr="003E1139">
        <w:rPr>
          <w:i/>
          <w:sz w:val="18"/>
          <w:szCs w:val="18"/>
        </w:rPr>
        <w:t>Ducum</w:t>
      </w:r>
      <w:proofErr w:type="spellEnd"/>
      <w:r w:rsidRPr="003E1139">
        <w:rPr>
          <w:sz w:val="18"/>
          <w:szCs w:val="18"/>
        </w:rPr>
        <w:t xml:space="preserve"> </w:t>
      </w:r>
      <w:r w:rsidRPr="003E1139">
        <w:rPr>
          <w:i/>
          <w:sz w:val="18"/>
          <w:szCs w:val="18"/>
        </w:rPr>
        <w:t>c</w:t>
      </w:r>
      <w:r w:rsidRPr="003E1139">
        <w:rPr>
          <w:sz w:val="18"/>
          <w:szCs w:val="18"/>
        </w:rPr>
        <w:t>1070.</w:t>
      </w:r>
    </w:p>
  </w:footnote>
  <w:footnote w:id="8">
    <w:p w:rsidR="00A400DE" w:rsidRPr="00AC6C96" w:rsidRDefault="00A400DE" w:rsidP="00A400DE">
      <w:pPr>
        <w:pStyle w:val="NoSpacing"/>
        <w:rPr>
          <w:i/>
        </w:rPr>
      </w:pPr>
      <w:r w:rsidRPr="003E1139">
        <w:rPr>
          <w:rStyle w:val="FootnoteReference"/>
          <w:sz w:val="18"/>
          <w:szCs w:val="18"/>
        </w:rPr>
        <w:footnoteRef/>
      </w:r>
      <w:r w:rsidRPr="003E1139">
        <w:rPr>
          <w:sz w:val="18"/>
          <w:szCs w:val="18"/>
        </w:rPr>
        <w:t xml:space="preserve"> Wolf, </w:t>
      </w:r>
      <w:r w:rsidR="0060163B" w:rsidRPr="003E1139">
        <w:rPr>
          <w:i/>
          <w:sz w:val="18"/>
          <w:szCs w:val="18"/>
        </w:rPr>
        <w:t>Making History: the Normans and their Historians in Eleventh-Century Italy</w:t>
      </w:r>
      <w:r w:rsidRPr="003E1139">
        <w:rPr>
          <w:i/>
          <w:sz w:val="18"/>
          <w:szCs w:val="18"/>
        </w:rPr>
        <w:t xml:space="preserve">. </w:t>
      </w:r>
      <w:r w:rsidRPr="003E1139">
        <w:rPr>
          <w:sz w:val="18"/>
          <w:szCs w:val="18"/>
        </w:rPr>
        <w:t>p. 90.</w:t>
      </w:r>
    </w:p>
  </w:footnote>
  <w:footnote w:id="9">
    <w:p w:rsidR="00150922" w:rsidRPr="003E1139" w:rsidRDefault="00150922" w:rsidP="00CC0849">
      <w:pPr>
        <w:pStyle w:val="NoSpacing"/>
        <w:rPr>
          <w:sz w:val="18"/>
          <w:szCs w:val="18"/>
        </w:rPr>
      </w:pPr>
      <w:r w:rsidRPr="003E1139">
        <w:rPr>
          <w:rStyle w:val="FootnoteReference"/>
          <w:sz w:val="18"/>
          <w:szCs w:val="18"/>
        </w:rPr>
        <w:footnoteRef/>
      </w:r>
      <w:r w:rsidRPr="003E1139">
        <w:rPr>
          <w:sz w:val="18"/>
          <w:szCs w:val="18"/>
        </w:rPr>
        <w:t xml:space="preserve"> </w:t>
      </w:r>
      <w:r w:rsidRPr="00F66C36">
        <w:rPr>
          <w:sz w:val="18"/>
          <w:szCs w:val="18"/>
        </w:rPr>
        <w:t xml:space="preserve">R. Rix, </w:t>
      </w:r>
      <w:r w:rsidR="009D5D2F" w:rsidRPr="00F66C36">
        <w:rPr>
          <w:i/>
          <w:sz w:val="18"/>
          <w:szCs w:val="18"/>
        </w:rPr>
        <w:t>The Barbarian North in Medieval Imagination: Ethnicity, Legend and Literature</w:t>
      </w:r>
      <w:r w:rsidR="009D5D2F" w:rsidRPr="00F66C36">
        <w:rPr>
          <w:sz w:val="18"/>
          <w:szCs w:val="18"/>
        </w:rPr>
        <w:t>, (London: Routledge, 2014), available at INetCache/IE/T29M1VQZ/The%20Barbarian%20North%20in%20Medieval%20Imagination.pdf (Accessed 22</w:t>
      </w:r>
      <w:r w:rsidR="009D5D2F" w:rsidRPr="00F66C36">
        <w:rPr>
          <w:sz w:val="18"/>
          <w:szCs w:val="18"/>
          <w:vertAlign w:val="superscript"/>
        </w:rPr>
        <w:t>nd</w:t>
      </w:r>
      <w:r w:rsidR="009D5D2F" w:rsidRPr="00F66C36">
        <w:rPr>
          <w:sz w:val="18"/>
          <w:szCs w:val="18"/>
        </w:rPr>
        <w:t xml:space="preserve"> October 2017)</w:t>
      </w:r>
    </w:p>
  </w:footnote>
  <w:footnote w:id="10">
    <w:p w:rsidR="00E56869" w:rsidRPr="003E1139" w:rsidRDefault="00E56869" w:rsidP="00CC0849">
      <w:pPr>
        <w:pStyle w:val="NoSpacing"/>
        <w:rPr>
          <w:sz w:val="18"/>
          <w:szCs w:val="18"/>
        </w:rPr>
      </w:pPr>
      <w:r w:rsidRPr="003E1139">
        <w:rPr>
          <w:rStyle w:val="FootnoteReference"/>
          <w:sz w:val="18"/>
          <w:szCs w:val="18"/>
        </w:rPr>
        <w:footnoteRef/>
      </w:r>
      <w:r w:rsidR="004F22B3" w:rsidRPr="003E1139">
        <w:rPr>
          <w:sz w:val="18"/>
          <w:szCs w:val="18"/>
        </w:rPr>
        <w:t xml:space="preserve"> </w:t>
      </w:r>
      <w:proofErr w:type="spellStart"/>
      <w:r w:rsidR="004F22B3" w:rsidRPr="003E1139">
        <w:rPr>
          <w:sz w:val="18"/>
          <w:szCs w:val="18"/>
        </w:rPr>
        <w:t>Dudo</w:t>
      </w:r>
      <w:proofErr w:type="spellEnd"/>
      <w:r w:rsidR="004F22B3" w:rsidRPr="003E1139">
        <w:rPr>
          <w:sz w:val="18"/>
          <w:szCs w:val="18"/>
        </w:rPr>
        <w:t xml:space="preserve"> </w:t>
      </w:r>
      <w:r w:rsidRPr="003E1139">
        <w:rPr>
          <w:sz w:val="18"/>
          <w:szCs w:val="18"/>
        </w:rPr>
        <w:t xml:space="preserve">referred to the Normans </w:t>
      </w:r>
      <w:r w:rsidR="004F22B3" w:rsidRPr="003E1139">
        <w:rPr>
          <w:sz w:val="18"/>
          <w:szCs w:val="18"/>
        </w:rPr>
        <w:t xml:space="preserve">as Danes, descended from the Trojan hero Antenor, or </w:t>
      </w:r>
      <w:r w:rsidR="004F22B3" w:rsidRPr="003E1139">
        <w:rPr>
          <w:i/>
          <w:sz w:val="18"/>
          <w:szCs w:val="18"/>
        </w:rPr>
        <w:t>Dani</w:t>
      </w:r>
      <w:r w:rsidR="004F22B3" w:rsidRPr="003E1139">
        <w:rPr>
          <w:sz w:val="18"/>
          <w:szCs w:val="18"/>
        </w:rPr>
        <w:t>, which was confused with the poetic name for the Greeks (</w:t>
      </w:r>
      <w:proofErr w:type="spellStart"/>
      <w:r w:rsidR="004F22B3" w:rsidRPr="003E1139">
        <w:rPr>
          <w:i/>
          <w:sz w:val="18"/>
          <w:szCs w:val="18"/>
        </w:rPr>
        <w:t>Danai</w:t>
      </w:r>
      <w:proofErr w:type="spellEnd"/>
      <w:r w:rsidR="004F22B3" w:rsidRPr="003E1139">
        <w:rPr>
          <w:sz w:val="18"/>
          <w:szCs w:val="18"/>
        </w:rPr>
        <w:t xml:space="preserve">); William of </w:t>
      </w:r>
      <w:proofErr w:type="spellStart"/>
      <w:r w:rsidR="004F22B3" w:rsidRPr="003E1139">
        <w:rPr>
          <w:sz w:val="18"/>
          <w:szCs w:val="18"/>
        </w:rPr>
        <w:t>Jumi</w:t>
      </w:r>
      <w:r w:rsidR="004F22B3" w:rsidRPr="003E1139">
        <w:rPr>
          <w:rFonts w:cstheme="minorHAnsi"/>
          <w:sz w:val="18"/>
          <w:szCs w:val="18"/>
        </w:rPr>
        <w:t>è</w:t>
      </w:r>
      <w:r w:rsidR="004F22B3" w:rsidRPr="003E1139">
        <w:rPr>
          <w:sz w:val="18"/>
          <w:szCs w:val="18"/>
        </w:rPr>
        <w:t>ges</w:t>
      </w:r>
      <w:proofErr w:type="spellEnd"/>
      <w:r w:rsidR="004F22B3" w:rsidRPr="003E1139">
        <w:rPr>
          <w:sz w:val="18"/>
          <w:szCs w:val="18"/>
        </w:rPr>
        <w:t>, by contrast, claimed ancestry from Magog, the grandson of Noah.</w:t>
      </w:r>
    </w:p>
  </w:footnote>
  <w:footnote w:id="11">
    <w:p w:rsidR="009D5D2F" w:rsidRPr="003E1139" w:rsidRDefault="009D5D2F" w:rsidP="00CC0849">
      <w:pPr>
        <w:pStyle w:val="NoSpacing"/>
        <w:rPr>
          <w:sz w:val="18"/>
          <w:szCs w:val="18"/>
        </w:rPr>
      </w:pPr>
      <w:r w:rsidRPr="003E1139">
        <w:rPr>
          <w:rStyle w:val="FootnoteReference"/>
          <w:sz w:val="18"/>
          <w:szCs w:val="18"/>
        </w:rPr>
        <w:footnoteRef/>
      </w:r>
      <w:r w:rsidRPr="003E1139">
        <w:rPr>
          <w:sz w:val="18"/>
          <w:szCs w:val="18"/>
        </w:rPr>
        <w:t xml:space="preserve"> Duke Richard was guest of honour at the dedication of Desiderius’ new basilica in 1071.</w:t>
      </w:r>
    </w:p>
  </w:footnote>
  <w:footnote w:id="12">
    <w:p w:rsidR="0043765A" w:rsidRPr="003E1139" w:rsidRDefault="0043765A" w:rsidP="00CC0849">
      <w:pPr>
        <w:pStyle w:val="NoSpacing"/>
        <w:rPr>
          <w:sz w:val="18"/>
          <w:szCs w:val="18"/>
        </w:rPr>
      </w:pPr>
      <w:r w:rsidRPr="003E1139">
        <w:rPr>
          <w:rStyle w:val="FootnoteReference"/>
          <w:sz w:val="18"/>
          <w:szCs w:val="18"/>
        </w:rPr>
        <w:footnoteRef/>
      </w:r>
      <w:r w:rsidRPr="003E1139">
        <w:rPr>
          <w:sz w:val="18"/>
          <w:szCs w:val="18"/>
        </w:rPr>
        <w:t xml:space="preserve"> </w:t>
      </w:r>
      <w:proofErr w:type="spellStart"/>
      <w:r w:rsidRPr="003E1139">
        <w:rPr>
          <w:sz w:val="18"/>
          <w:szCs w:val="18"/>
        </w:rPr>
        <w:t>Jordanes</w:t>
      </w:r>
      <w:proofErr w:type="spellEnd"/>
      <w:r w:rsidRPr="003E1139">
        <w:rPr>
          <w:sz w:val="18"/>
          <w:szCs w:val="18"/>
        </w:rPr>
        <w:t xml:space="preserve"> (</w:t>
      </w:r>
      <w:proofErr w:type="spellStart"/>
      <w:r w:rsidRPr="003E1139">
        <w:rPr>
          <w:sz w:val="18"/>
          <w:szCs w:val="18"/>
        </w:rPr>
        <w:t>mid 6</w:t>
      </w:r>
      <w:r w:rsidRPr="003E1139">
        <w:rPr>
          <w:sz w:val="18"/>
          <w:szCs w:val="18"/>
          <w:vertAlign w:val="superscript"/>
        </w:rPr>
        <w:t>th</w:t>
      </w:r>
      <w:proofErr w:type="spellEnd"/>
      <w:r w:rsidRPr="003E1139">
        <w:rPr>
          <w:sz w:val="18"/>
          <w:szCs w:val="18"/>
        </w:rPr>
        <w:t xml:space="preserve"> century) based his </w:t>
      </w:r>
      <w:proofErr w:type="spellStart"/>
      <w:r w:rsidRPr="003E1139">
        <w:rPr>
          <w:i/>
          <w:sz w:val="18"/>
          <w:szCs w:val="18"/>
        </w:rPr>
        <w:t>Getica</w:t>
      </w:r>
      <w:proofErr w:type="spellEnd"/>
      <w:r w:rsidRPr="003E1139">
        <w:rPr>
          <w:sz w:val="18"/>
          <w:szCs w:val="18"/>
        </w:rPr>
        <w:t xml:space="preserve"> on earlier works by Cassiodorus on the origins and deeds of the Goths</w:t>
      </w:r>
      <w:r w:rsidR="00F46A02">
        <w:rPr>
          <w:sz w:val="18"/>
          <w:szCs w:val="18"/>
        </w:rPr>
        <w:t xml:space="preserve"> and it is possible that </w:t>
      </w:r>
      <w:proofErr w:type="spellStart"/>
      <w:r w:rsidR="00F46A02">
        <w:rPr>
          <w:sz w:val="18"/>
          <w:szCs w:val="18"/>
        </w:rPr>
        <w:t>Amatus</w:t>
      </w:r>
      <w:proofErr w:type="spellEnd"/>
      <w:r w:rsidR="00F46A02">
        <w:rPr>
          <w:sz w:val="18"/>
          <w:szCs w:val="18"/>
        </w:rPr>
        <w:t xml:space="preserve"> may have ‘borrowed’ the concept of a lack of land resource as a reason for migration</w:t>
      </w:r>
      <w:r w:rsidRPr="003E1139">
        <w:rPr>
          <w:sz w:val="18"/>
          <w:szCs w:val="18"/>
        </w:rPr>
        <w:t>.</w:t>
      </w:r>
    </w:p>
  </w:footnote>
  <w:footnote w:id="13">
    <w:p w:rsidR="0029226D" w:rsidRPr="003E1139" w:rsidRDefault="0029226D" w:rsidP="00CC0849">
      <w:pPr>
        <w:pStyle w:val="NoSpacing"/>
        <w:rPr>
          <w:sz w:val="18"/>
          <w:szCs w:val="18"/>
        </w:rPr>
      </w:pPr>
      <w:r w:rsidRPr="003E1139">
        <w:rPr>
          <w:rStyle w:val="FootnoteReference"/>
          <w:sz w:val="18"/>
          <w:szCs w:val="18"/>
        </w:rPr>
        <w:footnoteRef/>
      </w:r>
      <w:r w:rsidRPr="003E1139">
        <w:rPr>
          <w:sz w:val="18"/>
          <w:szCs w:val="18"/>
        </w:rPr>
        <w:t xml:space="preserve"> </w:t>
      </w:r>
      <w:r w:rsidR="002655AD" w:rsidRPr="003E1139">
        <w:rPr>
          <w:sz w:val="18"/>
          <w:szCs w:val="18"/>
        </w:rPr>
        <w:t xml:space="preserve">In the first redaction of Leo </w:t>
      </w:r>
      <w:proofErr w:type="spellStart"/>
      <w:r w:rsidR="002655AD" w:rsidRPr="003E1139">
        <w:rPr>
          <w:sz w:val="18"/>
          <w:szCs w:val="18"/>
        </w:rPr>
        <w:t>Marsicanus</w:t>
      </w:r>
      <w:proofErr w:type="spellEnd"/>
      <w:r w:rsidR="002655AD" w:rsidRPr="003E1139">
        <w:rPr>
          <w:sz w:val="18"/>
          <w:szCs w:val="18"/>
        </w:rPr>
        <w:t xml:space="preserve">’ </w:t>
      </w:r>
      <w:proofErr w:type="spellStart"/>
      <w:r w:rsidR="002655AD" w:rsidRPr="003E1139">
        <w:rPr>
          <w:i/>
          <w:sz w:val="18"/>
          <w:szCs w:val="18"/>
        </w:rPr>
        <w:t>Chronica</w:t>
      </w:r>
      <w:proofErr w:type="spellEnd"/>
      <w:r w:rsidR="002655AD" w:rsidRPr="003E1139">
        <w:rPr>
          <w:sz w:val="18"/>
          <w:szCs w:val="18"/>
        </w:rPr>
        <w:t xml:space="preserve">, the exiled </w:t>
      </w:r>
      <w:proofErr w:type="spellStart"/>
      <w:r w:rsidR="002655AD" w:rsidRPr="003E1139">
        <w:rPr>
          <w:sz w:val="18"/>
          <w:szCs w:val="18"/>
        </w:rPr>
        <w:t>Rodulf</w:t>
      </w:r>
      <w:proofErr w:type="spellEnd"/>
      <w:r w:rsidR="002655AD" w:rsidRPr="003E1139">
        <w:rPr>
          <w:sz w:val="18"/>
          <w:szCs w:val="18"/>
        </w:rPr>
        <w:t xml:space="preserve"> and men look for military service in Capua, cited by Wolf, </w:t>
      </w:r>
      <w:r w:rsidR="002655AD" w:rsidRPr="003E1139">
        <w:rPr>
          <w:i/>
          <w:sz w:val="18"/>
          <w:szCs w:val="18"/>
        </w:rPr>
        <w:t>Making History: the Normans and their Historians in Eleventh-Century Italy</w:t>
      </w:r>
      <w:r w:rsidR="002655AD" w:rsidRPr="003E1139">
        <w:rPr>
          <w:sz w:val="18"/>
          <w:szCs w:val="18"/>
        </w:rPr>
        <w:t>, p. 8.</w:t>
      </w:r>
    </w:p>
  </w:footnote>
  <w:footnote w:id="14">
    <w:p w:rsidR="00BA1CCA" w:rsidRPr="003E1139" w:rsidRDefault="00BA1CCA" w:rsidP="00CC0849">
      <w:pPr>
        <w:pStyle w:val="NoSpacing"/>
        <w:rPr>
          <w:sz w:val="18"/>
          <w:szCs w:val="18"/>
        </w:rPr>
      </w:pPr>
      <w:r w:rsidRPr="003E1139">
        <w:rPr>
          <w:rStyle w:val="FootnoteReference"/>
          <w:sz w:val="18"/>
          <w:szCs w:val="18"/>
        </w:rPr>
        <w:footnoteRef/>
      </w:r>
      <w:r w:rsidRPr="003E1139">
        <w:rPr>
          <w:sz w:val="18"/>
          <w:szCs w:val="18"/>
        </w:rPr>
        <w:t xml:space="preserve"> </w:t>
      </w:r>
      <w:proofErr w:type="spellStart"/>
      <w:r w:rsidRPr="003E1139">
        <w:rPr>
          <w:sz w:val="18"/>
          <w:szCs w:val="18"/>
        </w:rPr>
        <w:t>Amatus</w:t>
      </w:r>
      <w:proofErr w:type="spellEnd"/>
      <w:r w:rsidRPr="003E1139">
        <w:rPr>
          <w:sz w:val="18"/>
          <w:szCs w:val="18"/>
        </w:rPr>
        <w:t xml:space="preserve">, cited by Wolf, </w:t>
      </w:r>
      <w:r w:rsidR="00F46A02">
        <w:rPr>
          <w:i/>
          <w:sz w:val="18"/>
          <w:szCs w:val="18"/>
        </w:rPr>
        <w:t>ibid</w:t>
      </w:r>
      <w:proofErr w:type="gramStart"/>
      <w:r w:rsidR="00F46A02">
        <w:rPr>
          <w:i/>
          <w:sz w:val="18"/>
          <w:szCs w:val="18"/>
        </w:rPr>
        <w:t>,.</w:t>
      </w:r>
      <w:proofErr w:type="gramEnd"/>
      <w:r w:rsidR="00F46A02">
        <w:rPr>
          <w:i/>
          <w:sz w:val="18"/>
          <w:szCs w:val="18"/>
        </w:rPr>
        <w:t xml:space="preserve"> </w:t>
      </w:r>
      <w:r w:rsidR="002655AD" w:rsidRPr="003E1139">
        <w:rPr>
          <w:sz w:val="18"/>
          <w:szCs w:val="18"/>
        </w:rPr>
        <w:t>p. 10</w:t>
      </w:r>
      <w:r w:rsidRPr="003E1139">
        <w:rPr>
          <w:sz w:val="18"/>
          <w:szCs w:val="18"/>
        </w:rPr>
        <w:t>.</w:t>
      </w:r>
    </w:p>
  </w:footnote>
  <w:footnote w:id="15">
    <w:p w:rsidR="00BA1CCA" w:rsidRPr="003E1139" w:rsidRDefault="00BA1CCA" w:rsidP="00CC0849">
      <w:pPr>
        <w:pStyle w:val="NoSpacing"/>
        <w:rPr>
          <w:sz w:val="18"/>
          <w:szCs w:val="18"/>
        </w:rPr>
      </w:pPr>
      <w:r w:rsidRPr="003E1139">
        <w:rPr>
          <w:rStyle w:val="FootnoteReference"/>
          <w:sz w:val="18"/>
          <w:szCs w:val="18"/>
        </w:rPr>
        <w:footnoteRef/>
      </w:r>
      <w:r w:rsidRPr="003E1139">
        <w:rPr>
          <w:sz w:val="18"/>
          <w:szCs w:val="18"/>
        </w:rPr>
        <w:t xml:space="preserve"> </w:t>
      </w:r>
      <w:r w:rsidR="00401BCC">
        <w:rPr>
          <w:sz w:val="18"/>
          <w:szCs w:val="18"/>
        </w:rPr>
        <w:t xml:space="preserve">Wolf, </w:t>
      </w:r>
      <w:proofErr w:type="gramStart"/>
      <w:r w:rsidR="00F46A02">
        <w:rPr>
          <w:i/>
          <w:sz w:val="18"/>
          <w:szCs w:val="18"/>
        </w:rPr>
        <w:t>ibid.</w:t>
      </w:r>
      <w:r w:rsidR="00401BCC" w:rsidRPr="003E1139">
        <w:rPr>
          <w:sz w:val="18"/>
          <w:szCs w:val="18"/>
        </w:rPr>
        <w:t>,</w:t>
      </w:r>
      <w:proofErr w:type="gramEnd"/>
      <w:r w:rsidR="00401BCC" w:rsidRPr="003E1139">
        <w:rPr>
          <w:sz w:val="18"/>
          <w:szCs w:val="18"/>
        </w:rPr>
        <w:t xml:space="preserve"> </w:t>
      </w:r>
      <w:r w:rsidR="00401BCC">
        <w:rPr>
          <w:sz w:val="18"/>
          <w:szCs w:val="18"/>
        </w:rPr>
        <w:t>p. 92.</w:t>
      </w:r>
    </w:p>
  </w:footnote>
  <w:footnote w:id="16">
    <w:p w:rsidR="00FD6C9B" w:rsidRPr="003E1139" w:rsidRDefault="00FD6C9B" w:rsidP="00CC0849">
      <w:pPr>
        <w:pStyle w:val="NoSpacing"/>
        <w:rPr>
          <w:sz w:val="18"/>
          <w:szCs w:val="18"/>
        </w:rPr>
      </w:pPr>
      <w:r w:rsidRPr="003E1139">
        <w:rPr>
          <w:rStyle w:val="FootnoteReference"/>
          <w:sz w:val="18"/>
          <w:szCs w:val="18"/>
        </w:rPr>
        <w:footnoteRef/>
      </w:r>
      <w:r w:rsidRPr="003E1139">
        <w:rPr>
          <w:sz w:val="18"/>
          <w:szCs w:val="18"/>
        </w:rPr>
        <w:t xml:space="preserve"> Letter from John, Abbot of </w:t>
      </w:r>
      <w:proofErr w:type="spellStart"/>
      <w:r w:rsidRPr="003E1139">
        <w:rPr>
          <w:sz w:val="18"/>
          <w:szCs w:val="18"/>
        </w:rPr>
        <w:t>F</w:t>
      </w:r>
      <w:r w:rsidRPr="003E1139">
        <w:rPr>
          <w:rFonts w:cstheme="minorHAnsi"/>
          <w:sz w:val="18"/>
          <w:szCs w:val="18"/>
        </w:rPr>
        <w:t>é</w:t>
      </w:r>
      <w:r w:rsidRPr="003E1139">
        <w:rPr>
          <w:sz w:val="18"/>
          <w:szCs w:val="18"/>
        </w:rPr>
        <w:t>camp</w:t>
      </w:r>
      <w:proofErr w:type="spellEnd"/>
      <w:r w:rsidRPr="003E1139">
        <w:rPr>
          <w:sz w:val="18"/>
          <w:szCs w:val="18"/>
        </w:rPr>
        <w:t xml:space="preserve"> to Pope Leo IX</w:t>
      </w:r>
    </w:p>
  </w:footnote>
  <w:footnote w:id="17">
    <w:p w:rsidR="00A920E5" w:rsidRPr="003E1139" w:rsidRDefault="00A920E5">
      <w:pPr>
        <w:pStyle w:val="FootnoteText"/>
        <w:rPr>
          <w:sz w:val="18"/>
          <w:szCs w:val="18"/>
        </w:rPr>
      </w:pPr>
      <w:r w:rsidRPr="003E1139">
        <w:rPr>
          <w:rStyle w:val="FootnoteReference"/>
          <w:sz w:val="18"/>
          <w:szCs w:val="18"/>
        </w:rPr>
        <w:footnoteRef/>
      </w:r>
      <w:r w:rsidRPr="003E1139">
        <w:rPr>
          <w:sz w:val="18"/>
          <w:szCs w:val="18"/>
        </w:rPr>
        <w:t xml:space="preserve"> Letter from Leo IX </w:t>
      </w:r>
      <w:r w:rsidR="00563830">
        <w:rPr>
          <w:sz w:val="18"/>
          <w:szCs w:val="18"/>
        </w:rPr>
        <w:t xml:space="preserve">to emperor Constantine IX </w:t>
      </w:r>
      <w:proofErr w:type="spellStart"/>
      <w:r w:rsidR="00563830">
        <w:rPr>
          <w:sz w:val="18"/>
          <w:szCs w:val="18"/>
        </w:rPr>
        <w:t>Monom</w:t>
      </w:r>
      <w:r w:rsidRPr="003E1139">
        <w:rPr>
          <w:sz w:val="18"/>
          <w:szCs w:val="18"/>
        </w:rPr>
        <w:t>achus</w:t>
      </w:r>
      <w:proofErr w:type="spellEnd"/>
      <w:r w:rsidRPr="003E1139">
        <w:rPr>
          <w:sz w:val="18"/>
          <w:szCs w:val="18"/>
        </w:rPr>
        <w:t xml:space="preserve"> in January 1054, cited by K.B. Wolf, </w:t>
      </w:r>
      <w:r w:rsidRPr="003E1139">
        <w:rPr>
          <w:i/>
          <w:sz w:val="18"/>
          <w:szCs w:val="18"/>
        </w:rPr>
        <w:t>ibid.</w:t>
      </w:r>
      <w:r w:rsidR="00F46A02">
        <w:rPr>
          <w:i/>
          <w:sz w:val="18"/>
          <w:szCs w:val="18"/>
        </w:rPr>
        <w:t>,</w:t>
      </w:r>
      <w:r w:rsidRPr="003E1139">
        <w:rPr>
          <w:i/>
          <w:sz w:val="18"/>
          <w:szCs w:val="18"/>
        </w:rPr>
        <w:t xml:space="preserve"> </w:t>
      </w:r>
      <w:r w:rsidRPr="003E1139">
        <w:rPr>
          <w:sz w:val="18"/>
          <w:szCs w:val="18"/>
        </w:rPr>
        <w:t>p. 48</w:t>
      </w:r>
    </w:p>
  </w:footnote>
  <w:footnote w:id="18">
    <w:p w:rsidR="00A920E5" w:rsidRPr="003E1139" w:rsidRDefault="00A920E5">
      <w:pPr>
        <w:pStyle w:val="FootnoteText"/>
        <w:rPr>
          <w:sz w:val="18"/>
          <w:szCs w:val="18"/>
        </w:rPr>
      </w:pPr>
      <w:r w:rsidRPr="003E1139">
        <w:rPr>
          <w:rStyle w:val="FootnoteReference"/>
          <w:sz w:val="18"/>
          <w:szCs w:val="18"/>
        </w:rPr>
        <w:footnoteRef/>
      </w:r>
      <w:r w:rsidRPr="003E1139">
        <w:rPr>
          <w:sz w:val="18"/>
          <w:szCs w:val="18"/>
        </w:rPr>
        <w:t xml:space="preserve"> For example, </w:t>
      </w:r>
      <w:proofErr w:type="spellStart"/>
      <w:r w:rsidRPr="003E1139">
        <w:rPr>
          <w:i/>
          <w:iCs/>
          <w:sz w:val="18"/>
          <w:szCs w:val="18"/>
        </w:rPr>
        <w:t>Gesta</w:t>
      </w:r>
      <w:proofErr w:type="spellEnd"/>
      <w:r w:rsidRPr="003E1139">
        <w:rPr>
          <w:i/>
          <w:iCs/>
          <w:sz w:val="18"/>
          <w:szCs w:val="18"/>
        </w:rPr>
        <w:t xml:space="preserve"> </w:t>
      </w:r>
      <w:proofErr w:type="spellStart"/>
      <w:r w:rsidRPr="003E1139">
        <w:rPr>
          <w:i/>
          <w:iCs/>
          <w:sz w:val="18"/>
          <w:szCs w:val="18"/>
        </w:rPr>
        <w:t>Wiscardi</w:t>
      </w:r>
      <w:proofErr w:type="spellEnd"/>
      <w:r w:rsidRPr="003E1139">
        <w:rPr>
          <w:sz w:val="18"/>
          <w:szCs w:val="18"/>
        </w:rPr>
        <w:t xml:space="preserve">, William of Apulia and </w:t>
      </w:r>
      <w:r w:rsidR="008E080B" w:rsidRPr="003E1139">
        <w:rPr>
          <w:i/>
          <w:sz w:val="18"/>
          <w:szCs w:val="18"/>
        </w:rPr>
        <w:t xml:space="preserve">De rebus </w:t>
      </w:r>
      <w:proofErr w:type="spellStart"/>
      <w:r w:rsidR="008E080B" w:rsidRPr="003E1139">
        <w:rPr>
          <w:i/>
          <w:sz w:val="18"/>
          <w:szCs w:val="18"/>
        </w:rPr>
        <w:t>gestis</w:t>
      </w:r>
      <w:proofErr w:type="spellEnd"/>
      <w:r w:rsidR="008E080B" w:rsidRPr="003E1139">
        <w:rPr>
          <w:i/>
          <w:sz w:val="18"/>
          <w:szCs w:val="18"/>
        </w:rPr>
        <w:t xml:space="preserve"> </w:t>
      </w:r>
      <w:proofErr w:type="spellStart"/>
      <w:r w:rsidR="008E080B" w:rsidRPr="003E1139">
        <w:rPr>
          <w:i/>
          <w:sz w:val="18"/>
          <w:szCs w:val="18"/>
        </w:rPr>
        <w:t>Rogerii</w:t>
      </w:r>
      <w:proofErr w:type="spellEnd"/>
      <w:r w:rsidR="008E080B" w:rsidRPr="003E1139">
        <w:rPr>
          <w:i/>
          <w:sz w:val="18"/>
          <w:szCs w:val="18"/>
        </w:rPr>
        <w:t xml:space="preserve"> </w:t>
      </w:r>
      <w:proofErr w:type="gramStart"/>
      <w:r w:rsidR="008E080B" w:rsidRPr="003E1139">
        <w:rPr>
          <w:i/>
          <w:sz w:val="18"/>
          <w:szCs w:val="18"/>
        </w:rPr>
        <w:t>et</w:t>
      </w:r>
      <w:proofErr w:type="gramEnd"/>
      <w:r w:rsidR="008E080B" w:rsidRPr="003E1139">
        <w:rPr>
          <w:i/>
          <w:sz w:val="18"/>
          <w:szCs w:val="18"/>
        </w:rPr>
        <w:t xml:space="preserve"> </w:t>
      </w:r>
      <w:proofErr w:type="spellStart"/>
      <w:r w:rsidR="008E080B" w:rsidRPr="003E1139">
        <w:rPr>
          <w:i/>
          <w:sz w:val="18"/>
          <w:szCs w:val="18"/>
        </w:rPr>
        <w:t>Robertii</w:t>
      </w:r>
      <w:proofErr w:type="spellEnd"/>
      <w:r w:rsidR="008E080B" w:rsidRPr="003E1139">
        <w:rPr>
          <w:i/>
          <w:sz w:val="18"/>
          <w:szCs w:val="18"/>
        </w:rPr>
        <w:t xml:space="preserve">, </w:t>
      </w:r>
      <w:r w:rsidRPr="003E1139">
        <w:rPr>
          <w:sz w:val="18"/>
          <w:szCs w:val="18"/>
        </w:rPr>
        <w:t xml:space="preserve">Geoffrey </w:t>
      </w:r>
      <w:proofErr w:type="spellStart"/>
      <w:r w:rsidRPr="003E1139">
        <w:rPr>
          <w:sz w:val="18"/>
          <w:szCs w:val="18"/>
        </w:rPr>
        <w:t>Malaterra</w:t>
      </w:r>
      <w:proofErr w:type="spellEnd"/>
      <w:r w:rsidRPr="003E1139">
        <w:rPr>
          <w:sz w:val="18"/>
          <w:szCs w:val="18"/>
        </w:rPr>
        <w:t>.</w:t>
      </w:r>
    </w:p>
  </w:footnote>
  <w:footnote w:id="19">
    <w:p w:rsidR="00A920E5" w:rsidRPr="003E1139" w:rsidRDefault="00A920E5" w:rsidP="00A920E5">
      <w:pPr>
        <w:pStyle w:val="FootnoteText"/>
        <w:rPr>
          <w:sz w:val="18"/>
          <w:szCs w:val="18"/>
        </w:rPr>
      </w:pPr>
      <w:r w:rsidRPr="003E1139">
        <w:rPr>
          <w:rStyle w:val="FootnoteReference"/>
          <w:sz w:val="18"/>
          <w:szCs w:val="18"/>
        </w:rPr>
        <w:footnoteRef/>
      </w:r>
      <w:r w:rsidR="00252150">
        <w:rPr>
          <w:sz w:val="18"/>
          <w:szCs w:val="18"/>
        </w:rPr>
        <w:t xml:space="preserve"> </w:t>
      </w:r>
      <w:r w:rsidRPr="003E1139">
        <w:rPr>
          <w:sz w:val="18"/>
          <w:szCs w:val="18"/>
        </w:rPr>
        <w:t xml:space="preserve">Gilbert was wanted by Count Robert of Normandy for the murder of one of his viscounts, Wolf, </w:t>
      </w:r>
      <w:proofErr w:type="gramStart"/>
      <w:r w:rsidR="00F46A02">
        <w:rPr>
          <w:i/>
          <w:sz w:val="18"/>
          <w:szCs w:val="18"/>
        </w:rPr>
        <w:t>ibid.,</w:t>
      </w:r>
      <w:proofErr w:type="gramEnd"/>
      <w:r w:rsidRPr="003E1139">
        <w:rPr>
          <w:i/>
          <w:sz w:val="18"/>
          <w:szCs w:val="18"/>
        </w:rPr>
        <w:t xml:space="preserve"> </w:t>
      </w:r>
      <w:r w:rsidRPr="003E1139">
        <w:rPr>
          <w:sz w:val="18"/>
          <w:szCs w:val="18"/>
        </w:rPr>
        <w:t xml:space="preserve">p. 93. </w:t>
      </w:r>
    </w:p>
  </w:footnote>
  <w:footnote w:id="20">
    <w:p w:rsidR="00A920E5" w:rsidRPr="003E1139" w:rsidRDefault="00A920E5" w:rsidP="00A920E5">
      <w:pPr>
        <w:pStyle w:val="FootnoteText"/>
        <w:rPr>
          <w:sz w:val="18"/>
          <w:szCs w:val="18"/>
        </w:rPr>
      </w:pPr>
      <w:r w:rsidRPr="003E1139">
        <w:rPr>
          <w:rStyle w:val="FootnoteReference"/>
          <w:sz w:val="18"/>
          <w:szCs w:val="18"/>
        </w:rPr>
        <w:footnoteRef/>
      </w:r>
      <w:r w:rsidRPr="003E1139">
        <w:rPr>
          <w:sz w:val="18"/>
          <w:szCs w:val="18"/>
        </w:rPr>
        <w:t xml:space="preserve"> Wolf</w:t>
      </w:r>
      <w:r w:rsidR="00290E43">
        <w:rPr>
          <w:sz w:val="18"/>
          <w:szCs w:val="18"/>
        </w:rPr>
        <w:t>,</w:t>
      </w:r>
      <w:r w:rsidRPr="003E1139">
        <w:rPr>
          <w:sz w:val="18"/>
          <w:szCs w:val="18"/>
        </w:rPr>
        <w:t xml:space="preserve"> </w:t>
      </w:r>
      <w:r w:rsidR="00F46A02">
        <w:rPr>
          <w:i/>
          <w:sz w:val="18"/>
          <w:szCs w:val="18"/>
        </w:rPr>
        <w:t>ibid.,</w:t>
      </w:r>
      <w:r w:rsidR="00563830" w:rsidRPr="003E1139">
        <w:rPr>
          <w:sz w:val="18"/>
          <w:szCs w:val="18"/>
        </w:rPr>
        <w:t xml:space="preserve"> </w:t>
      </w:r>
      <w:r w:rsidRPr="003E1139">
        <w:rPr>
          <w:sz w:val="18"/>
          <w:szCs w:val="18"/>
        </w:rPr>
        <w:t>p. 104</w:t>
      </w:r>
    </w:p>
  </w:footnote>
  <w:footnote w:id="21">
    <w:p w:rsidR="0060163B" w:rsidRPr="0060163B" w:rsidRDefault="0060163B">
      <w:pPr>
        <w:pStyle w:val="FootnoteText"/>
        <w:rPr>
          <w:i/>
          <w:sz w:val="18"/>
          <w:szCs w:val="18"/>
        </w:rPr>
      </w:pPr>
      <w:r w:rsidRPr="0060163B">
        <w:rPr>
          <w:rStyle w:val="FootnoteReference"/>
          <w:sz w:val="18"/>
          <w:szCs w:val="18"/>
        </w:rPr>
        <w:footnoteRef/>
      </w:r>
      <w:r w:rsidRPr="0060163B">
        <w:rPr>
          <w:sz w:val="18"/>
          <w:szCs w:val="18"/>
        </w:rPr>
        <w:t xml:space="preserve"> </w:t>
      </w:r>
      <w:r w:rsidR="005C6B6A">
        <w:rPr>
          <w:sz w:val="18"/>
          <w:szCs w:val="18"/>
        </w:rPr>
        <w:t xml:space="preserve">For example the Norman historian </w:t>
      </w:r>
      <w:proofErr w:type="spellStart"/>
      <w:r w:rsidR="005C6B6A">
        <w:rPr>
          <w:sz w:val="18"/>
          <w:szCs w:val="18"/>
        </w:rPr>
        <w:t>Dudo</w:t>
      </w:r>
      <w:proofErr w:type="spellEnd"/>
      <w:r w:rsidR="005C6B6A">
        <w:rPr>
          <w:sz w:val="18"/>
          <w:szCs w:val="18"/>
        </w:rPr>
        <w:t xml:space="preserve"> of St Quentin, </w:t>
      </w:r>
      <w:r>
        <w:rPr>
          <w:sz w:val="18"/>
          <w:szCs w:val="18"/>
        </w:rPr>
        <w:t xml:space="preserve">G.A. </w:t>
      </w:r>
      <w:r w:rsidRPr="0060163B">
        <w:rPr>
          <w:sz w:val="18"/>
          <w:szCs w:val="18"/>
        </w:rPr>
        <w:t xml:space="preserve">Loud, </w:t>
      </w:r>
      <w:r w:rsidRPr="003E1139">
        <w:rPr>
          <w:sz w:val="18"/>
          <w:szCs w:val="18"/>
        </w:rPr>
        <w:t xml:space="preserve">The ‘Gens </w:t>
      </w:r>
      <w:proofErr w:type="spellStart"/>
      <w:r w:rsidRPr="003E1139">
        <w:rPr>
          <w:sz w:val="18"/>
          <w:szCs w:val="18"/>
        </w:rPr>
        <w:t>Normannorum</w:t>
      </w:r>
      <w:proofErr w:type="spellEnd"/>
      <w:r w:rsidRPr="003E1139">
        <w:rPr>
          <w:sz w:val="18"/>
          <w:szCs w:val="18"/>
        </w:rPr>
        <w:t xml:space="preserve">’ – Myth or Reality?, </w:t>
      </w:r>
      <w:r w:rsidRPr="003E1139">
        <w:rPr>
          <w:i/>
          <w:sz w:val="18"/>
          <w:szCs w:val="18"/>
        </w:rPr>
        <w:t>Proceedings of the Battle Conference on Anglo-Norman Studies IV</w:t>
      </w:r>
      <w:r w:rsidRPr="003E1139">
        <w:rPr>
          <w:sz w:val="18"/>
          <w:szCs w:val="18"/>
        </w:rPr>
        <w:t>, ed. Reginald A. Brown (</w:t>
      </w:r>
      <w:proofErr w:type="spellStart"/>
      <w:r w:rsidRPr="003E1139">
        <w:rPr>
          <w:sz w:val="18"/>
          <w:szCs w:val="18"/>
        </w:rPr>
        <w:t>Boydell</w:t>
      </w:r>
      <w:proofErr w:type="spellEnd"/>
      <w:r w:rsidRPr="003E1139">
        <w:rPr>
          <w:sz w:val="18"/>
          <w:szCs w:val="18"/>
        </w:rPr>
        <w:t>: New Jersey, 1982), pp. 104-209,</w:t>
      </w:r>
      <w:r>
        <w:rPr>
          <w:sz w:val="18"/>
          <w:szCs w:val="18"/>
        </w:rPr>
        <w:t xml:space="preserve"> p. 113.</w:t>
      </w:r>
    </w:p>
  </w:footnote>
  <w:footnote w:id="22">
    <w:p w:rsidR="001848F7" w:rsidRPr="003D7F5C" w:rsidRDefault="001848F7">
      <w:pPr>
        <w:pStyle w:val="FootnoteText"/>
      </w:pPr>
      <w:r w:rsidRPr="003E1139">
        <w:rPr>
          <w:rStyle w:val="FootnoteReference"/>
          <w:sz w:val="18"/>
          <w:szCs w:val="18"/>
        </w:rPr>
        <w:footnoteRef/>
      </w:r>
      <w:r w:rsidRPr="003E1139">
        <w:rPr>
          <w:sz w:val="18"/>
          <w:szCs w:val="18"/>
        </w:rPr>
        <w:t xml:space="preserve"> R.H.C, Davis, cited by</w:t>
      </w:r>
      <w:r w:rsidR="00563830">
        <w:rPr>
          <w:sz w:val="18"/>
          <w:szCs w:val="18"/>
        </w:rPr>
        <w:t xml:space="preserve"> </w:t>
      </w:r>
      <w:r w:rsidRPr="003E1139">
        <w:rPr>
          <w:sz w:val="18"/>
          <w:szCs w:val="18"/>
        </w:rPr>
        <w:t xml:space="preserve">Loud, </w:t>
      </w:r>
      <w:proofErr w:type="gramStart"/>
      <w:r w:rsidR="00F46A02">
        <w:rPr>
          <w:i/>
          <w:sz w:val="18"/>
          <w:szCs w:val="18"/>
        </w:rPr>
        <w:t>ibid.,</w:t>
      </w:r>
      <w:proofErr w:type="gramEnd"/>
      <w:r w:rsidR="003D7F5C" w:rsidRPr="003E1139">
        <w:rPr>
          <w:sz w:val="18"/>
          <w:szCs w:val="18"/>
        </w:rPr>
        <w:t xml:space="preserve"> p. 109.</w:t>
      </w:r>
    </w:p>
  </w:footnote>
  <w:footnote w:id="23">
    <w:p w:rsidR="003D7F5C" w:rsidRPr="003E1139" w:rsidRDefault="003D7F5C">
      <w:pPr>
        <w:pStyle w:val="FootnoteText"/>
        <w:rPr>
          <w:sz w:val="18"/>
          <w:szCs w:val="18"/>
        </w:rPr>
      </w:pPr>
      <w:r w:rsidRPr="003E1139">
        <w:rPr>
          <w:rStyle w:val="FootnoteReference"/>
          <w:sz w:val="18"/>
          <w:szCs w:val="18"/>
        </w:rPr>
        <w:footnoteRef/>
      </w:r>
      <w:r w:rsidRPr="003E1139">
        <w:rPr>
          <w:sz w:val="18"/>
          <w:szCs w:val="18"/>
        </w:rPr>
        <w:t xml:space="preserve"> </w:t>
      </w:r>
      <w:r w:rsidR="00BF10C6" w:rsidRPr="003E1139">
        <w:rPr>
          <w:sz w:val="18"/>
          <w:szCs w:val="18"/>
        </w:rPr>
        <w:t xml:space="preserve">G.A. Loud, The ‘Gens </w:t>
      </w:r>
      <w:proofErr w:type="spellStart"/>
      <w:r w:rsidR="00BF10C6" w:rsidRPr="003E1139">
        <w:rPr>
          <w:sz w:val="18"/>
          <w:szCs w:val="18"/>
        </w:rPr>
        <w:t>Normannorum</w:t>
      </w:r>
      <w:proofErr w:type="spellEnd"/>
      <w:r w:rsidR="00BF10C6" w:rsidRPr="003E1139">
        <w:rPr>
          <w:sz w:val="18"/>
          <w:szCs w:val="18"/>
        </w:rPr>
        <w:t>’ – Myth or Reality?</w:t>
      </w:r>
      <w:proofErr w:type="gramStart"/>
      <w:r w:rsidR="00BF10C6" w:rsidRPr="003E1139">
        <w:rPr>
          <w:sz w:val="18"/>
          <w:szCs w:val="18"/>
        </w:rPr>
        <w:t>,  p</w:t>
      </w:r>
      <w:proofErr w:type="gramEnd"/>
      <w:r w:rsidR="00BF10C6" w:rsidRPr="003E1139">
        <w:rPr>
          <w:sz w:val="18"/>
          <w:szCs w:val="18"/>
        </w:rPr>
        <w:t xml:space="preserve">. 109; K.B. Wolf, </w:t>
      </w:r>
      <w:r w:rsidR="00BF10C6" w:rsidRPr="003E1139">
        <w:rPr>
          <w:i/>
          <w:sz w:val="18"/>
          <w:szCs w:val="18"/>
        </w:rPr>
        <w:t>Making History: The Normans and Their Historians in Eleventh-Century Italy</w:t>
      </w:r>
      <w:r w:rsidR="00BF10C6" w:rsidRPr="003E1139">
        <w:rPr>
          <w:sz w:val="18"/>
          <w:szCs w:val="18"/>
        </w:rPr>
        <w:t xml:space="preserve">; N. Webber, </w:t>
      </w:r>
      <w:r w:rsidR="00BF10C6" w:rsidRPr="003E1139">
        <w:rPr>
          <w:i/>
          <w:sz w:val="18"/>
          <w:szCs w:val="18"/>
        </w:rPr>
        <w:t>The Evolution of Norman Identity</w:t>
      </w:r>
      <w:r w:rsidR="00BF10C6" w:rsidRPr="003E1139">
        <w:rPr>
          <w:sz w:val="18"/>
          <w:szCs w:val="18"/>
        </w:rPr>
        <w:t xml:space="preserve"> (Cambridge University Press, 2005)</w:t>
      </w:r>
      <w:r w:rsidR="00563830">
        <w:rPr>
          <w:sz w:val="18"/>
          <w:szCs w:val="18"/>
        </w:rPr>
        <w:t>.</w:t>
      </w:r>
      <w:r w:rsidR="00BF10C6" w:rsidRPr="003E1139">
        <w:rPr>
          <w:sz w:val="18"/>
          <w:szCs w:val="18"/>
        </w:rPr>
        <w:t xml:space="preserve"> </w:t>
      </w:r>
    </w:p>
  </w:footnote>
  <w:footnote w:id="24">
    <w:p w:rsidR="00AB7687" w:rsidRPr="003E1139" w:rsidRDefault="00AB7687" w:rsidP="00AB7687">
      <w:pPr>
        <w:pStyle w:val="FootnoteText"/>
        <w:rPr>
          <w:sz w:val="18"/>
          <w:szCs w:val="18"/>
        </w:rPr>
      </w:pPr>
      <w:r w:rsidRPr="003E1139">
        <w:rPr>
          <w:rStyle w:val="FootnoteReference"/>
          <w:sz w:val="18"/>
          <w:szCs w:val="18"/>
        </w:rPr>
        <w:footnoteRef/>
      </w:r>
      <w:r w:rsidRPr="003E1139">
        <w:rPr>
          <w:sz w:val="18"/>
          <w:szCs w:val="18"/>
        </w:rPr>
        <w:t xml:space="preserve"> </w:t>
      </w:r>
      <w:r w:rsidR="00563830" w:rsidRPr="003E1139">
        <w:rPr>
          <w:sz w:val="18"/>
          <w:szCs w:val="18"/>
        </w:rPr>
        <w:t xml:space="preserve">Wolf, </w:t>
      </w:r>
      <w:proofErr w:type="gramStart"/>
      <w:r w:rsidR="00F46A02">
        <w:rPr>
          <w:i/>
          <w:sz w:val="18"/>
          <w:szCs w:val="18"/>
        </w:rPr>
        <w:t>ibid.</w:t>
      </w:r>
      <w:r w:rsidR="00563830" w:rsidRPr="003E1139">
        <w:rPr>
          <w:sz w:val="18"/>
          <w:szCs w:val="18"/>
        </w:rPr>
        <w:t>,</w:t>
      </w:r>
      <w:proofErr w:type="gramEnd"/>
      <w:r w:rsidR="00563830" w:rsidRPr="003E1139">
        <w:rPr>
          <w:sz w:val="18"/>
          <w:szCs w:val="18"/>
        </w:rPr>
        <w:t xml:space="preserve"> </w:t>
      </w:r>
      <w:r w:rsidRPr="003E1139">
        <w:rPr>
          <w:sz w:val="18"/>
          <w:szCs w:val="18"/>
        </w:rPr>
        <w:t>p. 93.</w:t>
      </w:r>
    </w:p>
  </w:footnote>
  <w:footnote w:id="25">
    <w:p w:rsidR="00216411" w:rsidRPr="00D3241B" w:rsidRDefault="00216411">
      <w:pPr>
        <w:pStyle w:val="FootnoteText"/>
        <w:rPr>
          <w:sz w:val="18"/>
          <w:szCs w:val="18"/>
        </w:rPr>
      </w:pPr>
      <w:r w:rsidRPr="00D3241B">
        <w:rPr>
          <w:rStyle w:val="FootnoteReference"/>
          <w:sz w:val="18"/>
          <w:szCs w:val="18"/>
        </w:rPr>
        <w:footnoteRef/>
      </w:r>
      <w:r w:rsidR="00563830">
        <w:rPr>
          <w:sz w:val="18"/>
          <w:szCs w:val="18"/>
        </w:rPr>
        <w:t xml:space="preserve"> Wolf, </w:t>
      </w:r>
      <w:r w:rsidR="00F46A02">
        <w:rPr>
          <w:i/>
          <w:sz w:val="18"/>
          <w:szCs w:val="18"/>
        </w:rPr>
        <w:t>ibid.,</w:t>
      </w:r>
      <w:r w:rsidR="00563830">
        <w:rPr>
          <w:sz w:val="18"/>
          <w:szCs w:val="18"/>
        </w:rPr>
        <w:t xml:space="preserve"> </w:t>
      </w:r>
      <w:r w:rsidR="00D3241B">
        <w:rPr>
          <w:sz w:val="18"/>
          <w:szCs w:val="18"/>
        </w:rPr>
        <w:t>p</w:t>
      </w:r>
      <w:r w:rsidRPr="00D3241B">
        <w:rPr>
          <w:sz w:val="18"/>
          <w:szCs w:val="18"/>
        </w:rPr>
        <w:t>. 117</w:t>
      </w:r>
    </w:p>
  </w:footnote>
  <w:footnote w:id="26">
    <w:p w:rsidR="007416D8" w:rsidRPr="007416D8" w:rsidRDefault="007416D8">
      <w:pPr>
        <w:pStyle w:val="FootnoteText"/>
      </w:pPr>
      <w:r w:rsidRPr="00D3241B">
        <w:rPr>
          <w:rStyle w:val="FootnoteReference"/>
          <w:sz w:val="18"/>
          <w:szCs w:val="18"/>
        </w:rPr>
        <w:footnoteRef/>
      </w:r>
      <w:r w:rsidRPr="00D3241B">
        <w:rPr>
          <w:sz w:val="18"/>
          <w:szCs w:val="18"/>
        </w:rPr>
        <w:t xml:space="preserve"> </w:t>
      </w:r>
      <w:proofErr w:type="spellStart"/>
      <w:r w:rsidRPr="00D3241B">
        <w:rPr>
          <w:i/>
          <w:sz w:val="18"/>
          <w:szCs w:val="18"/>
        </w:rPr>
        <w:t>Dialogi</w:t>
      </w:r>
      <w:proofErr w:type="spellEnd"/>
      <w:r w:rsidRPr="00D3241B">
        <w:rPr>
          <w:i/>
          <w:sz w:val="18"/>
          <w:szCs w:val="18"/>
        </w:rPr>
        <w:t xml:space="preserve"> de </w:t>
      </w:r>
      <w:proofErr w:type="spellStart"/>
      <w:r w:rsidRPr="00D3241B">
        <w:rPr>
          <w:i/>
          <w:sz w:val="18"/>
          <w:szCs w:val="18"/>
        </w:rPr>
        <w:t>miraculis</w:t>
      </w:r>
      <w:proofErr w:type="spellEnd"/>
      <w:r w:rsidRPr="00D3241B">
        <w:rPr>
          <w:i/>
          <w:sz w:val="18"/>
          <w:szCs w:val="18"/>
        </w:rPr>
        <w:t xml:space="preserve"> </w:t>
      </w:r>
      <w:proofErr w:type="spellStart"/>
      <w:r w:rsidRPr="00D3241B">
        <w:rPr>
          <w:i/>
          <w:sz w:val="18"/>
          <w:szCs w:val="18"/>
        </w:rPr>
        <w:t>sancti</w:t>
      </w:r>
      <w:proofErr w:type="spellEnd"/>
      <w:r w:rsidRPr="00D3241B">
        <w:rPr>
          <w:i/>
          <w:sz w:val="18"/>
          <w:szCs w:val="18"/>
        </w:rPr>
        <w:t xml:space="preserve"> </w:t>
      </w:r>
      <w:proofErr w:type="spellStart"/>
      <w:r w:rsidRPr="00D3241B">
        <w:rPr>
          <w:i/>
          <w:sz w:val="18"/>
          <w:szCs w:val="18"/>
        </w:rPr>
        <w:t>Benedicti</w:t>
      </w:r>
      <w:proofErr w:type="spellEnd"/>
      <w:r w:rsidRPr="00D3241B">
        <w:rPr>
          <w:sz w:val="18"/>
          <w:szCs w:val="18"/>
        </w:rPr>
        <w:t>, written by Desiderius between 1076 and 1079, Wolf</w:t>
      </w:r>
      <w:r w:rsidR="00AC7E54" w:rsidRPr="00D3241B">
        <w:rPr>
          <w:sz w:val="18"/>
          <w:szCs w:val="18"/>
        </w:rPr>
        <w:t xml:space="preserve">, </w:t>
      </w:r>
      <w:proofErr w:type="gramStart"/>
      <w:r w:rsidR="00F46A02">
        <w:rPr>
          <w:i/>
          <w:sz w:val="18"/>
          <w:szCs w:val="18"/>
        </w:rPr>
        <w:t>ibid.</w:t>
      </w:r>
      <w:r w:rsidR="00AC7E54" w:rsidRPr="00D3241B">
        <w:rPr>
          <w:i/>
          <w:sz w:val="18"/>
          <w:szCs w:val="18"/>
        </w:rPr>
        <w:t>,</w:t>
      </w:r>
      <w:proofErr w:type="gramEnd"/>
      <w:r w:rsidR="00AC7E54" w:rsidRPr="00D3241B">
        <w:rPr>
          <w:i/>
          <w:sz w:val="18"/>
          <w:szCs w:val="18"/>
        </w:rPr>
        <w:t xml:space="preserve"> </w:t>
      </w:r>
      <w:r w:rsidR="00AC7E54" w:rsidRPr="00D3241B">
        <w:rPr>
          <w:sz w:val="18"/>
          <w:szCs w:val="18"/>
        </w:rPr>
        <w:t>p. 73.</w:t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3E1139" w:rsidRPr="003E1139" w:rsidRDefault="003E1139">
    <w:pPr>
      <w:pStyle w:val="Header"/>
      <w:rPr>
        <w:b/>
      </w:rPr>
    </w:pPr>
    <w:proofErr w:type="spellStart"/>
    <w:r>
      <w:rPr>
        <w:b/>
      </w:rPr>
      <w:t>Amatus</w:t>
    </w:r>
    <w:proofErr w:type="spellEnd"/>
    <w:r>
      <w:rPr>
        <w:b/>
      </w:rPr>
      <w:t xml:space="preserve"> of </w:t>
    </w:r>
    <w:proofErr w:type="spellStart"/>
    <w:r>
      <w:rPr>
        <w:b/>
      </w:rPr>
      <w:t>Montecassino</w:t>
    </w:r>
    <w:proofErr w:type="spellEnd"/>
    <w:r>
      <w:rPr>
        <w:b/>
      </w:rPr>
      <w:t>: The History of the Normans</w:t>
    </w:r>
    <w:r>
      <w:rPr>
        <w:b/>
      </w:rPr>
      <w:tab/>
      <w:t>Andrew Jones</w:t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F37672C"/>
    <w:multiLevelType w:val="multilevel"/>
    <w:tmpl w:val="9AD2F1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3BCC5134"/>
    <w:multiLevelType w:val="multilevel"/>
    <w:tmpl w:val="7A3825F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>
      <w:start w:val="1"/>
      <w:numFmt w:val="decimal"/>
      <w:lvlText w:val="%3)"/>
      <w:lvlJc w:val="left"/>
      <w:pPr>
        <w:ind w:left="2160" w:hanging="360"/>
      </w:pPr>
      <w:rPr>
        <w:rFonts w:hint="default"/>
      </w:rPr>
    </w:lvl>
    <w:lvl w:ilvl="3">
      <w:start w:val="1"/>
      <w:numFmt w:val="bullet"/>
      <w:lvlText w:val="-"/>
      <w:lvlJc w:val="left"/>
      <w:pPr>
        <w:ind w:left="2880" w:hanging="360"/>
      </w:pPr>
      <w:rPr>
        <w:rFonts w:ascii="Calibri" w:eastAsiaTheme="minorHAnsi" w:hAnsi="Calibri" w:cs="Calibri" w:hint="default"/>
      </w:r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4D033B7A"/>
    <w:multiLevelType w:val="multilevel"/>
    <w:tmpl w:val="F2E28BB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34AF8"/>
    <w:rsid w:val="0001481E"/>
    <w:rsid w:val="0004512E"/>
    <w:rsid w:val="0005757B"/>
    <w:rsid w:val="00060826"/>
    <w:rsid w:val="000918C8"/>
    <w:rsid w:val="000A53B5"/>
    <w:rsid w:val="00150922"/>
    <w:rsid w:val="00151AA5"/>
    <w:rsid w:val="001549AF"/>
    <w:rsid w:val="001848F7"/>
    <w:rsid w:val="00190468"/>
    <w:rsid w:val="001D5E6E"/>
    <w:rsid w:val="00216411"/>
    <w:rsid w:val="002464E0"/>
    <w:rsid w:val="002471CB"/>
    <w:rsid w:val="00252150"/>
    <w:rsid w:val="00257915"/>
    <w:rsid w:val="002655AD"/>
    <w:rsid w:val="00290E43"/>
    <w:rsid w:val="0029226D"/>
    <w:rsid w:val="002F337D"/>
    <w:rsid w:val="0030042D"/>
    <w:rsid w:val="00323A2F"/>
    <w:rsid w:val="00324137"/>
    <w:rsid w:val="0034662C"/>
    <w:rsid w:val="00346B06"/>
    <w:rsid w:val="00364702"/>
    <w:rsid w:val="003A585D"/>
    <w:rsid w:val="003B3909"/>
    <w:rsid w:val="003B76A2"/>
    <w:rsid w:val="003D7F5C"/>
    <w:rsid w:val="003E1139"/>
    <w:rsid w:val="003F6B1C"/>
    <w:rsid w:val="00401BCC"/>
    <w:rsid w:val="004112F9"/>
    <w:rsid w:val="0043765A"/>
    <w:rsid w:val="0044283B"/>
    <w:rsid w:val="00482ED7"/>
    <w:rsid w:val="004A339E"/>
    <w:rsid w:val="004F22B3"/>
    <w:rsid w:val="00563830"/>
    <w:rsid w:val="00564695"/>
    <w:rsid w:val="00585821"/>
    <w:rsid w:val="005B710A"/>
    <w:rsid w:val="005C6B6A"/>
    <w:rsid w:val="005D007D"/>
    <w:rsid w:val="005D2574"/>
    <w:rsid w:val="005D5604"/>
    <w:rsid w:val="005E6968"/>
    <w:rsid w:val="0060163B"/>
    <w:rsid w:val="00602675"/>
    <w:rsid w:val="00625089"/>
    <w:rsid w:val="0065312B"/>
    <w:rsid w:val="00654D31"/>
    <w:rsid w:val="00674F0B"/>
    <w:rsid w:val="00684FFC"/>
    <w:rsid w:val="00696FA2"/>
    <w:rsid w:val="006B4D94"/>
    <w:rsid w:val="006D7A2B"/>
    <w:rsid w:val="0073474D"/>
    <w:rsid w:val="007416D8"/>
    <w:rsid w:val="00745337"/>
    <w:rsid w:val="00753657"/>
    <w:rsid w:val="00753942"/>
    <w:rsid w:val="00790195"/>
    <w:rsid w:val="007B0ECF"/>
    <w:rsid w:val="007F1C60"/>
    <w:rsid w:val="008B5375"/>
    <w:rsid w:val="008D30C5"/>
    <w:rsid w:val="008E080B"/>
    <w:rsid w:val="008F0801"/>
    <w:rsid w:val="00902A56"/>
    <w:rsid w:val="0092515A"/>
    <w:rsid w:val="00927A05"/>
    <w:rsid w:val="009518C7"/>
    <w:rsid w:val="009B58F2"/>
    <w:rsid w:val="009D5D2F"/>
    <w:rsid w:val="00A26F45"/>
    <w:rsid w:val="00A400DE"/>
    <w:rsid w:val="00A448A2"/>
    <w:rsid w:val="00A70DD6"/>
    <w:rsid w:val="00A9091C"/>
    <w:rsid w:val="00A920E5"/>
    <w:rsid w:val="00A94546"/>
    <w:rsid w:val="00AB0BFD"/>
    <w:rsid w:val="00AB7687"/>
    <w:rsid w:val="00AC2D77"/>
    <w:rsid w:val="00AC6C96"/>
    <w:rsid w:val="00AC777D"/>
    <w:rsid w:val="00AC781F"/>
    <w:rsid w:val="00AC7E54"/>
    <w:rsid w:val="00AD0618"/>
    <w:rsid w:val="00B23152"/>
    <w:rsid w:val="00BA1CCA"/>
    <w:rsid w:val="00BC5166"/>
    <w:rsid w:val="00BF068B"/>
    <w:rsid w:val="00BF10C6"/>
    <w:rsid w:val="00BF1886"/>
    <w:rsid w:val="00C05442"/>
    <w:rsid w:val="00C05B8B"/>
    <w:rsid w:val="00C23EC9"/>
    <w:rsid w:val="00C66C65"/>
    <w:rsid w:val="00C838C6"/>
    <w:rsid w:val="00CB5932"/>
    <w:rsid w:val="00CC0849"/>
    <w:rsid w:val="00CC12A9"/>
    <w:rsid w:val="00CF2B4C"/>
    <w:rsid w:val="00D0199D"/>
    <w:rsid w:val="00D3241B"/>
    <w:rsid w:val="00D34AF8"/>
    <w:rsid w:val="00D950FE"/>
    <w:rsid w:val="00DC1852"/>
    <w:rsid w:val="00DF30B5"/>
    <w:rsid w:val="00E56869"/>
    <w:rsid w:val="00EC7103"/>
    <w:rsid w:val="00F46A02"/>
    <w:rsid w:val="00F507F7"/>
    <w:rsid w:val="00F66C36"/>
    <w:rsid w:val="00F719D5"/>
    <w:rsid w:val="00FB529D"/>
    <w:rsid w:val="00FD6C9B"/>
    <w:rsid w:val="00FE49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50E59C5B-FC13-4975-AA1B-84833B9B4A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5757B"/>
  </w:style>
  <w:style w:type="paragraph" w:styleId="Heading2">
    <w:name w:val="heading 2"/>
    <w:basedOn w:val="Normal"/>
    <w:link w:val="Heading2Char"/>
    <w:uiPriority w:val="9"/>
    <w:qFormat/>
    <w:rsid w:val="00D34AF8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D34AF8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D34AF8"/>
    <w:rPr>
      <w:color w:val="0000FF"/>
      <w:u w:val="single"/>
    </w:rPr>
  </w:style>
  <w:style w:type="paragraph" w:styleId="NormalWeb">
    <w:name w:val="Normal (Web)"/>
    <w:basedOn w:val="Normal"/>
    <w:uiPriority w:val="99"/>
    <w:semiHidden/>
    <w:unhideWhenUsed/>
    <w:rsid w:val="00D34AF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toctoggle">
    <w:name w:val="toctoggle"/>
    <w:basedOn w:val="DefaultParagraphFont"/>
    <w:rsid w:val="00D34AF8"/>
  </w:style>
  <w:style w:type="character" w:customStyle="1" w:styleId="tocnumber3">
    <w:name w:val="tocnumber3"/>
    <w:basedOn w:val="DefaultParagraphFont"/>
    <w:rsid w:val="00D34AF8"/>
  </w:style>
  <w:style w:type="character" w:customStyle="1" w:styleId="toctext2">
    <w:name w:val="toctext2"/>
    <w:basedOn w:val="DefaultParagraphFont"/>
    <w:rsid w:val="00D34AF8"/>
  </w:style>
  <w:style w:type="character" w:customStyle="1" w:styleId="mw-headline">
    <w:name w:val="mw-headline"/>
    <w:basedOn w:val="DefaultParagraphFont"/>
    <w:rsid w:val="00D34AF8"/>
  </w:style>
  <w:style w:type="character" w:customStyle="1" w:styleId="mw-editsection1">
    <w:name w:val="mw-editsection1"/>
    <w:basedOn w:val="DefaultParagraphFont"/>
    <w:rsid w:val="00D34AF8"/>
  </w:style>
  <w:style w:type="character" w:customStyle="1" w:styleId="mw-editsection-bracket">
    <w:name w:val="mw-editsection-bracket"/>
    <w:basedOn w:val="DefaultParagraphFont"/>
    <w:rsid w:val="00D34AF8"/>
  </w:style>
  <w:style w:type="character" w:customStyle="1" w:styleId="mw-cite-backlink">
    <w:name w:val="mw-cite-backlink"/>
    <w:basedOn w:val="DefaultParagraphFont"/>
    <w:rsid w:val="00D34AF8"/>
  </w:style>
  <w:style w:type="character" w:customStyle="1" w:styleId="cite-accessibility-label1">
    <w:name w:val="cite-accessibility-label1"/>
    <w:basedOn w:val="DefaultParagraphFont"/>
    <w:rsid w:val="00D34AF8"/>
    <w:rPr>
      <w:bdr w:val="none" w:sz="0" w:space="0" w:color="auto" w:frame="1"/>
    </w:rPr>
  </w:style>
  <w:style w:type="character" w:styleId="HTMLCite">
    <w:name w:val="HTML Cite"/>
    <w:basedOn w:val="DefaultParagraphFont"/>
    <w:uiPriority w:val="99"/>
    <w:semiHidden/>
    <w:unhideWhenUsed/>
    <w:rsid w:val="00D34AF8"/>
    <w:rPr>
      <w:i/>
      <w:iCs/>
    </w:rPr>
  </w:style>
  <w:style w:type="character" w:customStyle="1" w:styleId="z3988">
    <w:name w:val="z3988"/>
    <w:basedOn w:val="DefaultParagraphFont"/>
    <w:rsid w:val="00D34AF8"/>
  </w:style>
  <w:style w:type="character" w:styleId="Emphasis">
    <w:name w:val="Emphasis"/>
    <w:basedOn w:val="DefaultParagraphFont"/>
    <w:uiPriority w:val="20"/>
    <w:qFormat/>
    <w:rsid w:val="00D34AF8"/>
    <w:rPr>
      <w:i/>
      <w:iCs/>
    </w:rPr>
  </w:style>
  <w:style w:type="paragraph" w:styleId="ListParagraph">
    <w:name w:val="List Paragraph"/>
    <w:basedOn w:val="Normal"/>
    <w:uiPriority w:val="34"/>
    <w:qFormat/>
    <w:rsid w:val="00A94546"/>
    <w:pPr>
      <w:ind w:left="720"/>
      <w:contextualSpacing/>
    </w:pPr>
  </w:style>
  <w:style w:type="paragraph" w:styleId="FootnoteText">
    <w:name w:val="footnote text"/>
    <w:basedOn w:val="Normal"/>
    <w:link w:val="FootnoteTextChar"/>
    <w:uiPriority w:val="99"/>
    <w:semiHidden/>
    <w:unhideWhenUsed/>
    <w:rsid w:val="00A94546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A94546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A94546"/>
    <w:rPr>
      <w:vertAlign w:val="superscript"/>
    </w:rPr>
  </w:style>
  <w:style w:type="paragraph" w:styleId="NoSpacing">
    <w:name w:val="No Spacing"/>
    <w:uiPriority w:val="1"/>
    <w:qFormat/>
    <w:rsid w:val="00674F0B"/>
    <w:pPr>
      <w:spacing w:after="0" w:line="240" w:lineRule="auto"/>
    </w:pPr>
  </w:style>
  <w:style w:type="paragraph" w:styleId="Header">
    <w:name w:val="header"/>
    <w:basedOn w:val="Normal"/>
    <w:link w:val="HeaderChar"/>
    <w:uiPriority w:val="99"/>
    <w:unhideWhenUsed/>
    <w:rsid w:val="003E113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E1139"/>
  </w:style>
  <w:style w:type="paragraph" w:styleId="Footer">
    <w:name w:val="footer"/>
    <w:basedOn w:val="Normal"/>
    <w:link w:val="FooterChar"/>
    <w:uiPriority w:val="99"/>
    <w:unhideWhenUsed/>
    <w:rsid w:val="003E113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E113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869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456589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314084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087349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626402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110048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2197187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994526626">
                          <w:marLeft w:val="0"/>
                          <w:marRight w:val="0"/>
                          <w:marTop w:val="0"/>
                          <w:marBottom w:val="12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16703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460921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56872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263254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74990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193190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2160530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8111151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3438740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3152409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37607989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86419817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5762215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 Fifth Edition"/>
</file>

<file path=customXml/itemProps1.xml><?xml version="1.0" encoding="utf-8"?>
<ds:datastoreItem xmlns:ds="http://schemas.openxmlformats.org/officeDocument/2006/customXml" ds:itemID="{1979ABED-BBCA-429A-96D4-054798626BC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1162</Words>
  <Characters>6624</Characters>
  <Application>Microsoft Office Word</Application>
  <DocSecurity>0</DocSecurity>
  <Lines>55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7771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Jones</dc:creator>
  <cp:lastModifiedBy>User</cp:lastModifiedBy>
  <cp:revision>2</cp:revision>
  <dcterms:created xsi:type="dcterms:W3CDTF">2017-10-29T12:29:00Z</dcterms:created>
  <dcterms:modified xsi:type="dcterms:W3CDTF">2017-10-29T12:29:00Z</dcterms:modified>
</cp:coreProperties>
</file>