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65C189" w14:textId="16D9CE22" w:rsidR="009A6A88" w:rsidRPr="009F5D88" w:rsidRDefault="009F5D88">
      <w:pPr>
        <w:rPr>
          <w:rFonts w:ascii="Times New Roman" w:hAnsi="Times New Roman" w:cs="Times New Roman"/>
          <w:b/>
          <w:bCs/>
          <w:sz w:val="28"/>
          <w:szCs w:val="28"/>
        </w:rPr>
      </w:pPr>
      <w:r w:rsidRPr="009F5D88">
        <w:rPr>
          <w:rFonts w:ascii="Times New Roman" w:hAnsi="Times New Roman" w:cs="Times New Roman"/>
          <w:b/>
          <w:bCs/>
          <w:sz w:val="28"/>
          <w:szCs w:val="28"/>
        </w:rPr>
        <w:t>IFRS 9: FINANCIAL INSTRUMENTS</w:t>
      </w:r>
    </w:p>
    <w:p w14:paraId="3CC5BE73" w14:textId="0928224A" w:rsidR="009F5D88" w:rsidRDefault="009F5D88"/>
    <w:p w14:paraId="6824C1B5" w14:textId="6528292C"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F</w:t>
      </w:r>
      <w:r w:rsidRPr="009F5D88">
        <w:rPr>
          <w:rFonts w:ascii="Times New Roman" w:hAnsi="Times New Roman" w:cs="Times New Roman"/>
          <w:b/>
          <w:bCs/>
          <w:sz w:val="28"/>
          <w:szCs w:val="28"/>
        </w:rPr>
        <w:t>INANCIAL ASSETS</w:t>
      </w:r>
    </w:p>
    <w:p w14:paraId="762B8B41" w14:textId="5B4D2765"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 xml:space="preserve">Initial measurement </w:t>
      </w:r>
    </w:p>
    <w:p w14:paraId="7676E238" w14:textId="2A140571" w:rsidR="009F5D88" w:rsidRP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Initially recognise at fair value including transaction costs, unless classified as fair value through profit or loss</w:t>
      </w:r>
      <w:r>
        <w:rPr>
          <w:rFonts w:ascii="Times New Roman" w:hAnsi="Times New Roman" w:cs="Times New Roman"/>
          <w:sz w:val="28"/>
          <w:szCs w:val="28"/>
        </w:rPr>
        <w:t>.</w:t>
      </w:r>
    </w:p>
    <w:p w14:paraId="63B8228F" w14:textId="12D21EDC"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Subsequent measurement</w:t>
      </w:r>
      <w:r w:rsidRPr="009F5D88">
        <w:rPr>
          <w:rFonts w:ascii="Times New Roman" w:hAnsi="Times New Roman" w:cs="Times New Roman"/>
          <w:b/>
          <w:bCs/>
          <w:sz w:val="28"/>
          <w:szCs w:val="28"/>
        </w:rPr>
        <w:cr/>
      </w:r>
    </w:p>
    <w:p w14:paraId="0203D132" w14:textId="169745AD" w:rsidR="009F5D88" w:rsidRPr="009F5D88" w:rsidRDefault="009F5D88" w:rsidP="009F5D88">
      <w:pPr>
        <w:rPr>
          <w:rFonts w:ascii="Times New Roman" w:hAnsi="Times New Roman" w:cs="Times New Roman"/>
          <w:b/>
          <w:bCs/>
          <w:sz w:val="28"/>
          <w:szCs w:val="28"/>
        </w:rPr>
      </w:pPr>
      <w:r>
        <w:rPr>
          <w:rFonts w:ascii="Times New Roman" w:hAnsi="Times New Roman" w:cs="Times New Roman"/>
          <w:b/>
          <w:bCs/>
          <w:sz w:val="28"/>
          <w:szCs w:val="28"/>
        </w:rPr>
        <w:t xml:space="preserve">1 </w:t>
      </w:r>
      <w:r w:rsidRPr="009F5D88">
        <w:rPr>
          <w:rFonts w:ascii="Times New Roman" w:hAnsi="Times New Roman" w:cs="Times New Roman"/>
          <w:b/>
          <w:bCs/>
          <w:sz w:val="28"/>
          <w:szCs w:val="28"/>
        </w:rPr>
        <w:t>Equity instruments</w:t>
      </w:r>
    </w:p>
    <w:p w14:paraId="677D1D37" w14:textId="77777777"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Fair value through profit or loss (default)</w:t>
      </w:r>
    </w:p>
    <w:p w14:paraId="45D6ADB6" w14:textId="69BE182B" w:rsidR="009F5D88" w:rsidRPr="009F5D88" w:rsidRDefault="009F5D88" w:rsidP="009F5D88">
      <w:pPr>
        <w:pStyle w:val="ListParagraph"/>
        <w:numPr>
          <w:ilvl w:val="0"/>
          <w:numId w:val="1"/>
        </w:numPr>
        <w:rPr>
          <w:rFonts w:ascii="Times New Roman" w:hAnsi="Times New Roman" w:cs="Times New Roman"/>
          <w:sz w:val="28"/>
          <w:szCs w:val="28"/>
        </w:rPr>
      </w:pPr>
      <w:r w:rsidRPr="009F5D88">
        <w:rPr>
          <w:rFonts w:ascii="Times New Roman" w:hAnsi="Times New Roman" w:cs="Times New Roman"/>
          <w:sz w:val="28"/>
          <w:szCs w:val="28"/>
        </w:rPr>
        <w:t>Transaction costs are recognised immediately through profit or loss</w:t>
      </w:r>
    </w:p>
    <w:p w14:paraId="57D2EAB8" w14:textId="14D9B06E" w:rsidR="009F5D88" w:rsidRPr="009F5D88" w:rsidRDefault="009F5D88" w:rsidP="009F5D88">
      <w:pPr>
        <w:pStyle w:val="ListParagraph"/>
        <w:numPr>
          <w:ilvl w:val="0"/>
          <w:numId w:val="1"/>
        </w:numPr>
        <w:rPr>
          <w:rFonts w:ascii="Times New Roman" w:hAnsi="Times New Roman" w:cs="Times New Roman"/>
          <w:sz w:val="28"/>
          <w:szCs w:val="28"/>
        </w:rPr>
      </w:pPr>
      <w:r w:rsidRPr="009F5D88">
        <w:rPr>
          <w:rFonts w:ascii="Times New Roman" w:hAnsi="Times New Roman" w:cs="Times New Roman"/>
          <w:sz w:val="28"/>
          <w:szCs w:val="28"/>
        </w:rPr>
        <w:t>Re-measure to fair value at the reporting date, with gains or losses through profit or loss</w:t>
      </w:r>
    </w:p>
    <w:p w14:paraId="5183793F" w14:textId="77777777"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 xml:space="preserve">Fair value through other comprehensive income </w:t>
      </w:r>
    </w:p>
    <w:p w14:paraId="29CEF692" w14:textId="77777777" w:rsid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 xml:space="preserve">If there is a strategic intent to hold the asset the option to hold at fair value through other comprehensive </w:t>
      </w:r>
      <w:r>
        <w:rPr>
          <w:rFonts w:ascii="Times New Roman" w:hAnsi="Times New Roman" w:cs="Times New Roman"/>
          <w:sz w:val="28"/>
          <w:szCs w:val="28"/>
        </w:rPr>
        <w:t xml:space="preserve"> </w:t>
      </w:r>
      <w:r w:rsidRPr="009F5D88">
        <w:rPr>
          <w:rFonts w:ascii="Times New Roman" w:hAnsi="Times New Roman" w:cs="Times New Roman"/>
          <w:sz w:val="28"/>
          <w:szCs w:val="28"/>
        </w:rPr>
        <w:t xml:space="preserve">income is available. Re-measure to fair value at reporting date, with gains or losses through other </w:t>
      </w:r>
      <w:r>
        <w:rPr>
          <w:rFonts w:ascii="Times New Roman" w:hAnsi="Times New Roman" w:cs="Times New Roman"/>
          <w:sz w:val="28"/>
          <w:szCs w:val="28"/>
        </w:rPr>
        <w:t xml:space="preserve"> </w:t>
      </w:r>
      <w:r w:rsidRPr="009F5D88">
        <w:rPr>
          <w:rFonts w:ascii="Times New Roman" w:hAnsi="Times New Roman" w:cs="Times New Roman"/>
          <w:sz w:val="28"/>
          <w:szCs w:val="28"/>
        </w:rPr>
        <w:t>comprehensive income.</w:t>
      </w:r>
    </w:p>
    <w:p w14:paraId="47D5BDCA" w14:textId="77777777" w:rsidR="009F5D88" w:rsidRDefault="009F5D88" w:rsidP="009F5D88">
      <w:pPr>
        <w:rPr>
          <w:rFonts w:ascii="Times New Roman" w:hAnsi="Times New Roman" w:cs="Times New Roman"/>
          <w:sz w:val="28"/>
          <w:szCs w:val="28"/>
        </w:rPr>
      </w:pPr>
    </w:p>
    <w:p w14:paraId="4A20B399" w14:textId="19F38AB0" w:rsidR="009F5D88" w:rsidRPr="009F5D88" w:rsidRDefault="009F5D88" w:rsidP="009F5D88">
      <w:pPr>
        <w:rPr>
          <w:rFonts w:ascii="Times New Roman" w:hAnsi="Times New Roman" w:cs="Times New Roman"/>
          <w:b/>
          <w:bCs/>
          <w:sz w:val="28"/>
          <w:szCs w:val="28"/>
        </w:rPr>
      </w:pPr>
      <w:r>
        <w:rPr>
          <w:rFonts w:ascii="Times New Roman" w:hAnsi="Times New Roman" w:cs="Times New Roman"/>
          <w:b/>
          <w:bCs/>
          <w:sz w:val="28"/>
          <w:szCs w:val="28"/>
        </w:rPr>
        <w:t xml:space="preserve">2 </w:t>
      </w:r>
      <w:r w:rsidRPr="009F5D88">
        <w:rPr>
          <w:rFonts w:ascii="Times New Roman" w:hAnsi="Times New Roman" w:cs="Times New Roman"/>
          <w:b/>
          <w:bCs/>
          <w:sz w:val="28"/>
          <w:szCs w:val="28"/>
        </w:rPr>
        <w:t>Debt instruments</w:t>
      </w:r>
    </w:p>
    <w:p w14:paraId="6396CAD3" w14:textId="77777777"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Amortised cost</w:t>
      </w:r>
    </w:p>
    <w:p w14:paraId="2AEFDD1E" w14:textId="77777777" w:rsidR="009F5D88" w:rsidRP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A financial asset is measured at amortised cost if it fulfils both of the following tests:</w:t>
      </w:r>
    </w:p>
    <w:p w14:paraId="4F0280EB" w14:textId="6B6490B5" w:rsidR="009F5D88" w:rsidRPr="009F5D88" w:rsidRDefault="009F5D88" w:rsidP="009F5D88">
      <w:pPr>
        <w:pStyle w:val="ListParagraph"/>
        <w:numPr>
          <w:ilvl w:val="0"/>
          <w:numId w:val="2"/>
        </w:numPr>
        <w:rPr>
          <w:rFonts w:ascii="Times New Roman" w:hAnsi="Times New Roman" w:cs="Times New Roman"/>
          <w:sz w:val="28"/>
          <w:szCs w:val="28"/>
        </w:rPr>
      </w:pPr>
      <w:r w:rsidRPr="009F5D88">
        <w:rPr>
          <w:rFonts w:ascii="Times New Roman" w:hAnsi="Times New Roman" w:cs="Times New Roman"/>
          <w:sz w:val="28"/>
          <w:szCs w:val="28"/>
        </w:rPr>
        <w:t>Business model test – intent to hold the asset until its maturity date; and,</w:t>
      </w:r>
    </w:p>
    <w:p w14:paraId="2E1899FA" w14:textId="6BE36FEC" w:rsidR="009F5D88" w:rsidRPr="009F5D88" w:rsidRDefault="009F5D88" w:rsidP="009F5D88">
      <w:pPr>
        <w:pStyle w:val="ListParagraph"/>
        <w:numPr>
          <w:ilvl w:val="0"/>
          <w:numId w:val="2"/>
        </w:numPr>
        <w:rPr>
          <w:rFonts w:ascii="Times New Roman" w:hAnsi="Times New Roman" w:cs="Times New Roman"/>
          <w:sz w:val="28"/>
          <w:szCs w:val="28"/>
        </w:rPr>
      </w:pPr>
      <w:r w:rsidRPr="009F5D88">
        <w:rPr>
          <w:rFonts w:ascii="Times New Roman" w:hAnsi="Times New Roman" w:cs="Times New Roman"/>
          <w:sz w:val="28"/>
          <w:szCs w:val="28"/>
        </w:rPr>
        <w:t>Contractual cash flow test – contractual cash receipts on holding the asset.</w:t>
      </w:r>
    </w:p>
    <w:p w14:paraId="00D7E729" w14:textId="77777777"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Fair value through other comprehensive income</w:t>
      </w:r>
    </w:p>
    <w:p w14:paraId="21F68C4F" w14:textId="348EB0B7" w:rsid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The investment in debt can be classified as FVTOCI if the objective of the business model is to instead collect the cash receipts and sell the financial asset.</w:t>
      </w:r>
      <w:r w:rsidRPr="009F5D88">
        <w:rPr>
          <w:rFonts w:ascii="Times New Roman" w:hAnsi="Times New Roman" w:cs="Times New Roman"/>
          <w:sz w:val="28"/>
          <w:szCs w:val="28"/>
        </w:rPr>
        <w:cr/>
      </w:r>
    </w:p>
    <w:p w14:paraId="611E2FCD" w14:textId="5E1CB319" w:rsidR="009F5D88" w:rsidRDefault="009F5D88" w:rsidP="009F5D88">
      <w:pPr>
        <w:rPr>
          <w:rFonts w:ascii="Times New Roman" w:hAnsi="Times New Roman" w:cs="Times New Roman"/>
          <w:sz w:val="28"/>
          <w:szCs w:val="28"/>
        </w:rPr>
      </w:pPr>
    </w:p>
    <w:p w14:paraId="0E0FA7F1" w14:textId="77777777" w:rsidR="009F5D88" w:rsidRPr="009F5D88" w:rsidRDefault="009F5D88" w:rsidP="009F5D88">
      <w:pPr>
        <w:rPr>
          <w:rFonts w:ascii="Times New Roman" w:hAnsi="Times New Roman" w:cs="Times New Roman"/>
          <w:sz w:val="28"/>
          <w:szCs w:val="28"/>
        </w:rPr>
      </w:pPr>
    </w:p>
    <w:p w14:paraId="385C98F4" w14:textId="77777777"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lastRenderedPageBreak/>
        <w:t>Derecognition</w:t>
      </w:r>
    </w:p>
    <w:p w14:paraId="15EC2C02" w14:textId="3C6D2959" w:rsidR="009F5D88" w:rsidRP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 xml:space="preserve">Financial assets are derecognised when sold, with gains or losses on disposal through profit or loss. Gains or </w:t>
      </w:r>
      <w:r>
        <w:rPr>
          <w:rFonts w:ascii="Times New Roman" w:hAnsi="Times New Roman" w:cs="Times New Roman"/>
          <w:sz w:val="28"/>
          <w:szCs w:val="28"/>
        </w:rPr>
        <w:t xml:space="preserve"> </w:t>
      </w:r>
      <w:r w:rsidRPr="009F5D88">
        <w:rPr>
          <w:rFonts w:ascii="Times New Roman" w:hAnsi="Times New Roman" w:cs="Times New Roman"/>
          <w:sz w:val="28"/>
          <w:szCs w:val="28"/>
        </w:rPr>
        <w:t xml:space="preserve">losses previously recognised through other comprehensive income are transferred to retained earnings </w:t>
      </w:r>
      <w:r>
        <w:rPr>
          <w:rFonts w:ascii="Times New Roman" w:hAnsi="Times New Roman" w:cs="Times New Roman"/>
          <w:sz w:val="28"/>
          <w:szCs w:val="28"/>
        </w:rPr>
        <w:t xml:space="preserve"> </w:t>
      </w:r>
      <w:r w:rsidRPr="009F5D88">
        <w:rPr>
          <w:rFonts w:ascii="Times New Roman" w:hAnsi="Times New Roman" w:cs="Times New Roman"/>
          <w:sz w:val="28"/>
          <w:szCs w:val="28"/>
        </w:rPr>
        <w:t>through the statement of changes in equity</w:t>
      </w:r>
      <w:r>
        <w:rPr>
          <w:rFonts w:ascii="Times New Roman" w:hAnsi="Times New Roman" w:cs="Times New Roman"/>
          <w:sz w:val="28"/>
          <w:szCs w:val="28"/>
        </w:rPr>
        <w:t>.</w:t>
      </w:r>
    </w:p>
    <w:p w14:paraId="54DA2BE8" w14:textId="50D35878" w:rsidR="009F5D88" w:rsidRPr="009F5D88" w:rsidRDefault="009F5D88" w:rsidP="009F5D88">
      <w:pPr>
        <w:rPr>
          <w:rFonts w:ascii="Times New Roman" w:hAnsi="Times New Roman" w:cs="Times New Roman"/>
          <w:sz w:val="28"/>
          <w:szCs w:val="28"/>
        </w:rPr>
      </w:pPr>
    </w:p>
    <w:p w14:paraId="198D54F7" w14:textId="376F2A99"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F</w:t>
      </w:r>
      <w:r w:rsidRPr="009F5D88">
        <w:rPr>
          <w:rFonts w:ascii="Times New Roman" w:hAnsi="Times New Roman" w:cs="Times New Roman"/>
          <w:b/>
          <w:bCs/>
          <w:sz w:val="28"/>
          <w:szCs w:val="28"/>
        </w:rPr>
        <w:t>INANCIAL LIABILITIES</w:t>
      </w:r>
    </w:p>
    <w:p w14:paraId="447385B0" w14:textId="77777777" w:rsid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Initial measurement</w:t>
      </w:r>
    </w:p>
    <w:p w14:paraId="7196A2EC" w14:textId="1EDC97D1" w:rsid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Initially recognise at fair value less transaction costs (‘net proceeds’)</w:t>
      </w:r>
    </w:p>
    <w:p w14:paraId="0FB8EF77" w14:textId="77777777" w:rsidR="009F5D88" w:rsidRPr="009F5D88" w:rsidRDefault="009F5D88" w:rsidP="009F5D88">
      <w:pPr>
        <w:rPr>
          <w:rFonts w:ascii="Times New Roman" w:hAnsi="Times New Roman" w:cs="Times New Roman"/>
          <w:b/>
          <w:bCs/>
          <w:sz w:val="28"/>
          <w:szCs w:val="28"/>
        </w:rPr>
      </w:pPr>
    </w:p>
    <w:p w14:paraId="3AF525CE" w14:textId="359BE08E"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Subsequent measurement</w:t>
      </w:r>
    </w:p>
    <w:p w14:paraId="69B8233B" w14:textId="532C0445" w:rsidR="009F5D88" w:rsidRPr="009F5D88" w:rsidRDefault="009F5D88" w:rsidP="009F5D88">
      <w:pPr>
        <w:pStyle w:val="ListParagraph"/>
        <w:numPr>
          <w:ilvl w:val="0"/>
          <w:numId w:val="3"/>
        </w:numPr>
        <w:rPr>
          <w:rFonts w:ascii="Times New Roman" w:hAnsi="Times New Roman" w:cs="Times New Roman"/>
          <w:sz w:val="28"/>
          <w:szCs w:val="28"/>
        </w:rPr>
      </w:pPr>
      <w:r w:rsidRPr="009F5D88">
        <w:rPr>
          <w:rFonts w:ascii="Times New Roman" w:hAnsi="Times New Roman" w:cs="Times New Roman"/>
          <w:sz w:val="28"/>
          <w:szCs w:val="28"/>
        </w:rPr>
        <w:t>Amortised cost</w:t>
      </w:r>
    </w:p>
    <w:p w14:paraId="582C6EA4" w14:textId="7D119D52" w:rsidR="009F5D88" w:rsidRDefault="009F5D88" w:rsidP="009F5D88">
      <w:pPr>
        <w:pStyle w:val="ListParagraph"/>
        <w:numPr>
          <w:ilvl w:val="0"/>
          <w:numId w:val="3"/>
        </w:numPr>
        <w:rPr>
          <w:rFonts w:ascii="Times New Roman" w:hAnsi="Times New Roman" w:cs="Times New Roman"/>
          <w:sz w:val="28"/>
          <w:szCs w:val="28"/>
        </w:rPr>
      </w:pPr>
      <w:r w:rsidRPr="009F5D88">
        <w:rPr>
          <w:rFonts w:ascii="Times New Roman" w:hAnsi="Times New Roman" w:cs="Times New Roman"/>
          <w:sz w:val="28"/>
          <w:szCs w:val="28"/>
        </w:rPr>
        <w:t>Fair value though profit or loss</w:t>
      </w:r>
    </w:p>
    <w:p w14:paraId="27CD4595" w14:textId="77777777" w:rsidR="009F5D88" w:rsidRPr="009F5D88" w:rsidRDefault="009F5D88" w:rsidP="009F5D88">
      <w:pPr>
        <w:pStyle w:val="ListParagraph"/>
        <w:rPr>
          <w:rFonts w:ascii="Times New Roman" w:hAnsi="Times New Roman" w:cs="Times New Roman"/>
          <w:sz w:val="28"/>
          <w:szCs w:val="28"/>
        </w:rPr>
      </w:pPr>
    </w:p>
    <w:p w14:paraId="3B9D6C1C" w14:textId="468A69C5"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Derecognition</w:t>
      </w:r>
    </w:p>
    <w:p w14:paraId="56F5D0BB" w14:textId="2EBAC536" w:rsidR="009F5D88" w:rsidRP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Financial liabilities are derecognised when they have been paid in full or transferred to another party</w:t>
      </w:r>
    </w:p>
    <w:p w14:paraId="69B11C35" w14:textId="4A941CDB" w:rsidR="009F5D88" w:rsidRPr="009F5D88" w:rsidRDefault="009F5D88" w:rsidP="009F5D88">
      <w:pPr>
        <w:rPr>
          <w:rFonts w:ascii="Times New Roman" w:hAnsi="Times New Roman" w:cs="Times New Roman"/>
          <w:sz w:val="28"/>
          <w:szCs w:val="28"/>
        </w:rPr>
      </w:pPr>
    </w:p>
    <w:p w14:paraId="54857F8D" w14:textId="77777777" w:rsidR="009F5D88" w:rsidRPr="009F5D88" w:rsidRDefault="009F5D88" w:rsidP="009F5D88">
      <w:pPr>
        <w:rPr>
          <w:rFonts w:ascii="Times New Roman" w:hAnsi="Times New Roman" w:cs="Times New Roman"/>
          <w:b/>
          <w:bCs/>
          <w:sz w:val="28"/>
          <w:szCs w:val="28"/>
        </w:rPr>
      </w:pPr>
      <w:r w:rsidRPr="009F5D88">
        <w:rPr>
          <w:rFonts w:ascii="Times New Roman" w:hAnsi="Times New Roman" w:cs="Times New Roman"/>
          <w:b/>
          <w:bCs/>
          <w:sz w:val="28"/>
          <w:szCs w:val="28"/>
        </w:rPr>
        <w:t>Convertible debentures</w:t>
      </w:r>
    </w:p>
    <w:p w14:paraId="311A1C82" w14:textId="007DB710" w:rsidR="009F5D88" w:rsidRP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 xml:space="preserve">If a convertible instrument is issued, the economic substance is a combination of equity and liability and </w:t>
      </w:r>
      <w:r w:rsidR="00065862" w:rsidRPr="009F5D88">
        <w:rPr>
          <w:rFonts w:ascii="Times New Roman" w:hAnsi="Times New Roman" w:cs="Times New Roman"/>
          <w:sz w:val="28"/>
          <w:szCs w:val="28"/>
        </w:rPr>
        <w:t xml:space="preserve">is </w:t>
      </w:r>
      <w:r w:rsidR="00065862">
        <w:rPr>
          <w:rFonts w:ascii="Times New Roman" w:hAnsi="Times New Roman" w:cs="Times New Roman"/>
          <w:sz w:val="28"/>
          <w:szCs w:val="28"/>
        </w:rPr>
        <w:t>accounted</w:t>
      </w:r>
      <w:r w:rsidRPr="009F5D88">
        <w:rPr>
          <w:rFonts w:ascii="Times New Roman" w:hAnsi="Times New Roman" w:cs="Times New Roman"/>
          <w:sz w:val="28"/>
          <w:szCs w:val="28"/>
        </w:rPr>
        <w:t xml:space="preserve"> for using split equity accounting.</w:t>
      </w:r>
    </w:p>
    <w:p w14:paraId="1226D0DB" w14:textId="09BB3090" w:rsidR="009F5D88" w:rsidRP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 xml:space="preserve">The liability element is calculated by discounting back the maximum possible amount of cash that will be repaid assuming that the conversion doesn’t take place. The discount rate to be used is that of the </w:t>
      </w:r>
      <w:r w:rsidR="00065862" w:rsidRPr="009F5D88">
        <w:rPr>
          <w:rFonts w:ascii="Times New Roman" w:hAnsi="Times New Roman" w:cs="Times New Roman"/>
          <w:sz w:val="28"/>
          <w:szCs w:val="28"/>
        </w:rPr>
        <w:t xml:space="preserve">interest </w:t>
      </w:r>
      <w:r w:rsidR="00065862">
        <w:rPr>
          <w:rFonts w:ascii="Times New Roman" w:hAnsi="Times New Roman" w:cs="Times New Roman"/>
          <w:sz w:val="28"/>
          <w:szCs w:val="28"/>
        </w:rPr>
        <w:t>rate</w:t>
      </w:r>
      <w:r w:rsidRPr="009F5D88">
        <w:rPr>
          <w:rFonts w:ascii="Times New Roman" w:hAnsi="Times New Roman" w:cs="Times New Roman"/>
          <w:sz w:val="28"/>
          <w:szCs w:val="28"/>
        </w:rPr>
        <w:t xml:space="preserve"> on similar debt without and conversion option.</w:t>
      </w:r>
    </w:p>
    <w:p w14:paraId="76272F1B" w14:textId="77777777" w:rsidR="009F5D88" w:rsidRP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The equity element is the difference between the proceeds on issue and the initial liability element.</w:t>
      </w:r>
    </w:p>
    <w:p w14:paraId="2F23E436" w14:textId="1A314B94" w:rsidR="009F5D88" w:rsidRPr="009F5D88" w:rsidRDefault="009F5D88" w:rsidP="009F5D88">
      <w:pPr>
        <w:rPr>
          <w:rFonts w:ascii="Times New Roman" w:hAnsi="Times New Roman" w:cs="Times New Roman"/>
          <w:sz w:val="28"/>
          <w:szCs w:val="28"/>
        </w:rPr>
      </w:pPr>
      <w:r w:rsidRPr="009F5D88">
        <w:rPr>
          <w:rFonts w:ascii="Times New Roman" w:hAnsi="Times New Roman" w:cs="Times New Roman"/>
          <w:sz w:val="28"/>
          <w:szCs w:val="28"/>
        </w:rPr>
        <w:t xml:space="preserve">The liability element is subsequently measured at amortised cost, using the interest rate on similar </w:t>
      </w:r>
      <w:r w:rsidR="00065862" w:rsidRPr="009F5D88">
        <w:rPr>
          <w:rFonts w:ascii="Times New Roman" w:hAnsi="Times New Roman" w:cs="Times New Roman"/>
          <w:sz w:val="28"/>
          <w:szCs w:val="28"/>
        </w:rPr>
        <w:t xml:space="preserve">debt </w:t>
      </w:r>
      <w:r w:rsidR="00065862">
        <w:rPr>
          <w:rFonts w:ascii="Times New Roman" w:hAnsi="Times New Roman" w:cs="Times New Roman"/>
          <w:sz w:val="28"/>
          <w:szCs w:val="28"/>
        </w:rPr>
        <w:t>without</w:t>
      </w:r>
      <w:r w:rsidRPr="009F5D88">
        <w:rPr>
          <w:rFonts w:ascii="Times New Roman" w:hAnsi="Times New Roman" w:cs="Times New Roman"/>
          <w:sz w:val="28"/>
          <w:szCs w:val="28"/>
        </w:rPr>
        <w:t xml:space="preserve"> the conversion option as the effective rate. The equity element is not subsequently changed.</w:t>
      </w:r>
    </w:p>
    <w:p w14:paraId="2C84B23D" w14:textId="79B69E41" w:rsidR="009F5D88" w:rsidRPr="009F5D88" w:rsidRDefault="009F5D88" w:rsidP="009F5D88">
      <w:pPr>
        <w:rPr>
          <w:rFonts w:ascii="Times New Roman" w:hAnsi="Times New Roman" w:cs="Times New Roman"/>
          <w:sz w:val="28"/>
          <w:szCs w:val="28"/>
        </w:rPr>
      </w:pPr>
    </w:p>
    <w:sectPr w:rsidR="009F5D88" w:rsidRPr="009F5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4918AB"/>
    <w:multiLevelType w:val="hybridMultilevel"/>
    <w:tmpl w:val="02745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5A26E2"/>
    <w:multiLevelType w:val="hybridMultilevel"/>
    <w:tmpl w:val="E01C1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9133CF"/>
    <w:multiLevelType w:val="hybridMultilevel"/>
    <w:tmpl w:val="8DB4C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D88"/>
    <w:rsid w:val="00065862"/>
    <w:rsid w:val="009A6A88"/>
    <w:rsid w:val="009F5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491E2"/>
  <w15:chartTrackingRefBased/>
  <w15:docId w15:val="{0945B175-F020-4B7C-AF9F-6088B4756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F5D88"/>
    <w:pPr>
      <w:spacing w:after="0" w:line="240" w:lineRule="auto"/>
    </w:pPr>
  </w:style>
  <w:style w:type="paragraph" w:styleId="ListParagraph">
    <w:name w:val="List Paragraph"/>
    <w:basedOn w:val="Normal"/>
    <w:uiPriority w:val="34"/>
    <w:qFormat/>
    <w:rsid w:val="009F5D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379</Words>
  <Characters>2163</Characters>
  <Application>Microsoft Office Word</Application>
  <DocSecurity>0</DocSecurity>
  <Lines>18</Lines>
  <Paragraphs>5</Paragraphs>
  <ScaleCrop>false</ScaleCrop>
  <Company/>
  <LinksUpToDate>false</LinksUpToDate>
  <CharactersWithSpaces>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2</cp:revision>
  <dcterms:created xsi:type="dcterms:W3CDTF">2021-03-29T09:59:00Z</dcterms:created>
  <dcterms:modified xsi:type="dcterms:W3CDTF">2021-03-29T10:09:00Z</dcterms:modified>
</cp:coreProperties>
</file>