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443F8" w:rsidRDefault="00811604">
      <w:pPr>
        <w:rPr>
          <w:b/>
        </w:rPr>
      </w:pPr>
      <w:r>
        <w:rPr>
          <w:b/>
        </w:rPr>
        <w:t>Assessment Two</w:t>
      </w:r>
    </w:p>
    <w:p w14:paraId="00000002" w14:textId="77777777" w:rsidR="006443F8" w:rsidRDefault="006443F8">
      <w:pPr>
        <w:rPr>
          <w:b/>
        </w:rPr>
      </w:pPr>
    </w:p>
    <w:p w14:paraId="00000003" w14:textId="77777777" w:rsidR="006443F8" w:rsidRDefault="00811604">
      <w:pPr>
        <w:shd w:val="clear" w:color="auto" w:fill="FFFFFF"/>
        <w:spacing w:after="36" w:line="432" w:lineRule="auto"/>
        <w:rPr>
          <w:b/>
        </w:rPr>
      </w:pPr>
      <w:r>
        <w:rPr>
          <w:rFonts w:ascii="Times New Roman" w:eastAsia="Times New Roman" w:hAnsi="Times New Roman" w:cs="Times New Roman"/>
          <w:color w:val="373A3C"/>
        </w:rPr>
        <w:t>Colin Fisher, Student no. 1804457</w:t>
      </w:r>
    </w:p>
    <w:p w14:paraId="00000004" w14:textId="77777777" w:rsidR="006443F8" w:rsidRDefault="006443F8">
      <w:pPr>
        <w:shd w:val="clear" w:color="auto" w:fill="FFFFFF"/>
        <w:spacing w:after="36" w:line="432" w:lineRule="auto"/>
        <w:rPr>
          <w:b/>
        </w:rPr>
      </w:pPr>
    </w:p>
    <w:p w14:paraId="00000005" w14:textId="77777777" w:rsidR="006443F8" w:rsidRDefault="00811604">
      <w:pPr>
        <w:spacing w:line="432" w:lineRule="auto"/>
        <w:rPr>
          <w:rFonts w:ascii="Times New Roman" w:eastAsia="Times New Roman" w:hAnsi="Times New Roman" w:cs="Times New Roman"/>
          <w:b/>
        </w:rPr>
      </w:pPr>
      <w:r>
        <w:rPr>
          <w:rFonts w:ascii="Times New Roman" w:eastAsia="Times New Roman" w:hAnsi="Times New Roman" w:cs="Times New Roman"/>
          <w:b/>
        </w:rPr>
        <w:t xml:space="preserve">Compare and Contrast any two characters in the Four Branches of the </w:t>
      </w:r>
      <w:proofErr w:type="spellStart"/>
      <w:r>
        <w:rPr>
          <w:rFonts w:ascii="Times New Roman" w:eastAsia="Times New Roman" w:hAnsi="Times New Roman" w:cs="Times New Roman"/>
          <w:b/>
        </w:rPr>
        <w:t>Mabinogi</w:t>
      </w:r>
      <w:proofErr w:type="spellEnd"/>
      <w:r>
        <w:rPr>
          <w:rFonts w:ascii="Times New Roman" w:eastAsia="Times New Roman" w:hAnsi="Times New Roman" w:cs="Times New Roman"/>
          <w:b/>
        </w:rPr>
        <w:t xml:space="preserve">. In your answer you should refer to some of the </w:t>
      </w:r>
      <w:proofErr w:type="spellStart"/>
      <w:r>
        <w:rPr>
          <w:rFonts w:ascii="Times New Roman" w:eastAsia="Times New Roman" w:hAnsi="Times New Roman" w:cs="Times New Roman"/>
          <w:b/>
        </w:rPr>
        <w:t>characterisation</w:t>
      </w:r>
      <w:proofErr w:type="spellEnd"/>
      <w:r>
        <w:rPr>
          <w:rFonts w:ascii="Times New Roman" w:eastAsia="Times New Roman" w:hAnsi="Times New Roman" w:cs="Times New Roman"/>
          <w:b/>
        </w:rPr>
        <w:t xml:space="preserve"> techniques used by the author.</w:t>
      </w:r>
    </w:p>
    <w:p w14:paraId="00000006" w14:textId="77777777" w:rsidR="006443F8" w:rsidRDefault="006443F8">
      <w:pPr>
        <w:spacing w:line="432" w:lineRule="auto"/>
        <w:rPr>
          <w:rFonts w:ascii="Times New Roman" w:eastAsia="Times New Roman" w:hAnsi="Times New Roman" w:cs="Times New Roman"/>
          <w:b/>
        </w:rPr>
      </w:pPr>
    </w:p>
    <w:p w14:paraId="00000007"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The Four Branches are replete with a diverse array of characters which the unknown</w:t>
      </w:r>
      <w:r>
        <w:rPr>
          <w:rFonts w:ascii="Times New Roman" w:eastAsia="Times New Roman" w:hAnsi="Times New Roman" w:cs="Times New Roman"/>
        </w:rPr>
        <w:t xml:space="preserve"> author uses not only to entertain his readers, but to explore matters important to the social and political milieu in which he (or she) wrote. They vary from the human to the monstrous, from the magical to the transformed, and many offer insights into the</w:t>
      </w:r>
      <w:r>
        <w:rPr>
          <w:rFonts w:ascii="Times New Roman" w:eastAsia="Times New Roman" w:hAnsi="Times New Roman" w:cs="Times New Roman"/>
        </w:rPr>
        <w:t xml:space="preserve"> skill and preoccupations brought to bear on the disparate oral narratives the author wove into his telling. Interestingly, much of the focus of the tales lies in the relationship between men and women - gender roles, responsibilities and limits of authori</w:t>
      </w:r>
      <w:r>
        <w:rPr>
          <w:rFonts w:ascii="Times New Roman" w:eastAsia="Times New Roman" w:hAnsi="Times New Roman" w:cs="Times New Roman"/>
        </w:rPr>
        <w:t xml:space="preserve">ty, the uses and abuses of the power dynamic between rulers and their consorts, and it is often the twists and turns in their relationships which drive the plot. This essay will therefore seek to compare two of these women - Rhiannon, consort first of </w:t>
      </w:r>
      <w:proofErr w:type="spellStart"/>
      <w:r>
        <w:rPr>
          <w:rFonts w:ascii="Times New Roman" w:eastAsia="Times New Roman" w:hAnsi="Times New Roman" w:cs="Times New Roman"/>
        </w:rPr>
        <w:t>Pwll</w:t>
      </w:r>
      <w:proofErr w:type="spellEnd"/>
      <w:r>
        <w:rPr>
          <w:rFonts w:ascii="Times New Roman" w:eastAsia="Times New Roman" w:hAnsi="Times New Roman" w:cs="Times New Roman"/>
        </w:rPr>
        <w:t xml:space="preserve"> and then of Manawydan, and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wife of </w:t>
      </w:r>
      <w:proofErr w:type="spellStart"/>
      <w:r>
        <w:rPr>
          <w:rFonts w:ascii="Times New Roman" w:eastAsia="Times New Roman" w:hAnsi="Times New Roman" w:cs="Times New Roman"/>
        </w:rPr>
        <w:t>Lleu</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Llaw</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Gyffes</w:t>
      </w:r>
      <w:proofErr w:type="spellEnd"/>
      <w:r>
        <w:rPr>
          <w:rFonts w:ascii="Times New Roman" w:eastAsia="Times New Roman" w:hAnsi="Times New Roman" w:cs="Times New Roman"/>
        </w:rPr>
        <w:t xml:space="preserve"> and lover of </w:t>
      </w:r>
      <w:proofErr w:type="spellStart"/>
      <w:r>
        <w:rPr>
          <w:rFonts w:ascii="Times New Roman" w:eastAsia="Times New Roman" w:hAnsi="Times New Roman" w:cs="Times New Roman"/>
        </w:rPr>
        <w:t>Gronw</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Pebr</w:t>
      </w:r>
      <w:proofErr w:type="spellEnd"/>
      <w:r>
        <w:rPr>
          <w:rFonts w:ascii="Times New Roman" w:eastAsia="Times New Roman" w:hAnsi="Times New Roman" w:cs="Times New Roman"/>
        </w:rPr>
        <w:t xml:space="preserve"> - and in so doing use their contrasting narratives, portrayals and responses to gain insight into the success of the author's literary choices.</w:t>
      </w:r>
    </w:p>
    <w:p w14:paraId="00000008"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For decades following t</w:t>
      </w:r>
      <w:r>
        <w:rPr>
          <w:rFonts w:ascii="Times New Roman" w:eastAsia="Times New Roman" w:hAnsi="Times New Roman" w:cs="Times New Roman"/>
        </w:rPr>
        <w:t>he initial publication of The Four Branches such stylistic analysis took a very definite second place to what was deemed a far more interesting question - namely, what could be discerned of the mythological and pagan antecedents that it seemed certain unde</w:t>
      </w:r>
      <w:r>
        <w:rPr>
          <w:rFonts w:ascii="Times New Roman" w:eastAsia="Times New Roman" w:hAnsi="Times New Roman" w:cs="Times New Roman"/>
        </w:rPr>
        <w:t xml:space="preserve">rlay the medieval veneer. To what degree were we looking at the debased remnants of a pre-Christian belief system, and could diligent literary excavation return to us the original gods, goddesses and heroes of a vanished Iron Age society? This, it seemed, </w:t>
      </w:r>
      <w:r>
        <w:rPr>
          <w:rFonts w:ascii="Times New Roman" w:eastAsia="Times New Roman" w:hAnsi="Times New Roman" w:cs="Times New Roman"/>
        </w:rPr>
        <w:t xml:space="preserve">was the essential value to be drawn from The </w:t>
      </w:r>
      <w:proofErr w:type="spellStart"/>
      <w:r>
        <w:rPr>
          <w:rFonts w:ascii="Times New Roman" w:eastAsia="Times New Roman" w:hAnsi="Times New Roman" w:cs="Times New Roman"/>
        </w:rPr>
        <w:t>Mabinogion</w:t>
      </w:r>
      <w:proofErr w:type="spellEnd"/>
      <w:r>
        <w:rPr>
          <w:rFonts w:ascii="Times New Roman" w:eastAsia="Times New Roman" w:hAnsi="Times New Roman" w:cs="Times New Roman"/>
        </w:rPr>
        <w:t xml:space="preserve">. Hugely erudite critics and historians like </w:t>
      </w:r>
      <w:proofErr w:type="spellStart"/>
      <w:r>
        <w:rPr>
          <w:rFonts w:ascii="Times New Roman" w:eastAsia="Times New Roman" w:hAnsi="Times New Roman" w:cs="Times New Roman"/>
        </w:rPr>
        <w:t>Proinsias</w:t>
      </w:r>
      <w:proofErr w:type="spellEnd"/>
      <w:r>
        <w:rPr>
          <w:rFonts w:ascii="Times New Roman" w:eastAsia="Times New Roman" w:hAnsi="Times New Roman" w:cs="Times New Roman"/>
        </w:rPr>
        <w:t xml:space="preserve"> Mac Cana</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Patrick K. Ford</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Anne Ross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and W.J. </w:t>
      </w:r>
      <w:proofErr w:type="spellStart"/>
      <w:r>
        <w:rPr>
          <w:rFonts w:ascii="Times New Roman" w:eastAsia="Times New Roman" w:hAnsi="Times New Roman" w:cs="Times New Roman"/>
        </w:rPr>
        <w:t>Gruffydd</w:t>
      </w:r>
      <w:proofErr w:type="spellEnd"/>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t>
      </w:r>
      <w:proofErr w:type="spellStart"/>
      <w:r>
        <w:rPr>
          <w:rFonts w:ascii="Times New Roman" w:eastAsia="Times New Roman" w:hAnsi="Times New Roman" w:cs="Times New Roman"/>
        </w:rPr>
        <w:t>analysed</w:t>
      </w:r>
      <w:proofErr w:type="spellEnd"/>
      <w:r>
        <w:rPr>
          <w:rFonts w:ascii="Times New Roman" w:eastAsia="Times New Roman" w:hAnsi="Times New Roman" w:cs="Times New Roman"/>
        </w:rPr>
        <w:t xml:space="preserve"> the </w:t>
      </w:r>
      <w:r>
        <w:rPr>
          <w:rFonts w:ascii="Times New Roman" w:eastAsia="Times New Roman" w:hAnsi="Times New Roman" w:cs="Times New Roman"/>
        </w:rPr>
        <w:lastRenderedPageBreak/>
        <w:t>Branches in detail and concluded almost unanimously that the tales were th</w:t>
      </w:r>
      <w:r>
        <w:rPr>
          <w:rFonts w:ascii="Times New Roman" w:eastAsia="Times New Roman" w:hAnsi="Times New Roman" w:cs="Times New Roman"/>
        </w:rPr>
        <w:t xml:space="preserve">e mythological hand-me-downs of a vanished oral culture. Even </w:t>
      </w:r>
      <w:proofErr w:type="spellStart"/>
      <w:r>
        <w:rPr>
          <w:rFonts w:ascii="Times New Roman" w:eastAsia="Times New Roman" w:hAnsi="Times New Roman" w:cs="Times New Roman"/>
        </w:rPr>
        <w:t>Sioned</w:t>
      </w:r>
      <w:proofErr w:type="spellEnd"/>
      <w:r>
        <w:rPr>
          <w:rFonts w:ascii="Times New Roman" w:eastAsia="Times New Roman" w:hAnsi="Times New Roman" w:cs="Times New Roman"/>
        </w:rPr>
        <w:t xml:space="preserve"> Davies, in her recent translation of the </w:t>
      </w:r>
      <w:proofErr w:type="spellStart"/>
      <w:r>
        <w:rPr>
          <w:rFonts w:ascii="Times New Roman" w:eastAsia="Times New Roman" w:hAnsi="Times New Roman" w:cs="Times New Roman"/>
        </w:rPr>
        <w:t>Mabinogion</w:t>
      </w:r>
      <w:proofErr w:type="spellEnd"/>
      <w:r>
        <w:rPr>
          <w:rFonts w:ascii="Times New Roman" w:eastAsia="Times New Roman" w:hAnsi="Times New Roman" w:cs="Times New Roman"/>
        </w:rPr>
        <w:t xml:space="preserve">, tells us, of Rhiannon, “her name derives from that of the Celtic goddess </w:t>
      </w:r>
      <w:proofErr w:type="spellStart"/>
      <w:r>
        <w:rPr>
          <w:rFonts w:ascii="Times New Roman" w:eastAsia="Times New Roman" w:hAnsi="Times New Roman" w:cs="Times New Roman"/>
        </w:rPr>
        <w:t>Rigantona</w:t>
      </w:r>
      <w:proofErr w:type="spellEnd"/>
      <w:r>
        <w:rPr>
          <w:rFonts w:ascii="Times New Roman" w:eastAsia="Times New Roman" w:hAnsi="Times New Roman" w:cs="Times New Roman"/>
        </w:rPr>
        <w:t xml:space="preserve">… leading scholars to associate her with the Celtic </w:t>
      </w:r>
      <w:r>
        <w:rPr>
          <w:rFonts w:ascii="Times New Roman" w:eastAsia="Times New Roman" w:hAnsi="Times New Roman" w:cs="Times New Roman"/>
        </w:rPr>
        <w:t xml:space="preserve">horse-goddess </w:t>
      </w:r>
      <w:proofErr w:type="spellStart"/>
      <w:r>
        <w:rPr>
          <w:rFonts w:ascii="Times New Roman" w:eastAsia="Times New Roman" w:hAnsi="Times New Roman" w:cs="Times New Roman"/>
        </w:rPr>
        <w:t>Epona</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w:t>
      </w:r>
    </w:p>
    <w:p w14:paraId="00000009"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In recent years this mode of scholarship has proven a barren furrow to plough. Not only have scholars begun to question whether the associations are quite as secure as we had supposed</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but regardless of the truth or otherwise of t</w:t>
      </w:r>
      <w:r>
        <w:rPr>
          <w:rFonts w:ascii="Times New Roman" w:eastAsia="Times New Roman" w:hAnsi="Times New Roman" w:cs="Times New Roman"/>
        </w:rPr>
        <w:t xml:space="preserve">he conclusions, they fail to bring any meaningful insight as to the composition of the stories or the intent of the author. Rhiannon may well be derived from </w:t>
      </w:r>
      <w:proofErr w:type="spellStart"/>
      <w:r>
        <w:rPr>
          <w:rFonts w:ascii="Times New Roman" w:eastAsia="Times New Roman" w:hAnsi="Times New Roman" w:cs="Times New Roman"/>
        </w:rPr>
        <w:t>Rigantona</w:t>
      </w:r>
      <w:proofErr w:type="spellEnd"/>
      <w:r>
        <w:rPr>
          <w:rFonts w:ascii="Times New Roman" w:eastAsia="Times New Roman" w:hAnsi="Times New Roman" w:cs="Times New Roman"/>
        </w:rPr>
        <w:t xml:space="preserve"> (although this remains a reconstructed name not otherwise attested in any epigraphic or </w:t>
      </w:r>
      <w:r>
        <w:rPr>
          <w:rFonts w:ascii="Times New Roman" w:eastAsia="Times New Roman" w:hAnsi="Times New Roman" w:cs="Times New Roman"/>
        </w:rPr>
        <w:t>legendary source), but we have no way of knowing the extent the author or audience was aware of this, or of any other supposed mythological throwback. Gwydion ap Don may have been the son of a mother goddess, and other female protagonists may have represen</w:t>
      </w:r>
      <w:r>
        <w:rPr>
          <w:rFonts w:ascii="Times New Roman" w:eastAsia="Times New Roman" w:hAnsi="Times New Roman" w:cs="Times New Roman"/>
        </w:rPr>
        <w:t xml:space="preserve">ted the sovereignty of the Island of Britain and its kingdoms, but beyond the fact that the author was aware that at least some of the tales were set in a time before Christianity, this brings us no closer to an understanding of the culture and society in </w:t>
      </w:r>
      <w:r>
        <w:rPr>
          <w:rFonts w:ascii="Times New Roman" w:eastAsia="Times New Roman" w:hAnsi="Times New Roman" w:cs="Times New Roman"/>
        </w:rPr>
        <w:t xml:space="preserve">which he wrote, or how and why he </w:t>
      </w:r>
      <w:proofErr w:type="spellStart"/>
      <w:r>
        <w:rPr>
          <w:rFonts w:ascii="Times New Roman" w:eastAsia="Times New Roman" w:hAnsi="Times New Roman" w:cs="Times New Roman"/>
        </w:rPr>
        <w:t>characterised</w:t>
      </w:r>
      <w:proofErr w:type="spellEnd"/>
      <w:r>
        <w:rPr>
          <w:rFonts w:ascii="Times New Roman" w:eastAsia="Times New Roman" w:hAnsi="Times New Roman" w:cs="Times New Roman"/>
        </w:rPr>
        <w:t xml:space="preserve"> them as he did. As Fiona Winward states “most energy has been </w:t>
      </w:r>
      <w:proofErr w:type="spellStart"/>
      <w:r>
        <w:rPr>
          <w:rFonts w:ascii="Times New Roman" w:eastAsia="Times New Roman" w:hAnsi="Times New Roman" w:cs="Times New Roman"/>
        </w:rPr>
        <w:t>channelled</w:t>
      </w:r>
      <w:proofErr w:type="spellEnd"/>
      <w:r>
        <w:rPr>
          <w:rFonts w:ascii="Times New Roman" w:eastAsia="Times New Roman" w:hAnsi="Times New Roman" w:cs="Times New Roman"/>
        </w:rPr>
        <w:t xml:space="preserve"> not into exploring the mechanics of this independence within the narrative but into tracing its origins back to the various manifestati</w:t>
      </w:r>
      <w:r>
        <w:rPr>
          <w:rFonts w:ascii="Times New Roman" w:eastAsia="Times New Roman" w:hAnsi="Times New Roman" w:cs="Times New Roman"/>
        </w:rPr>
        <w:t>ons of the sovereignty goddess.”</w:t>
      </w:r>
      <w:r>
        <w:rPr>
          <w:rFonts w:ascii="Times New Roman" w:eastAsia="Times New Roman" w:hAnsi="Times New Roman" w:cs="Times New Roman"/>
          <w:vertAlign w:val="superscript"/>
        </w:rPr>
        <w:footnoteReference w:id="7"/>
      </w:r>
    </w:p>
    <w:p w14:paraId="0000000A"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 xml:space="preserve">There is no denying that of the many characters employed within </w:t>
      </w:r>
      <w:r>
        <w:rPr>
          <w:rFonts w:ascii="Times New Roman" w:eastAsia="Times New Roman" w:hAnsi="Times New Roman" w:cs="Times New Roman"/>
          <w:i/>
        </w:rPr>
        <w:t>The Four Branches</w:t>
      </w:r>
      <w:r>
        <w:rPr>
          <w:rFonts w:ascii="Times New Roman" w:eastAsia="Times New Roman" w:hAnsi="Times New Roman" w:cs="Times New Roman"/>
        </w:rPr>
        <w:t xml:space="preserve"> some are merely cyphers employed to drive the plot forward (ie, </w:t>
      </w:r>
      <w:proofErr w:type="spellStart"/>
      <w:r>
        <w:rPr>
          <w:rFonts w:ascii="Times New Roman" w:eastAsia="Times New Roman" w:hAnsi="Times New Roman" w:cs="Times New Roman"/>
        </w:rPr>
        <w:t>Arawn</w:t>
      </w:r>
      <w:proofErr w:type="spellEnd"/>
      <w:r>
        <w:rPr>
          <w:rFonts w:ascii="Times New Roman" w:eastAsia="Times New Roman" w:hAnsi="Times New Roman" w:cs="Times New Roman"/>
        </w:rPr>
        <w:t>) whilst others seem to have a disproportionate amount of care lavished</w:t>
      </w:r>
      <w:r>
        <w:rPr>
          <w:rFonts w:ascii="Times New Roman" w:eastAsia="Times New Roman" w:hAnsi="Times New Roman" w:cs="Times New Roman"/>
        </w:rPr>
        <w:t xml:space="preserve"> on them. Interestingly, it is often remarked (ie “the women of </w:t>
      </w:r>
      <w:r>
        <w:rPr>
          <w:rFonts w:ascii="Times New Roman" w:eastAsia="Times New Roman" w:hAnsi="Times New Roman" w:cs="Times New Roman"/>
          <w:i/>
        </w:rPr>
        <w:t>The Four Branches</w:t>
      </w:r>
      <w:r>
        <w:rPr>
          <w:rFonts w:ascii="Times New Roman" w:eastAsia="Times New Roman" w:hAnsi="Times New Roman" w:cs="Times New Roman"/>
        </w:rPr>
        <w:t>… tend towards a more convincing fusion of characteristics.”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that it is the female characters who are most successfully portrayed as rounded characters. </w:t>
      </w:r>
    </w:p>
    <w:p w14:paraId="0000000B"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Turning back then t</w:t>
      </w:r>
      <w:r>
        <w:rPr>
          <w:rFonts w:ascii="Times New Roman" w:eastAsia="Times New Roman" w:hAnsi="Times New Roman" w:cs="Times New Roman"/>
        </w:rPr>
        <w:t xml:space="preserve">o the characters under discussion, Rhiannon and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the intention of this essay is to critique them not from the position of their supposed antiquity, but from a purely literary </w:t>
      </w:r>
      <w:r>
        <w:rPr>
          <w:rFonts w:ascii="Times New Roman" w:eastAsia="Times New Roman" w:hAnsi="Times New Roman" w:cs="Times New Roman"/>
        </w:rPr>
        <w:lastRenderedPageBreak/>
        <w:t>standpoint - the techniques whereby the author brings them alive and g</w:t>
      </w:r>
      <w:r>
        <w:rPr>
          <w:rFonts w:ascii="Times New Roman" w:eastAsia="Times New Roman" w:hAnsi="Times New Roman" w:cs="Times New Roman"/>
        </w:rPr>
        <w:t xml:space="preserve">ives them depth and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and the characteristics with which he puts flesh on the literary bones. </w:t>
      </w:r>
    </w:p>
    <w:p w14:paraId="0000000C"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In many ways the two women bear comparison. Rhiannon is one of the central figures of the work, being linked as she is with many of the other characters, a</w:t>
      </w:r>
      <w:r>
        <w:rPr>
          <w:rFonts w:ascii="Times New Roman" w:eastAsia="Times New Roman" w:hAnsi="Times New Roman" w:cs="Times New Roman"/>
        </w:rPr>
        <w:t xml:space="preserve">nd although the two never meet, she </w:t>
      </w:r>
      <w:proofErr w:type="gramStart"/>
      <w:r>
        <w:rPr>
          <w:rFonts w:ascii="Times New Roman" w:eastAsia="Times New Roman" w:hAnsi="Times New Roman" w:cs="Times New Roman"/>
        </w:rPr>
        <w:t>is connected with</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via the sinister character of Gwydion, murderer of Rhiannon’s son </w:t>
      </w:r>
      <w:proofErr w:type="spellStart"/>
      <w:r>
        <w:rPr>
          <w:rFonts w:ascii="Times New Roman" w:eastAsia="Times New Roman" w:hAnsi="Times New Roman" w:cs="Times New Roman"/>
        </w:rPr>
        <w:t>Pryderi</w:t>
      </w:r>
      <w:proofErr w:type="spellEnd"/>
      <w:r>
        <w:rPr>
          <w:rFonts w:ascii="Times New Roman" w:eastAsia="Times New Roman" w:hAnsi="Times New Roman" w:cs="Times New Roman"/>
        </w:rPr>
        <w:t xml:space="preserve"> and creator of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herself. As wives of powerful men, both women are assigned roles that we would </w:t>
      </w:r>
      <w:proofErr w:type="gramStart"/>
      <w:r>
        <w:rPr>
          <w:rFonts w:ascii="Times New Roman" w:eastAsia="Times New Roman" w:hAnsi="Times New Roman" w:cs="Times New Roman"/>
        </w:rPr>
        <w:t>supposed</w:t>
      </w:r>
      <w:proofErr w:type="gramEnd"/>
      <w:r>
        <w:rPr>
          <w:rFonts w:ascii="Times New Roman" w:eastAsia="Times New Roman" w:hAnsi="Times New Roman" w:cs="Times New Roman"/>
        </w:rPr>
        <w:t xml:space="preserve"> wou</w:t>
      </w:r>
      <w:r>
        <w:rPr>
          <w:rFonts w:ascii="Times New Roman" w:eastAsia="Times New Roman" w:hAnsi="Times New Roman" w:cs="Times New Roman"/>
        </w:rPr>
        <w:t xml:space="preserve">ld limit their independence and agency, but both find their own responses to the challenges this brings. Both women are strong, and independent minded, and neither meekly accepts the position assigned them. </w:t>
      </w:r>
    </w:p>
    <w:p w14:paraId="0000000D"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Both women have a plainly supernatural origin. R</w:t>
      </w:r>
      <w:r>
        <w:rPr>
          <w:rFonts w:ascii="Times New Roman" w:eastAsia="Times New Roman" w:hAnsi="Times New Roman" w:cs="Times New Roman"/>
        </w:rPr>
        <w:t xml:space="preserve">hiannon is a creature of the Otherworld, her advent </w:t>
      </w:r>
      <w:proofErr w:type="spellStart"/>
      <w:r>
        <w:rPr>
          <w:rFonts w:ascii="Times New Roman" w:eastAsia="Times New Roman" w:hAnsi="Times New Roman" w:cs="Times New Roman"/>
        </w:rPr>
        <w:t>signalled</w:t>
      </w:r>
      <w:proofErr w:type="spellEnd"/>
      <w:r>
        <w:rPr>
          <w:rFonts w:ascii="Times New Roman" w:eastAsia="Times New Roman" w:hAnsi="Times New Roman" w:cs="Times New Roman"/>
        </w:rPr>
        <w:t xml:space="preserve"> by the location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has chosen to carouse upon. His companions warn him that if he rests upon Gorsedd </w:t>
      </w:r>
      <w:proofErr w:type="spellStart"/>
      <w:r>
        <w:rPr>
          <w:rFonts w:ascii="Times New Roman" w:eastAsia="Times New Roman" w:hAnsi="Times New Roman" w:cs="Times New Roman"/>
        </w:rPr>
        <w:t>Arberth</w:t>
      </w:r>
      <w:proofErr w:type="spellEnd"/>
      <w:r>
        <w:rPr>
          <w:rFonts w:ascii="Times New Roman" w:eastAsia="Times New Roman" w:hAnsi="Times New Roman" w:cs="Times New Roman"/>
        </w:rPr>
        <w:t xml:space="preserve"> “either he will be wounded… or else he will see something wonderful.”</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Rhiannon du</w:t>
      </w:r>
      <w:r>
        <w:rPr>
          <w:rFonts w:ascii="Times New Roman" w:eastAsia="Times New Roman" w:hAnsi="Times New Roman" w:cs="Times New Roman"/>
        </w:rPr>
        <w:t>ly arrives, dressed in golden robes, on a seemingly slowly moving “pale-white horse”</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As with the hounds of </w:t>
      </w:r>
      <w:proofErr w:type="spellStart"/>
      <w:r>
        <w:rPr>
          <w:rFonts w:ascii="Times New Roman" w:eastAsia="Times New Roman" w:hAnsi="Times New Roman" w:cs="Times New Roman"/>
        </w:rPr>
        <w:t>Arawn</w:t>
      </w:r>
      <w:proofErr w:type="spellEnd"/>
      <w:r>
        <w:rPr>
          <w:rFonts w:ascii="Times New Roman" w:eastAsia="Times New Roman" w:hAnsi="Times New Roman" w:cs="Times New Roman"/>
        </w:rPr>
        <w:t xml:space="preserve"> in the very opening of </w:t>
      </w:r>
      <w:r>
        <w:rPr>
          <w:rFonts w:ascii="Times New Roman" w:eastAsia="Times New Roman" w:hAnsi="Times New Roman" w:cs="Times New Roman"/>
          <w:i/>
        </w:rPr>
        <w:t>The Four Branches</w:t>
      </w:r>
      <w:r>
        <w:rPr>
          <w:rFonts w:ascii="Times New Roman" w:eastAsia="Times New Roman" w:hAnsi="Times New Roman" w:cs="Times New Roman"/>
        </w:rPr>
        <w:t xml:space="preserve">, such a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is emblematic of the intrusion of the Otherworld into the mortal realm. Rhiannon conf</w:t>
      </w:r>
      <w:r>
        <w:rPr>
          <w:rFonts w:ascii="Times New Roman" w:eastAsia="Times New Roman" w:hAnsi="Times New Roman" w:cs="Times New Roman"/>
        </w:rPr>
        <w:t xml:space="preserve">irms this since, despite being pursued by the very fastest riders that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sends after her, she cannot be caught, causing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to exclaim ‘there is some magical explanation here.”</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w:t>
      </w:r>
    </w:p>
    <w:p w14:paraId="0000000E"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Confirming her status as a more than mortal woman, Rhiannon is later se</w:t>
      </w:r>
      <w:r>
        <w:rPr>
          <w:rFonts w:ascii="Times New Roman" w:eastAsia="Times New Roman" w:hAnsi="Times New Roman" w:cs="Times New Roman"/>
        </w:rPr>
        <w:t xml:space="preserve">en to be possessed of a longevity far beyond that of her contemporaries. Before the end of the First Branch, she has outlived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who has died of old age. Despite the passage of eighty-seven more years during the events of the Second Branch, she reappea</w:t>
      </w:r>
      <w:r>
        <w:rPr>
          <w:rFonts w:ascii="Times New Roman" w:eastAsia="Times New Roman" w:hAnsi="Times New Roman" w:cs="Times New Roman"/>
        </w:rPr>
        <w:t xml:space="preserve">rs little older in the Third Branch, when she is given in marriage by </w:t>
      </w:r>
      <w:proofErr w:type="spellStart"/>
      <w:r>
        <w:rPr>
          <w:rFonts w:ascii="Times New Roman" w:eastAsia="Times New Roman" w:hAnsi="Times New Roman" w:cs="Times New Roman"/>
        </w:rPr>
        <w:t>Pryderi</w:t>
      </w:r>
      <w:proofErr w:type="spellEnd"/>
      <w:r>
        <w:rPr>
          <w:rFonts w:ascii="Times New Roman" w:eastAsia="Times New Roman" w:hAnsi="Times New Roman" w:cs="Times New Roman"/>
        </w:rPr>
        <w:t xml:space="preserve"> to his friend Manawydan with the words “even now you will not be disappointed with her looks”</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an assurance which is confirmed by the author’s comment that Manawydan “was deligh</w:t>
      </w:r>
      <w:r>
        <w:rPr>
          <w:rFonts w:ascii="Times New Roman" w:eastAsia="Times New Roman" w:hAnsi="Times New Roman" w:cs="Times New Roman"/>
        </w:rPr>
        <w:t>ted that he had never seen a woman who was fairer or more beautiful.”</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Because the passage of time is </w:t>
      </w:r>
      <w:proofErr w:type="spellStart"/>
      <w:r>
        <w:rPr>
          <w:rFonts w:ascii="Times New Roman" w:eastAsia="Times New Roman" w:hAnsi="Times New Roman" w:cs="Times New Roman"/>
        </w:rPr>
        <w:t>emphasised</w:t>
      </w:r>
      <w:proofErr w:type="spellEnd"/>
      <w:r>
        <w:rPr>
          <w:rFonts w:ascii="Times New Roman" w:eastAsia="Times New Roman" w:hAnsi="Times New Roman" w:cs="Times New Roman"/>
        </w:rPr>
        <w:t xml:space="preserve"> across </w:t>
      </w:r>
      <w:r>
        <w:rPr>
          <w:rFonts w:ascii="Times New Roman" w:eastAsia="Times New Roman" w:hAnsi="Times New Roman" w:cs="Times New Roman"/>
          <w:i/>
        </w:rPr>
        <w:t xml:space="preserve">The </w:t>
      </w:r>
      <w:r>
        <w:rPr>
          <w:rFonts w:ascii="Times New Roman" w:eastAsia="Times New Roman" w:hAnsi="Times New Roman" w:cs="Times New Roman"/>
          <w:i/>
        </w:rPr>
        <w:lastRenderedPageBreak/>
        <w:t>Four Branches</w:t>
      </w:r>
      <w:r>
        <w:rPr>
          <w:rFonts w:ascii="Times New Roman" w:eastAsia="Times New Roman" w:hAnsi="Times New Roman" w:cs="Times New Roman"/>
        </w:rPr>
        <w:t>, the audience is thereby made aware that Rhiannon’s indifference to it is part of her nature; she is of the Otherworld</w:t>
      </w:r>
      <w:r>
        <w:rPr>
          <w:rFonts w:ascii="Times New Roman" w:eastAsia="Times New Roman" w:hAnsi="Times New Roman" w:cs="Times New Roman"/>
        </w:rPr>
        <w:t xml:space="preserve"> and cannot be expected to conform to normal rules.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w:t>
      </w:r>
    </w:p>
    <w:p w14:paraId="0000000F" w14:textId="77777777" w:rsidR="006443F8" w:rsidRDefault="00811604">
      <w:pPr>
        <w:spacing w:line="432" w:lineRule="auto"/>
        <w:ind w:firstLine="720"/>
        <w:rPr>
          <w:rFonts w:ascii="Times New Roman" w:eastAsia="Times New Roman" w:hAnsi="Times New Roman" w:cs="Times New Roman"/>
        </w:rPr>
      </w:pP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of course, is the most overtly magical creature in </w:t>
      </w:r>
      <w:r>
        <w:rPr>
          <w:rFonts w:ascii="Times New Roman" w:eastAsia="Times New Roman" w:hAnsi="Times New Roman" w:cs="Times New Roman"/>
          <w:i/>
        </w:rPr>
        <w:t>The Four Branches</w:t>
      </w:r>
      <w:r>
        <w:rPr>
          <w:rFonts w:ascii="Times New Roman" w:eastAsia="Times New Roman" w:hAnsi="Times New Roman" w:cs="Times New Roman"/>
        </w:rPr>
        <w:t>, sprung full-formed from Gwydion and Math’s enchantments, and similarly designated “the fairest and most beautiful maiden</w:t>
      </w:r>
      <w:r>
        <w:rPr>
          <w:rFonts w:ascii="Times New Roman" w:eastAsia="Times New Roman" w:hAnsi="Times New Roman" w:cs="Times New Roman"/>
        </w:rPr>
        <w:t xml:space="preserve"> anyone had ever seen.”</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after which she is quickly given to </w:t>
      </w:r>
      <w:proofErr w:type="spellStart"/>
      <w:r>
        <w:rPr>
          <w:rFonts w:ascii="Times New Roman" w:eastAsia="Times New Roman" w:hAnsi="Times New Roman" w:cs="Times New Roman"/>
        </w:rPr>
        <w:t>Lleu</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Again, it might be supposed that, similar to the warning given to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when seated upon the Mound of </w:t>
      </w:r>
      <w:proofErr w:type="spellStart"/>
      <w:r>
        <w:rPr>
          <w:rFonts w:ascii="Times New Roman" w:eastAsia="Times New Roman" w:hAnsi="Times New Roman" w:cs="Times New Roman"/>
        </w:rPr>
        <w:t>Arberth</w:t>
      </w:r>
      <w:proofErr w:type="spellEnd"/>
      <w:r>
        <w:rPr>
          <w:rFonts w:ascii="Times New Roman" w:eastAsia="Times New Roman" w:hAnsi="Times New Roman" w:cs="Times New Roman"/>
        </w:rPr>
        <w:t>, something out of the ordinary would follow. But unlike Rhiannon</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we are given no other physical description of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w:t>
      </w:r>
    </w:p>
    <w:p w14:paraId="00000010"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The author also emp</w:t>
      </w:r>
      <w:r>
        <w:rPr>
          <w:rFonts w:ascii="Times New Roman" w:eastAsia="Times New Roman" w:hAnsi="Times New Roman" w:cs="Times New Roman"/>
        </w:rPr>
        <w:t xml:space="preserve">loys an interesting technique to compare the emotional attachment of both women - his depiction of love. We are told repeatedly of the love that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and Rhiannon have: “I have never wanted any man, because of my love for you”</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“it is you that I would ch</w:t>
      </w:r>
      <w:r>
        <w:rPr>
          <w:rFonts w:ascii="Times New Roman" w:eastAsia="Times New Roman" w:hAnsi="Times New Roman" w:cs="Times New Roman"/>
        </w:rPr>
        <w:t>oose”</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and how their delayed wedding night brings them “pleasure and contentment.”</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Furthermore, and interestingly, we are given considerable detail on their wedding, not only because of the upset that the coming of </w:t>
      </w:r>
      <w:proofErr w:type="spellStart"/>
      <w:r>
        <w:rPr>
          <w:rFonts w:ascii="Times New Roman" w:eastAsia="Times New Roman" w:hAnsi="Times New Roman" w:cs="Times New Roman"/>
        </w:rPr>
        <w:t>Gwawl</w:t>
      </w:r>
      <w:proofErr w:type="spellEnd"/>
      <w:r>
        <w:rPr>
          <w:rFonts w:ascii="Times New Roman" w:eastAsia="Times New Roman" w:hAnsi="Times New Roman" w:cs="Times New Roman"/>
        </w:rPr>
        <w:t xml:space="preserve"> causes, but for its own sake, sinc</w:t>
      </w:r>
      <w:r>
        <w:rPr>
          <w:rFonts w:ascii="Times New Roman" w:eastAsia="Times New Roman" w:hAnsi="Times New Roman" w:cs="Times New Roman"/>
        </w:rPr>
        <w:t xml:space="preserve">e they are made to stage it twice. Not only that, but we have yet more detail in the Third Branch </w:t>
      </w:r>
      <w:proofErr w:type="gramStart"/>
      <w:r>
        <w:rPr>
          <w:rFonts w:ascii="Times New Roman" w:eastAsia="Times New Roman" w:hAnsi="Times New Roman" w:cs="Times New Roman"/>
        </w:rPr>
        <w:t>on the occasion of</w:t>
      </w:r>
      <w:proofErr w:type="gramEnd"/>
      <w:r>
        <w:rPr>
          <w:rFonts w:ascii="Times New Roman" w:eastAsia="Times New Roman" w:hAnsi="Times New Roman" w:cs="Times New Roman"/>
        </w:rPr>
        <w:t xml:space="preserve"> Rhiannon’s second marriage to Manawydan, and another description of the feast at which they fall in love.</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By contrast, there is no mention</w:t>
      </w:r>
      <w:r>
        <w:rPr>
          <w:rFonts w:ascii="Times New Roman" w:eastAsia="Times New Roman" w:hAnsi="Times New Roman" w:cs="Times New Roman"/>
        </w:rPr>
        <w:t xml:space="preserve"> of </w:t>
      </w:r>
      <w:proofErr w:type="spellStart"/>
      <w:r>
        <w:rPr>
          <w:rFonts w:ascii="Times New Roman" w:eastAsia="Times New Roman" w:hAnsi="Times New Roman" w:cs="Times New Roman"/>
        </w:rPr>
        <w:t>Blodeuwedd’s</w:t>
      </w:r>
      <w:proofErr w:type="spellEnd"/>
      <w:r>
        <w:rPr>
          <w:rFonts w:ascii="Times New Roman" w:eastAsia="Times New Roman" w:hAnsi="Times New Roman" w:cs="Times New Roman"/>
        </w:rPr>
        <w:t xml:space="preserve"> wedding to </w:t>
      </w:r>
      <w:proofErr w:type="spellStart"/>
      <w:r>
        <w:rPr>
          <w:rFonts w:ascii="Times New Roman" w:eastAsia="Times New Roman" w:hAnsi="Times New Roman" w:cs="Times New Roman"/>
        </w:rPr>
        <w:t>Lleu</w:t>
      </w:r>
      <w:proofErr w:type="spellEnd"/>
      <w:r>
        <w:rPr>
          <w:rFonts w:ascii="Times New Roman" w:eastAsia="Times New Roman" w:hAnsi="Times New Roman" w:cs="Times New Roman"/>
        </w:rPr>
        <w:t xml:space="preserve">, or the </w:t>
      </w:r>
      <w:proofErr w:type="spellStart"/>
      <w:r>
        <w:rPr>
          <w:rFonts w:ascii="Times New Roman" w:eastAsia="Times New Roman" w:hAnsi="Times New Roman" w:cs="Times New Roman"/>
        </w:rPr>
        <w:t>honour</w:t>
      </w:r>
      <w:proofErr w:type="spellEnd"/>
      <w:r>
        <w:rPr>
          <w:rFonts w:ascii="Times New Roman" w:eastAsia="Times New Roman" w:hAnsi="Times New Roman" w:cs="Times New Roman"/>
        </w:rPr>
        <w:t xml:space="preserve"> done her, or the seating arrangement. The only reference to their meeting is “after </w:t>
      </w:r>
      <w:proofErr w:type="spellStart"/>
      <w:r>
        <w:rPr>
          <w:rFonts w:ascii="Times New Roman" w:eastAsia="Times New Roman" w:hAnsi="Times New Roman" w:cs="Times New Roman"/>
        </w:rPr>
        <w:t>Lleu</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had slept together at the feast”</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We are not party to any conversation between them, and indeed </w:t>
      </w:r>
      <w:proofErr w:type="spellStart"/>
      <w:r>
        <w:rPr>
          <w:rFonts w:ascii="Times New Roman" w:eastAsia="Times New Roman" w:hAnsi="Times New Roman" w:cs="Times New Roman"/>
        </w:rPr>
        <w:t>Blodeuw</w:t>
      </w:r>
      <w:r>
        <w:rPr>
          <w:rFonts w:ascii="Times New Roman" w:eastAsia="Times New Roman" w:hAnsi="Times New Roman" w:cs="Times New Roman"/>
        </w:rPr>
        <w:t>edd</w:t>
      </w:r>
      <w:proofErr w:type="spellEnd"/>
      <w:r>
        <w:rPr>
          <w:rFonts w:ascii="Times New Roman" w:eastAsia="Times New Roman" w:hAnsi="Times New Roman" w:cs="Times New Roman"/>
        </w:rPr>
        <w:t xml:space="preserve"> is denied even her own voice or thoughts at this point. Significantly, there is no mention of any love, affection or pleasure, in stark contrast to the relationship between Rhiannon and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One might thereby say that in their separate stories Rhiann</w:t>
      </w:r>
      <w:r>
        <w:rPr>
          <w:rFonts w:ascii="Times New Roman" w:eastAsia="Times New Roman" w:hAnsi="Times New Roman" w:cs="Times New Roman"/>
        </w:rPr>
        <w:t xml:space="preserve">on is portrayed </w:t>
      </w:r>
      <w:r>
        <w:rPr>
          <w:rFonts w:ascii="Times New Roman" w:eastAsia="Times New Roman" w:hAnsi="Times New Roman" w:cs="Times New Roman"/>
        </w:rPr>
        <w:lastRenderedPageBreak/>
        <w:t xml:space="preserve">as loving and faithful, and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faithless, but it can surely be no coincidence that the first and only mention of love in the Fourth Branch comes when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catches sight of </w:t>
      </w:r>
      <w:proofErr w:type="spellStart"/>
      <w:r>
        <w:rPr>
          <w:rFonts w:ascii="Times New Roman" w:eastAsia="Times New Roman" w:hAnsi="Times New Roman" w:cs="Times New Roman"/>
        </w:rPr>
        <w:t>Gronw</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Pebr</w:t>
      </w:r>
      <w:proofErr w:type="spellEnd"/>
      <w:r>
        <w:rPr>
          <w:rFonts w:ascii="Times New Roman" w:eastAsia="Times New Roman" w:hAnsi="Times New Roman" w:cs="Times New Roman"/>
        </w:rPr>
        <w:t xml:space="preserve"> - “there was no part of her that was not fi</w:t>
      </w:r>
      <w:r>
        <w:rPr>
          <w:rFonts w:ascii="Times New Roman" w:eastAsia="Times New Roman" w:hAnsi="Times New Roman" w:cs="Times New Roman"/>
        </w:rPr>
        <w:t xml:space="preserve">lled with love for him.” p59. The Fourth Branch concerns itself with rape, violence, murder, </w:t>
      </w:r>
      <w:proofErr w:type="spellStart"/>
      <w:r>
        <w:rPr>
          <w:rFonts w:ascii="Times New Roman" w:eastAsia="Times New Roman" w:hAnsi="Times New Roman" w:cs="Times New Roman"/>
        </w:rPr>
        <w:t>Aranrhod’s</w:t>
      </w:r>
      <w:proofErr w:type="spellEnd"/>
      <w:r>
        <w:rPr>
          <w:rFonts w:ascii="Times New Roman" w:eastAsia="Times New Roman" w:hAnsi="Times New Roman" w:cs="Times New Roman"/>
        </w:rPr>
        <w:t xml:space="preserve"> hatred of her son, and the creation of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as a gift to fulfill the final part of </w:t>
      </w:r>
      <w:proofErr w:type="spellStart"/>
      <w:r>
        <w:rPr>
          <w:rFonts w:ascii="Times New Roman" w:eastAsia="Times New Roman" w:hAnsi="Times New Roman" w:cs="Times New Roman"/>
        </w:rPr>
        <w:t>Lleu’s</w:t>
      </w:r>
      <w:proofErr w:type="spellEnd"/>
      <w:r>
        <w:rPr>
          <w:rFonts w:ascii="Times New Roman" w:eastAsia="Times New Roman" w:hAnsi="Times New Roman" w:cs="Times New Roman"/>
        </w:rPr>
        <w:t xml:space="preserve"> passage into manhood. Skillfully the author presents no </w:t>
      </w:r>
      <w:r>
        <w:rPr>
          <w:rFonts w:ascii="Times New Roman" w:eastAsia="Times New Roman" w:hAnsi="Times New Roman" w:cs="Times New Roman"/>
        </w:rPr>
        <w:t xml:space="preserve">judgement on this, but it is noticeable that he only describes a situation akin to the wedding night between Rhiannon and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in the nights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Gronw</w:t>
      </w:r>
      <w:proofErr w:type="spellEnd"/>
      <w:r>
        <w:rPr>
          <w:rFonts w:ascii="Times New Roman" w:eastAsia="Times New Roman" w:hAnsi="Times New Roman" w:cs="Times New Roman"/>
        </w:rPr>
        <w:t xml:space="preserve"> spend together</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 “their talk… was of the attraction and love they felt for one another.”</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Bo</w:t>
      </w:r>
      <w:r>
        <w:rPr>
          <w:rFonts w:ascii="Times New Roman" w:eastAsia="Times New Roman" w:hAnsi="Times New Roman" w:cs="Times New Roman"/>
        </w:rPr>
        <w:t xml:space="preserve">th women are therefore loving, and demonstrate that it is their own choice to whom that love is given, a strongly independent trait which acts despite the constrained nature of the medieval marriage. </w:t>
      </w:r>
    </w:p>
    <w:p w14:paraId="00000011"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 xml:space="preserve">This </w:t>
      </w:r>
      <w:proofErr w:type="gramStart"/>
      <w:r>
        <w:rPr>
          <w:rFonts w:ascii="Times New Roman" w:eastAsia="Times New Roman" w:hAnsi="Times New Roman" w:cs="Times New Roman"/>
        </w:rPr>
        <w:t>in itself points</w:t>
      </w:r>
      <w:proofErr w:type="gramEnd"/>
      <w:r>
        <w:rPr>
          <w:rFonts w:ascii="Times New Roman" w:eastAsia="Times New Roman" w:hAnsi="Times New Roman" w:cs="Times New Roman"/>
        </w:rPr>
        <w:t xml:space="preserve"> to another distinction between th</w:t>
      </w:r>
      <w:r>
        <w:rPr>
          <w:rFonts w:ascii="Times New Roman" w:eastAsia="Times New Roman" w:hAnsi="Times New Roman" w:cs="Times New Roman"/>
        </w:rPr>
        <w:t xml:space="preserve">e women. Both are strong characters, able to plot their own course and far from content to simply abide by their husband’s wishes, yet Rhiannon is wise and cautious while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is clearly rash and a risk-taker. Rhiannon makes it clear from the outset </w:t>
      </w:r>
      <w:r>
        <w:rPr>
          <w:rFonts w:ascii="Times New Roman" w:eastAsia="Times New Roman" w:hAnsi="Times New Roman" w:cs="Times New Roman"/>
        </w:rPr>
        <w:t xml:space="preserve">that she has come to Gorsedd </w:t>
      </w:r>
      <w:proofErr w:type="spellStart"/>
      <w:r>
        <w:rPr>
          <w:rFonts w:ascii="Times New Roman" w:eastAsia="Times New Roman" w:hAnsi="Times New Roman" w:cs="Times New Roman"/>
        </w:rPr>
        <w:t>Arberth</w:t>
      </w:r>
      <w:proofErr w:type="spellEnd"/>
      <w:r>
        <w:rPr>
          <w:rFonts w:ascii="Times New Roman" w:eastAsia="Times New Roman" w:hAnsi="Times New Roman" w:cs="Times New Roman"/>
        </w:rPr>
        <w:t xml:space="preserve"> with the specific intention of winning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She speaks her mind (“Going about my business”, “my main purpose is to try and see you”</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and clearly has an agenda and attitude of her own. She even berates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at what s</w:t>
      </w:r>
      <w:r>
        <w:rPr>
          <w:rFonts w:ascii="Times New Roman" w:eastAsia="Times New Roman" w:hAnsi="Times New Roman" w:cs="Times New Roman"/>
        </w:rPr>
        <w:t>hould have been his own wedding - “never has a man been more stupid than you have been.”</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The plan by which </w:t>
      </w:r>
      <w:proofErr w:type="spellStart"/>
      <w:r>
        <w:rPr>
          <w:rFonts w:ascii="Times New Roman" w:eastAsia="Times New Roman" w:hAnsi="Times New Roman" w:cs="Times New Roman"/>
        </w:rPr>
        <w:t>Gwawl</w:t>
      </w:r>
      <w:proofErr w:type="spellEnd"/>
      <w:r>
        <w:rPr>
          <w:rFonts w:ascii="Times New Roman" w:eastAsia="Times New Roman" w:hAnsi="Times New Roman" w:cs="Times New Roman"/>
        </w:rPr>
        <w:t xml:space="preserve"> is tricked and forced to renounce his claim to her is Rhiannon’s, not </w:t>
      </w:r>
      <w:proofErr w:type="spellStart"/>
      <w:r>
        <w:rPr>
          <w:rFonts w:ascii="Times New Roman" w:eastAsia="Times New Roman" w:hAnsi="Times New Roman" w:cs="Times New Roman"/>
        </w:rPr>
        <w:t>Pwyll’s</w:t>
      </w:r>
      <w:proofErr w:type="spellEnd"/>
      <w:r>
        <w:rPr>
          <w:rFonts w:ascii="Times New Roman" w:eastAsia="Times New Roman" w:hAnsi="Times New Roman" w:cs="Times New Roman"/>
        </w:rPr>
        <w:t>, and it is Rhiannon who supplies the magic bag to capture him. W</w:t>
      </w:r>
      <w:r>
        <w:rPr>
          <w:rFonts w:ascii="Times New Roman" w:eastAsia="Times New Roman" w:hAnsi="Times New Roman" w:cs="Times New Roman"/>
        </w:rPr>
        <w:t>e are repeatedly offered a picture of a strong, forthright and intelligent woman - “as Rhiannon had ordered”</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“this is what I advise”</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On each occasion Rhiannon takes the lead in determining courses of action, and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goes along with it (“I am satisfie</w:t>
      </w:r>
      <w:r>
        <w:rPr>
          <w:rFonts w:ascii="Times New Roman" w:eastAsia="Times New Roman" w:hAnsi="Times New Roman" w:cs="Times New Roman"/>
        </w:rPr>
        <w:t>d with what Rhiannon has drawn up”)</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This is clearly her essential nature, since she wastes no time in the Third Branch in similarly berating Manawydan when </w:t>
      </w:r>
      <w:r>
        <w:rPr>
          <w:rFonts w:ascii="Times New Roman" w:eastAsia="Times New Roman" w:hAnsi="Times New Roman" w:cs="Times New Roman"/>
        </w:rPr>
        <w:lastRenderedPageBreak/>
        <w:t xml:space="preserve">he returns to court minus </w:t>
      </w:r>
      <w:proofErr w:type="spellStart"/>
      <w:r>
        <w:rPr>
          <w:rFonts w:ascii="Times New Roman" w:eastAsia="Times New Roman" w:hAnsi="Times New Roman" w:cs="Times New Roman"/>
        </w:rPr>
        <w:t>Pryderi</w:t>
      </w:r>
      <w:proofErr w:type="spellEnd"/>
      <w:r>
        <w:rPr>
          <w:rFonts w:ascii="Times New Roman" w:eastAsia="Times New Roman" w:hAnsi="Times New Roman" w:cs="Times New Roman"/>
        </w:rPr>
        <w:t>. She demands to know where her son is, and, on learning how he h</w:t>
      </w:r>
      <w:r>
        <w:rPr>
          <w:rFonts w:ascii="Times New Roman" w:eastAsia="Times New Roman" w:hAnsi="Times New Roman" w:cs="Times New Roman"/>
        </w:rPr>
        <w:t>as been lost, chides him “you have been a poor companion”</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and sets out alone to find him.</w:t>
      </w:r>
    </w:p>
    <w:p w14:paraId="00000012"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 xml:space="preserve">And yet, Rhiannon is content to operate from within the convention of </w:t>
      </w:r>
      <w:proofErr w:type="gramStart"/>
      <w:r>
        <w:rPr>
          <w:rFonts w:ascii="Times New Roman" w:eastAsia="Times New Roman" w:hAnsi="Times New Roman" w:cs="Times New Roman"/>
        </w:rPr>
        <w:t>marriage, and</w:t>
      </w:r>
      <w:proofErr w:type="gramEnd"/>
      <w:r>
        <w:rPr>
          <w:rFonts w:ascii="Times New Roman" w:eastAsia="Times New Roman" w:hAnsi="Times New Roman" w:cs="Times New Roman"/>
        </w:rPr>
        <w:t xml:space="preserve"> is able to </w:t>
      </w:r>
      <w:proofErr w:type="spellStart"/>
      <w:r>
        <w:rPr>
          <w:rFonts w:ascii="Times New Roman" w:eastAsia="Times New Roman" w:hAnsi="Times New Roman" w:cs="Times New Roman"/>
        </w:rPr>
        <w:t>analyse</w:t>
      </w:r>
      <w:proofErr w:type="spellEnd"/>
      <w:r>
        <w:rPr>
          <w:rFonts w:ascii="Times New Roman" w:eastAsia="Times New Roman" w:hAnsi="Times New Roman" w:cs="Times New Roman"/>
        </w:rPr>
        <w:t xml:space="preserve"> the situations in which she finds herself and, if need be, bid</w:t>
      </w:r>
      <w:r>
        <w:rPr>
          <w:rFonts w:ascii="Times New Roman" w:eastAsia="Times New Roman" w:hAnsi="Times New Roman" w:cs="Times New Roman"/>
        </w:rPr>
        <w:t xml:space="preserve">e her time rather than act rashly. When she is falsely accused of </w:t>
      </w:r>
      <w:proofErr w:type="gramStart"/>
      <w:r>
        <w:rPr>
          <w:rFonts w:ascii="Times New Roman" w:eastAsia="Times New Roman" w:hAnsi="Times New Roman" w:cs="Times New Roman"/>
        </w:rPr>
        <w:t>infanticide</w:t>
      </w:r>
      <w:proofErr w:type="gramEnd"/>
      <w:r>
        <w:rPr>
          <w:rFonts w:ascii="Times New Roman" w:eastAsia="Times New Roman" w:hAnsi="Times New Roman" w:cs="Times New Roman"/>
        </w:rPr>
        <w:t xml:space="preserve"> we are told she “summoned wise and learned men”</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and, determining that there is no easy or quick solution to the calumny, “she accepted her punishment.”</w:t>
      </w:r>
      <w:r>
        <w:rPr>
          <w:rFonts w:ascii="Times New Roman" w:eastAsia="Times New Roman" w:hAnsi="Times New Roman" w:cs="Times New Roman"/>
          <w:vertAlign w:val="superscript"/>
        </w:rPr>
        <w:footnoteReference w:id="32"/>
      </w:r>
    </w:p>
    <w:p w14:paraId="00000013" w14:textId="77777777" w:rsidR="006443F8" w:rsidRDefault="00811604">
      <w:pPr>
        <w:spacing w:line="432" w:lineRule="auto"/>
        <w:ind w:firstLine="720"/>
        <w:rPr>
          <w:rFonts w:ascii="Times New Roman" w:eastAsia="Times New Roman" w:hAnsi="Times New Roman" w:cs="Times New Roman"/>
        </w:rPr>
      </w:pP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is also plai</w:t>
      </w:r>
      <w:r>
        <w:rPr>
          <w:rFonts w:ascii="Times New Roman" w:eastAsia="Times New Roman" w:hAnsi="Times New Roman" w:cs="Times New Roman"/>
        </w:rPr>
        <w:t xml:space="preserve">n spoken and forthright, but she is headstrong and rash. Twice, on successive nights, she insists </w:t>
      </w:r>
      <w:proofErr w:type="spellStart"/>
      <w:r>
        <w:rPr>
          <w:rFonts w:ascii="Times New Roman" w:eastAsia="Times New Roman" w:hAnsi="Times New Roman" w:cs="Times New Roman"/>
        </w:rPr>
        <w:t>Gronw</w:t>
      </w:r>
      <w:proofErr w:type="spellEnd"/>
      <w:r>
        <w:rPr>
          <w:rFonts w:ascii="Times New Roman" w:eastAsia="Times New Roman" w:hAnsi="Times New Roman" w:cs="Times New Roman"/>
        </w:rPr>
        <w:t xml:space="preserve"> stay with her even though he is alarmed at the prospect of her husband returning (“you will not leave me tonight”</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There is no indication that she is </w:t>
      </w:r>
      <w:r>
        <w:rPr>
          <w:rFonts w:ascii="Times New Roman" w:eastAsia="Times New Roman" w:hAnsi="Times New Roman" w:cs="Times New Roman"/>
        </w:rPr>
        <w:t xml:space="preserve">a reluctant conspirator in her husband’s deceit, and it is surely again no coincidence that the first conversation we are given between </w:t>
      </w:r>
      <w:proofErr w:type="spellStart"/>
      <w:r>
        <w:rPr>
          <w:rFonts w:ascii="Times New Roman" w:eastAsia="Times New Roman" w:hAnsi="Times New Roman" w:cs="Times New Roman"/>
        </w:rPr>
        <w:t>Lleu</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is the subsequent one in which she tricks him into revealing the secret of his mortality.</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Although </w:t>
      </w:r>
      <w:r>
        <w:rPr>
          <w:rFonts w:ascii="Times New Roman" w:eastAsia="Times New Roman" w:hAnsi="Times New Roman" w:cs="Times New Roman"/>
        </w:rPr>
        <w:t xml:space="preserve">one could argue that there is a clear contrast between the faithful and honest Rhiannon and the deceitful and dissembling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they are perhaps in truth not too dissimilar. Rhiannon is not only quick to deceive </w:t>
      </w:r>
      <w:proofErr w:type="spellStart"/>
      <w:r>
        <w:rPr>
          <w:rFonts w:ascii="Times New Roman" w:eastAsia="Times New Roman" w:hAnsi="Times New Roman" w:cs="Times New Roman"/>
        </w:rPr>
        <w:t>Gwawl</w:t>
      </w:r>
      <w:proofErr w:type="spellEnd"/>
      <w:r>
        <w:rPr>
          <w:rFonts w:ascii="Times New Roman" w:eastAsia="Times New Roman" w:hAnsi="Times New Roman" w:cs="Times New Roman"/>
        </w:rPr>
        <w:t xml:space="preserve"> once </w:t>
      </w:r>
      <w:proofErr w:type="spellStart"/>
      <w:r>
        <w:rPr>
          <w:rFonts w:ascii="Times New Roman" w:eastAsia="Times New Roman" w:hAnsi="Times New Roman" w:cs="Times New Roman"/>
        </w:rPr>
        <w:t>Pwyll’s</w:t>
      </w:r>
      <w:proofErr w:type="spellEnd"/>
      <w:r>
        <w:rPr>
          <w:rFonts w:ascii="Times New Roman" w:eastAsia="Times New Roman" w:hAnsi="Times New Roman" w:cs="Times New Roman"/>
        </w:rPr>
        <w:t xml:space="preserve"> foolishness has put</w:t>
      </w:r>
      <w:r>
        <w:rPr>
          <w:rFonts w:ascii="Times New Roman" w:eastAsia="Times New Roman" w:hAnsi="Times New Roman" w:cs="Times New Roman"/>
        </w:rPr>
        <w:t xml:space="preserve"> her in his hands, but utterly convincing, and indeed the manner of the insult dealt him leads directly to the calamitous events of the Third Branch. Furthermore, both women are shown to manipulate their spouses to gain their desired ends. As Winward state</w:t>
      </w:r>
      <w:r>
        <w:rPr>
          <w:rFonts w:ascii="Times New Roman" w:eastAsia="Times New Roman" w:hAnsi="Times New Roman" w:cs="Times New Roman"/>
        </w:rPr>
        <w:t xml:space="preserve">s “the manipulators - Rhiannon, </w:t>
      </w:r>
      <w:proofErr w:type="spellStart"/>
      <w:r>
        <w:rPr>
          <w:rFonts w:ascii="Times New Roman" w:eastAsia="Times New Roman" w:hAnsi="Times New Roman" w:cs="Times New Roman"/>
        </w:rPr>
        <w:t>Goewin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Cigfa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 all possess an acute understanding of the relationship dynamics and codes of etiquette between men and </w:t>
      </w:r>
      <w:proofErr w:type="gramStart"/>
      <w:r>
        <w:rPr>
          <w:rFonts w:ascii="Times New Roman" w:eastAsia="Times New Roman" w:hAnsi="Times New Roman" w:cs="Times New Roman"/>
        </w:rPr>
        <w:t>women, and</w:t>
      </w:r>
      <w:proofErr w:type="gramEnd"/>
      <w:r>
        <w:rPr>
          <w:rFonts w:ascii="Times New Roman" w:eastAsia="Times New Roman" w:hAnsi="Times New Roman" w:cs="Times New Roman"/>
        </w:rPr>
        <w:t xml:space="preserve"> are able to exploit them to great benefit.”</w:t>
      </w:r>
      <w:r>
        <w:rPr>
          <w:rFonts w:ascii="Times New Roman" w:eastAsia="Times New Roman" w:hAnsi="Times New Roman" w:cs="Times New Roman"/>
          <w:vertAlign w:val="superscript"/>
        </w:rPr>
        <w:footnoteReference w:id="35"/>
      </w:r>
    </w:p>
    <w:p w14:paraId="00000014"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There are other aspects in which we c</w:t>
      </w:r>
      <w:r>
        <w:rPr>
          <w:rFonts w:ascii="Times New Roman" w:eastAsia="Times New Roman" w:hAnsi="Times New Roman" w:cs="Times New Roman"/>
        </w:rPr>
        <w:t xml:space="preserve">an, however, draw clear contrasts between the two women. Rhiannon is innocent of the crime of which she is accused. From the outset we are a party to this - we know she is </w:t>
      </w:r>
      <w:proofErr w:type="gramStart"/>
      <w:r>
        <w:rPr>
          <w:rFonts w:ascii="Times New Roman" w:eastAsia="Times New Roman" w:hAnsi="Times New Roman" w:cs="Times New Roman"/>
        </w:rPr>
        <w:t>innocent</w:t>
      </w:r>
      <w:proofErr w:type="gramEnd"/>
      <w:r>
        <w:rPr>
          <w:rFonts w:ascii="Times New Roman" w:eastAsia="Times New Roman" w:hAnsi="Times New Roman" w:cs="Times New Roman"/>
        </w:rPr>
        <w:t xml:space="preserve"> and we know that the punishment levied upon her is therefore unjust. But at</w:t>
      </w:r>
      <w:r>
        <w:rPr>
          <w:rFonts w:ascii="Times New Roman" w:eastAsia="Times New Roman" w:hAnsi="Times New Roman" w:cs="Times New Roman"/>
        </w:rPr>
        <w:t xml:space="preserve"> the </w:t>
      </w:r>
      <w:r>
        <w:rPr>
          <w:rFonts w:ascii="Times New Roman" w:eastAsia="Times New Roman" w:hAnsi="Times New Roman" w:cs="Times New Roman"/>
        </w:rPr>
        <w:lastRenderedPageBreak/>
        <w:t xml:space="preserve">same time because she ‘accepts her punishment’ the author invites us to think even more highly of her despite the humiliation she is forced to undergo. Furthermore, despite this, she does not lose her place at court and unlike the similarly punished </w:t>
      </w:r>
      <w:proofErr w:type="spellStart"/>
      <w:r>
        <w:rPr>
          <w:rFonts w:ascii="Times New Roman" w:eastAsia="Times New Roman" w:hAnsi="Times New Roman" w:cs="Times New Roman"/>
        </w:rPr>
        <w:t>B</w:t>
      </w:r>
      <w:r>
        <w:rPr>
          <w:rFonts w:ascii="Times New Roman" w:eastAsia="Times New Roman" w:hAnsi="Times New Roman" w:cs="Times New Roman"/>
        </w:rPr>
        <w:t>ranwen</w:t>
      </w:r>
      <w:proofErr w:type="spellEnd"/>
      <w:r>
        <w:rPr>
          <w:rFonts w:ascii="Times New Roman" w:eastAsia="Times New Roman" w:hAnsi="Times New Roman" w:cs="Times New Roman"/>
        </w:rPr>
        <w:t xml:space="preserve"> is not vanquished to a lowly scullery. As J. K. Bollard states “the author’s subtle portrayal of the relationship between </w:t>
      </w:r>
      <w:proofErr w:type="spellStart"/>
      <w:r>
        <w:rPr>
          <w:rFonts w:ascii="Times New Roman" w:eastAsia="Times New Roman" w:hAnsi="Times New Roman" w:cs="Times New Roman"/>
        </w:rPr>
        <w:t>Pwyll</w:t>
      </w:r>
      <w:proofErr w:type="spellEnd"/>
      <w:r>
        <w:rPr>
          <w:rFonts w:ascii="Times New Roman" w:eastAsia="Times New Roman" w:hAnsi="Times New Roman" w:cs="Times New Roman"/>
        </w:rPr>
        <w:t xml:space="preserve"> and Rhiannon suggests that one of the elements of this </w:t>
      </w:r>
      <w:proofErr w:type="spellStart"/>
      <w:r>
        <w:rPr>
          <w:rFonts w:ascii="Times New Roman" w:eastAsia="Times New Roman" w:hAnsi="Times New Roman" w:cs="Times New Roman"/>
        </w:rPr>
        <w:t>characterisation</w:t>
      </w:r>
      <w:proofErr w:type="spellEnd"/>
      <w:r>
        <w:rPr>
          <w:rFonts w:ascii="Times New Roman" w:eastAsia="Times New Roman" w:hAnsi="Times New Roman" w:cs="Times New Roman"/>
        </w:rPr>
        <w:t xml:space="preserve"> is the fact that Rhiannon has kept her position o</w:t>
      </w:r>
      <w:r>
        <w:rPr>
          <w:rFonts w:ascii="Times New Roman" w:eastAsia="Times New Roman" w:hAnsi="Times New Roman" w:cs="Times New Roman"/>
        </w:rPr>
        <w:t xml:space="preserve">f </w:t>
      </w:r>
      <w:proofErr w:type="spellStart"/>
      <w:r>
        <w:rPr>
          <w:rFonts w:ascii="Times New Roman" w:eastAsia="Times New Roman" w:hAnsi="Times New Roman" w:cs="Times New Roman"/>
        </w:rPr>
        <w:t>honour</w:t>
      </w:r>
      <w:proofErr w:type="spellEnd"/>
      <w:r>
        <w:rPr>
          <w:rFonts w:ascii="Times New Roman" w:eastAsia="Times New Roman" w:hAnsi="Times New Roman" w:cs="Times New Roman"/>
        </w:rPr>
        <w:t xml:space="preserve"> in the court at </w:t>
      </w:r>
      <w:proofErr w:type="spellStart"/>
      <w:r>
        <w:rPr>
          <w:rFonts w:ascii="Times New Roman" w:eastAsia="Times New Roman" w:hAnsi="Times New Roman" w:cs="Times New Roman"/>
        </w:rPr>
        <w:t>Pwyll’s</w:t>
      </w:r>
      <w:proofErr w:type="spellEnd"/>
      <w:r>
        <w:rPr>
          <w:rFonts w:ascii="Times New Roman" w:eastAsia="Times New Roman" w:hAnsi="Times New Roman" w:cs="Times New Roman"/>
        </w:rPr>
        <w:t xml:space="preserve"> side.”</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It is also clear that - notwithstanding the crime of which she is accused - the sympathy of the court lies with Rhiannon. Even though </w:t>
      </w:r>
      <w:proofErr w:type="spellStart"/>
      <w:r>
        <w:rPr>
          <w:rFonts w:ascii="Times New Roman" w:eastAsia="Times New Roman" w:hAnsi="Times New Roman" w:cs="Times New Roman"/>
        </w:rPr>
        <w:t>Teyrnon’s</w:t>
      </w:r>
      <w:proofErr w:type="spellEnd"/>
      <w:r>
        <w:rPr>
          <w:rFonts w:ascii="Times New Roman" w:eastAsia="Times New Roman" w:hAnsi="Times New Roman" w:cs="Times New Roman"/>
        </w:rPr>
        <w:t xml:space="preserve"> court lies some distance from </w:t>
      </w:r>
      <w:proofErr w:type="spellStart"/>
      <w:r>
        <w:rPr>
          <w:rFonts w:ascii="Times New Roman" w:eastAsia="Times New Roman" w:hAnsi="Times New Roman" w:cs="Times New Roman"/>
        </w:rPr>
        <w:t>Pwyll’s</w:t>
      </w:r>
      <w:proofErr w:type="spellEnd"/>
      <w:r>
        <w:rPr>
          <w:rFonts w:ascii="Times New Roman" w:eastAsia="Times New Roman" w:hAnsi="Times New Roman" w:cs="Times New Roman"/>
        </w:rPr>
        <w:t xml:space="preserve">, he hears “increased complaints </w:t>
      </w:r>
      <w:r>
        <w:rPr>
          <w:rFonts w:ascii="Times New Roman" w:eastAsia="Times New Roman" w:hAnsi="Times New Roman" w:cs="Times New Roman"/>
        </w:rPr>
        <w:t>about the wretchedness of Rhiannon’s misfortune and punishment from the very many people who visited the court”</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 Here the author perhaps forgets that the people of Dyfed are not party to the same information regarding Rhiannon’s innocence that we are - it</w:t>
      </w:r>
      <w:r>
        <w:rPr>
          <w:rFonts w:ascii="Times New Roman" w:eastAsia="Times New Roman" w:hAnsi="Times New Roman" w:cs="Times New Roman"/>
        </w:rPr>
        <w:t xml:space="preserve"> seems that they would in truth be less magnanimous concerning Rhiannon’s punishment given the crime of infanticide and cannibalism of </w:t>
      </w:r>
      <w:proofErr w:type="spellStart"/>
      <w:r>
        <w:rPr>
          <w:rFonts w:ascii="Times New Roman" w:eastAsia="Times New Roman" w:hAnsi="Times New Roman" w:cs="Times New Roman"/>
        </w:rPr>
        <w:t>Pwyll’s</w:t>
      </w:r>
      <w:proofErr w:type="spellEnd"/>
      <w:r>
        <w:rPr>
          <w:rFonts w:ascii="Times New Roman" w:eastAsia="Times New Roman" w:hAnsi="Times New Roman" w:cs="Times New Roman"/>
        </w:rPr>
        <w:t xml:space="preserve"> heir that she is apparently guilty of. As Bollard states “the audience is aware that Rhiannon is innocent of the </w:t>
      </w:r>
      <w:r>
        <w:rPr>
          <w:rFonts w:ascii="Times New Roman" w:eastAsia="Times New Roman" w:hAnsi="Times New Roman" w:cs="Times New Roman"/>
        </w:rPr>
        <w:t xml:space="preserve">charges for which she is being punished and the text makes it clear that the members of </w:t>
      </w:r>
      <w:proofErr w:type="spellStart"/>
      <w:r>
        <w:rPr>
          <w:rFonts w:ascii="Times New Roman" w:eastAsia="Times New Roman" w:hAnsi="Times New Roman" w:cs="Times New Roman"/>
        </w:rPr>
        <w:t>Pwyll’s</w:t>
      </w:r>
      <w:proofErr w:type="spellEnd"/>
      <w:r>
        <w:rPr>
          <w:rFonts w:ascii="Times New Roman" w:eastAsia="Times New Roman" w:hAnsi="Times New Roman" w:cs="Times New Roman"/>
        </w:rPr>
        <w:t xml:space="preserve"> court also believe her to be innocent.”</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But by showing us Rhiannon accepting her fate even though she is innocent we are given a moral lesson concerning patien</w:t>
      </w:r>
      <w:r>
        <w:rPr>
          <w:rFonts w:ascii="Times New Roman" w:eastAsia="Times New Roman" w:hAnsi="Times New Roman" w:cs="Times New Roman"/>
        </w:rPr>
        <w:t xml:space="preserve">ce and steadfastness in the face of misfortune. </w:t>
      </w:r>
    </w:p>
    <w:p w14:paraId="00000015" w14:textId="77777777" w:rsidR="006443F8" w:rsidRDefault="00811604">
      <w:pPr>
        <w:spacing w:line="432" w:lineRule="auto"/>
        <w:ind w:firstLine="720"/>
        <w:rPr>
          <w:rFonts w:ascii="Times New Roman" w:eastAsia="Times New Roman" w:hAnsi="Times New Roman" w:cs="Times New Roman"/>
        </w:rPr>
      </w:pP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by contrast is guilty of attempted murder, and the attempted slaying of her husband. Furthermore, she shows no remorse, sleeps again with </w:t>
      </w:r>
      <w:proofErr w:type="spellStart"/>
      <w:r>
        <w:rPr>
          <w:rFonts w:ascii="Times New Roman" w:eastAsia="Times New Roman" w:hAnsi="Times New Roman" w:cs="Times New Roman"/>
        </w:rPr>
        <w:t>Gronw</w:t>
      </w:r>
      <w:proofErr w:type="spellEnd"/>
      <w:r>
        <w:rPr>
          <w:rFonts w:ascii="Times New Roman" w:eastAsia="Times New Roman" w:hAnsi="Times New Roman" w:cs="Times New Roman"/>
        </w:rPr>
        <w:t xml:space="preserve"> the moment </w:t>
      </w:r>
      <w:proofErr w:type="spellStart"/>
      <w:r>
        <w:rPr>
          <w:rFonts w:ascii="Times New Roman" w:eastAsia="Times New Roman" w:hAnsi="Times New Roman" w:cs="Times New Roman"/>
        </w:rPr>
        <w:t>Lleu</w:t>
      </w:r>
      <w:proofErr w:type="spellEnd"/>
      <w:r>
        <w:rPr>
          <w:rFonts w:ascii="Times New Roman" w:eastAsia="Times New Roman" w:hAnsi="Times New Roman" w:cs="Times New Roman"/>
        </w:rPr>
        <w:t xml:space="preserve"> is (presumed) slain, and accedes in </w:t>
      </w:r>
      <w:r>
        <w:rPr>
          <w:rFonts w:ascii="Times New Roman" w:eastAsia="Times New Roman" w:hAnsi="Times New Roman" w:cs="Times New Roman"/>
        </w:rPr>
        <w:t>the seizure of the kingdom by a usurper. The only morality she owns is to herself. Again, she is almost seen to be a blank slate, without reservation or moral code - hardly surprising given the nature of her creatures (the narrative perhaps glosses over th</w:t>
      </w:r>
      <w:r>
        <w:rPr>
          <w:rFonts w:ascii="Times New Roman" w:eastAsia="Times New Roman" w:hAnsi="Times New Roman" w:cs="Times New Roman"/>
        </w:rPr>
        <w:t>at Gwydion has himself been described as ‘an evil man’</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by </w:t>
      </w:r>
      <w:proofErr w:type="spellStart"/>
      <w:r>
        <w:rPr>
          <w:rFonts w:ascii="Times New Roman" w:eastAsia="Times New Roman" w:hAnsi="Times New Roman" w:cs="Times New Roman"/>
        </w:rPr>
        <w:t>Aranrhod</w:t>
      </w:r>
      <w:proofErr w:type="spellEnd"/>
      <w:r>
        <w:rPr>
          <w:rFonts w:ascii="Times New Roman" w:eastAsia="Times New Roman" w:hAnsi="Times New Roman" w:cs="Times New Roman"/>
        </w:rPr>
        <w:t xml:space="preserve">, an epithet it is hard to argue with). There is an interesting contrast that the author is possibly engaging in - </w:t>
      </w:r>
      <w:proofErr w:type="spellStart"/>
      <w:r>
        <w:rPr>
          <w:rFonts w:ascii="Times New Roman" w:eastAsia="Times New Roman" w:hAnsi="Times New Roman" w:cs="Times New Roman"/>
        </w:rPr>
        <w:t>Sioned</w:t>
      </w:r>
      <w:proofErr w:type="spellEnd"/>
      <w:r>
        <w:rPr>
          <w:rFonts w:ascii="Times New Roman" w:eastAsia="Times New Roman" w:hAnsi="Times New Roman" w:cs="Times New Roman"/>
        </w:rPr>
        <w:t xml:space="preserve"> Davies surmises that the flowers from which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is made were</w:t>
      </w:r>
      <w:r>
        <w:rPr>
          <w:rFonts w:ascii="Times New Roman" w:eastAsia="Times New Roman" w:hAnsi="Times New Roman" w:cs="Times New Roman"/>
        </w:rPr>
        <w:t xml:space="preserve"> potentially of some significance to the audience, and that both oak and meadowsweet, being white, were </w:t>
      </w:r>
      <w:r>
        <w:rPr>
          <w:rFonts w:ascii="Times New Roman" w:eastAsia="Times New Roman" w:hAnsi="Times New Roman" w:cs="Times New Roman"/>
        </w:rPr>
        <w:lastRenderedPageBreak/>
        <w:t>associated with both female beauty and purity.</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 Winward </w:t>
      </w:r>
      <w:proofErr w:type="spellStart"/>
      <w:r>
        <w:rPr>
          <w:rFonts w:ascii="Times New Roman" w:eastAsia="Times New Roman" w:hAnsi="Times New Roman" w:cs="Times New Roman"/>
        </w:rPr>
        <w:t>characterises</w:t>
      </w:r>
      <w:proofErr w:type="spellEnd"/>
      <w:r>
        <w:rPr>
          <w:rFonts w:ascii="Times New Roman" w:eastAsia="Times New Roman" w:hAnsi="Times New Roman" w:cs="Times New Roman"/>
        </w:rPr>
        <w:t xml:space="preserve"> her as “the sensual deceiver”</w:t>
      </w:r>
      <w:r>
        <w:rPr>
          <w:rFonts w:ascii="Times New Roman" w:eastAsia="Times New Roman" w:hAnsi="Times New Roman" w:cs="Times New Roman"/>
          <w:vertAlign w:val="superscript"/>
        </w:rPr>
        <w:footnoteReference w:id="41"/>
      </w:r>
      <w:r>
        <w:rPr>
          <w:rFonts w:ascii="Times New Roman" w:eastAsia="Times New Roman" w:hAnsi="Times New Roman" w:cs="Times New Roman"/>
        </w:rPr>
        <w:t xml:space="preserve"> but this may be unfair - her sensual aspects are di</w:t>
      </w:r>
      <w:r>
        <w:rPr>
          <w:rFonts w:ascii="Times New Roman" w:eastAsia="Times New Roman" w:hAnsi="Times New Roman" w:cs="Times New Roman"/>
        </w:rPr>
        <w:t xml:space="preserve">rected not at </w:t>
      </w:r>
      <w:proofErr w:type="spellStart"/>
      <w:r>
        <w:rPr>
          <w:rFonts w:ascii="Times New Roman" w:eastAsia="Times New Roman" w:hAnsi="Times New Roman" w:cs="Times New Roman"/>
        </w:rPr>
        <w:t>Lleu</w:t>
      </w:r>
      <w:proofErr w:type="spellEnd"/>
      <w:r>
        <w:rPr>
          <w:rFonts w:ascii="Times New Roman" w:eastAsia="Times New Roman" w:hAnsi="Times New Roman" w:cs="Times New Roman"/>
        </w:rPr>
        <w:t xml:space="preserve">, but at </w:t>
      </w:r>
      <w:proofErr w:type="spellStart"/>
      <w:r>
        <w:rPr>
          <w:rFonts w:ascii="Times New Roman" w:eastAsia="Times New Roman" w:hAnsi="Times New Roman" w:cs="Times New Roman"/>
        </w:rPr>
        <w:t>Gronw</w:t>
      </w:r>
      <w:proofErr w:type="spellEnd"/>
      <w:r>
        <w:rPr>
          <w:rFonts w:ascii="Times New Roman" w:eastAsia="Times New Roman" w:hAnsi="Times New Roman" w:cs="Times New Roman"/>
        </w:rPr>
        <w:t xml:space="preserve">, whilst her deception falls upon her husband, for whom she has been created entirely as a good wife and object of beauty rather than as someone to be loved and </w:t>
      </w:r>
      <w:proofErr w:type="spellStart"/>
      <w:r>
        <w:rPr>
          <w:rFonts w:ascii="Times New Roman" w:eastAsia="Times New Roman" w:hAnsi="Times New Roman" w:cs="Times New Roman"/>
        </w:rPr>
        <w:t>honoured</w:t>
      </w:r>
      <w:proofErr w:type="spellEnd"/>
      <w:r>
        <w:rPr>
          <w:rFonts w:ascii="Times New Roman" w:eastAsia="Times New Roman" w:hAnsi="Times New Roman" w:cs="Times New Roman"/>
        </w:rPr>
        <w:t>.</w:t>
      </w:r>
    </w:p>
    <w:p w14:paraId="00000016"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One other major distinction must be drawn between Rhi</w:t>
      </w:r>
      <w:r>
        <w:rPr>
          <w:rFonts w:ascii="Times New Roman" w:eastAsia="Times New Roman" w:hAnsi="Times New Roman" w:cs="Times New Roman"/>
        </w:rPr>
        <w:t xml:space="preserve">annon and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 that of motherhood. Rhiannon’s steadfastness and love </w:t>
      </w:r>
      <w:proofErr w:type="gramStart"/>
      <w:r>
        <w:rPr>
          <w:rFonts w:ascii="Times New Roman" w:eastAsia="Times New Roman" w:hAnsi="Times New Roman" w:cs="Times New Roman"/>
        </w:rPr>
        <w:t>is</w:t>
      </w:r>
      <w:proofErr w:type="gramEnd"/>
      <w:r>
        <w:rPr>
          <w:rFonts w:ascii="Times New Roman" w:eastAsia="Times New Roman" w:hAnsi="Times New Roman" w:cs="Times New Roman"/>
        </w:rPr>
        <w:t xml:space="preserve"> rewarded not only with a son and heir, but a resolution after his disappearance and her tragic fall from grace. </w:t>
      </w:r>
      <w:proofErr w:type="spellStart"/>
      <w:r>
        <w:rPr>
          <w:rFonts w:ascii="Times New Roman" w:eastAsia="Times New Roman" w:hAnsi="Times New Roman" w:cs="Times New Roman"/>
        </w:rPr>
        <w:t>Pryderi</w:t>
      </w:r>
      <w:proofErr w:type="spellEnd"/>
      <w:r>
        <w:rPr>
          <w:rFonts w:ascii="Times New Roman" w:eastAsia="Times New Roman" w:hAnsi="Times New Roman" w:cs="Times New Roman"/>
        </w:rPr>
        <w:t xml:space="preserve"> is restored to her, and she becomes a dutiful mother as </w:t>
      </w:r>
      <w:r>
        <w:rPr>
          <w:rFonts w:ascii="Times New Roman" w:eastAsia="Times New Roman" w:hAnsi="Times New Roman" w:cs="Times New Roman"/>
        </w:rPr>
        <w:t xml:space="preserve">well as a wife, and is thus accepting of her subsequent arranged marriage to Manawydan (again, made clear by the author that this is a union of love to which she accedes, with the implication that she could equally have refused).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by contrast, a</w:t>
      </w:r>
      <w:r>
        <w:rPr>
          <w:rFonts w:ascii="Times New Roman" w:eastAsia="Times New Roman" w:hAnsi="Times New Roman" w:cs="Times New Roman"/>
        </w:rPr>
        <w:t>lthough as tragic, is, by virtue of her guilt, not restored, and thus never has the opportunity for motherhood. Both move from single women to wives, but only Rhiannon completes the accepted trilogy of women’s roles in medieval society. It is, however, not</w:t>
      </w:r>
      <w:r>
        <w:rPr>
          <w:rFonts w:ascii="Times New Roman" w:eastAsia="Times New Roman" w:hAnsi="Times New Roman" w:cs="Times New Roman"/>
        </w:rPr>
        <w:t xml:space="preserve"> done so at the expense of her independence and outspokenness. </w:t>
      </w:r>
    </w:p>
    <w:p w14:paraId="00000017" w14:textId="77777777" w:rsidR="006443F8" w:rsidRDefault="00811604">
      <w:pPr>
        <w:spacing w:line="432" w:lineRule="auto"/>
        <w:ind w:firstLine="720"/>
        <w:rPr>
          <w:rFonts w:ascii="Times New Roman" w:eastAsia="Times New Roman" w:hAnsi="Times New Roman" w:cs="Times New Roman"/>
        </w:rPr>
      </w:pPr>
      <w:r>
        <w:rPr>
          <w:rFonts w:ascii="Times New Roman" w:eastAsia="Times New Roman" w:hAnsi="Times New Roman" w:cs="Times New Roman"/>
        </w:rPr>
        <w:t xml:space="preserve">Comparing both Rhiannon and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offers us a clear moral lesson. Although the unknown author clearly exerts his greatest skill in the portrayal of Rhiannon, the latter is also clearly en</w:t>
      </w:r>
      <w:r>
        <w:rPr>
          <w:rFonts w:ascii="Times New Roman" w:eastAsia="Times New Roman" w:hAnsi="Times New Roman" w:cs="Times New Roman"/>
        </w:rPr>
        <w:t xml:space="preserve">dowed with personality and independence. Both women are strong, capable, forthright, loving and manipulative.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is not as wise nor as cautious nor as steadfast as Rhiannon (quickly fleeing and abandoning </w:t>
      </w:r>
      <w:proofErr w:type="spellStart"/>
      <w:r>
        <w:rPr>
          <w:rFonts w:ascii="Times New Roman" w:eastAsia="Times New Roman" w:hAnsi="Times New Roman" w:cs="Times New Roman"/>
        </w:rPr>
        <w:t>Gronw</w:t>
      </w:r>
      <w:proofErr w:type="spellEnd"/>
      <w:r>
        <w:rPr>
          <w:rFonts w:ascii="Times New Roman" w:eastAsia="Times New Roman" w:hAnsi="Times New Roman" w:cs="Times New Roman"/>
        </w:rPr>
        <w:t xml:space="preserve"> when Gwydion and Math’s army approach</w:t>
      </w:r>
      <w:r>
        <w:rPr>
          <w:rFonts w:ascii="Times New Roman" w:eastAsia="Times New Roman" w:hAnsi="Times New Roman" w:cs="Times New Roman"/>
        </w:rPr>
        <w:t xml:space="preserve">), and we are invited to see her subsequent transformative punishment as just. Rhiannon is, essentially, the acceptable face of medieval feminism, </w:t>
      </w:r>
      <w:proofErr w:type="spellStart"/>
      <w:r>
        <w:rPr>
          <w:rFonts w:ascii="Times New Roman" w:eastAsia="Times New Roman" w:hAnsi="Times New Roman" w:cs="Times New Roman"/>
        </w:rPr>
        <w:t>Blodeuwedd</w:t>
      </w:r>
      <w:proofErr w:type="spellEnd"/>
      <w:r>
        <w:rPr>
          <w:rFonts w:ascii="Times New Roman" w:eastAsia="Times New Roman" w:hAnsi="Times New Roman" w:cs="Times New Roman"/>
        </w:rPr>
        <w:t xml:space="preserve"> the reverse. In exploring their contrasting </w:t>
      </w:r>
      <w:proofErr w:type="gramStart"/>
      <w:r>
        <w:rPr>
          <w:rFonts w:ascii="Times New Roman" w:eastAsia="Times New Roman" w:hAnsi="Times New Roman" w:cs="Times New Roman"/>
        </w:rPr>
        <w:t>stories</w:t>
      </w:r>
      <w:proofErr w:type="gramEnd"/>
      <w:r>
        <w:rPr>
          <w:rFonts w:ascii="Times New Roman" w:eastAsia="Times New Roman" w:hAnsi="Times New Roman" w:cs="Times New Roman"/>
        </w:rPr>
        <w:t xml:space="preserve"> we are provided not only a moral fable but als</w:t>
      </w:r>
      <w:r>
        <w:rPr>
          <w:rFonts w:ascii="Times New Roman" w:eastAsia="Times New Roman" w:hAnsi="Times New Roman" w:cs="Times New Roman"/>
        </w:rPr>
        <w:t>o a moral framework and perhaps - through Rhiannon’s determination to improve her lot and effect change from within - a moral instruction also.</w:t>
      </w:r>
    </w:p>
    <w:p w14:paraId="00000018" w14:textId="77777777" w:rsidR="006443F8" w:rsidRDefault="006443F8">
      <w:pPr>
        <w:spacing w:line="432" w:lineRule="auto"/>
        <w:ind w:firstLine="720"/>
        <w:rPr>
          <w:rFonts w:ascii="Times New Roman" w:eastAsia="Times New Roman" w:hAnsi="Times New Roman" w:cs="Times New Roman"/>
        </w:rPr>
      </w:pPr>
    </w:p>
    <w:p w14:paraId="00000019" w14:textId="77777777" w:rsidR="006443F8" w:rsidRDefault="006443F8">
      <w:pPr>
        <w:spacing w:line="432" w:lineRule="auto"/>
        <w:ind w:firstLine="720"/>
        <w:rPr>
          <w:rFonts w:ascii="Times New Roman" w:eastAsia="Times New Roman" w:hAnsi="Times New Roman" w:cs="Times New Roman"/>
        </w:rPr>
      </w:pPr>
    </w:p>
    <w:p w14:paraId="0000001A" w14:textId="77777777" w:rsidR="006443F8" w:rsidRDefault="006443F8">
      <w:pPr>
        <w:spacing w:line="432" w:lineRule="auto"/>
        <w:ind w:firstLine="720"/>
        <w:rPr>
          <w:rFonts w:ascii="Times New Roman" w:eastAsia="Times New Roman" w:hAnsi="Times New Roman" w:cs="Times New Roman"/>
        </w:rPr>
      </w:pPr>
    </w:p>
    <w:p w14:paraId="0000001B" w14:textId="77777777" w:rsidR="006443F8" w:rsidRDefault="006443F8"/>
    <w:p w14:paraId="00000037" w14:textId="77777777" w:rsidR="006443F8" w:rsidRDefault="00811604">
      <w:pPr>
        <w:spacing w:after="240" w:line="240" w:lineRule="auto"/>
        <w:ind w:left="720"/>
        <w:rPr>
          <w:rFonts w:ascii="Times New Roman" w:eastAsia="Times New Roman" w:hAnsi="Times New Roman" w:cs="Times New Roman"/>
          <w:b/>
          <w:color w:val="373A3C"/>
        </w:rPr>
      </w:pPr>
      <w:r>
        <w:rPr>
          <w:rFonts w:ascii="Times New Roman" w:eastAsia="Times New Roman" w:hAnsi="Times New Roman" w:cs="Times New Roman"/>
          <w:b/>
          <w:color w:val="373A3C"/>
        </w:rPr>
        <w:lastRenderedPageBreak/>
        <w:t>Bibliography</w:t>
      </w:r>
    </w:p>
    <w:p w14:paraId="00000038" w14:textId="77777777" w:rsidR="006443F8" w:rsidRDefault="00811604">
      <w:pPr>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Bollard, J.K. ‘The Role of Myth and Tradition in the Four Branches of the </w:t>
      </w:r>
      <w:proofErr w:type="spellStart"/>
      <w:r>
        <w:rPr>
          <w:rFonts w:ascii="Times New Roman" w:eastAsia="Times New Roman" w:hAnsi="Times New Roman" w:cs="Times New Roman"/>
          <w:color w:val="373A3C"/>
        </w:rPr>
        <w:t>Mabinogi</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Cambridge Medieval Celtic Studies</w:t>
      </w:r>
      <w:r>
        <w:rPr>
          <w:rFonts w:ascii="Times New Roman" w:eastAsia="Times New Roman" w:hAnsi="Times New Roman" w:cs="Times New Roman"/>
          <w:color w:val="373A3C"/>
        </w:rPr>
        <w:t xml:space="preserve"> Vol 6 Winter 1983 (CMCS, 1983</w:t>
      </w:r>
      <w:proofErr w:type="gramStart"/>
      <w:r>
        <w:rPr>
          <w:rFonts w:ascii="Times New Roman" w:eastAsia="Times New Roman" w:hAnsi="Times New Roman" w:cs="Times New Roman"/>
          <w:color w:val="373A3C"/>
        </w:rPr>
        <w:t>)  67</w:t>
      </w:r>
      <w:proofErr w:type="gramEnd"/>
      <w:r>
        <w:rPr>
          <w:rFonts w:ascii="Times New Roman" w:eastAsia="Times New Roman" w:hAnsi="Times New Roman" w:cs="Times New Roman"/>
          <w:color w:val="373A3C"/>
        </w:rPr>
        <w:t>-86</w:t>
      </w:r>
    </w:p>
    <w:p w14:paraId="00000039" w14:textId="77777777" w:rsidR="006443F8" w:rsidRDefault="00811604" w:rsidP="0038194F">
      <w:pPr>
        <w:spacing w:line="273" w:lineRule="auto"/>
        <w:rPr>
          <w:rFonts w:ascii="Times New Roman" w:eastAsia="Times New Roman" w:hAnsi="Times New Roman" w:cs="Times New Roman"/>
          <w:color w:val="373A3C"/>
        </w:rPr>
      </w:pPr>
      <w:r>
        <w:rPr>
          <w:rFonts w:ascii="Times New Roman" w:eastAsia="Times New Roman" w:hAnsi="Times New Roman" w:cs="Times New Roman"/>
          <w:color w:val="373A3C"/>
        </w:rPr>
        <w:t xml:space="preserve">Breeze, Andrew </w:t>
      </w:r>
      <w:r>
        <w:rPr>
          <w:rFonts w:ascii="Times New Roman" w:eastAsia="Times New Roman" w:hAnsi="Times New Roman" w:cs="Times New Roman"/>
          <w:i/>
          <w:color w:val="373A3C"/>
        </w:rPr>
        <w:t xml:space="preserve">The Origins of the Four Branches of the </w:t>
      </w:r>
      <w:proofErr w:type="spellStart"/>
      <w:r>
        <w:rPr>
          <w:rFonts w:ascii="Times New Roman" w:eastAsia="Times New Roman" w:hAnsi="Times New Roman" w:cs="Times New Roman"/>
          <w:i/>
          <w:color w:val="373A3C"/>
        </w:rPr>
        <w:t>Mabinogi</w:t>
      </w:r>
      <w:proofErr w:type="spellEnd"/>
      <w:r>
        <w:rPr>
          <w:rFonts w:ascii="Times New Roman" w:eastAsia="Times New Roman" w:hAnsi="Times New Roman" w:cs="Times New Roman"/>
          <w:color w:val="373A3C"/>
        </w:rPr>
        <w:t xml:space="preserve"> (Leominster, </w:t>
      </w:r>
      <w:proofErr w:type="spellStart"/>
      <w:r>
        <w:rPr>
          <w:rFonts w:ascii="Times New Roman" w:eastAsia="Times New Roman" w:hAnsi="Times New Roman" w:cs="Times New Roman"/>
          <w:color w:val="373A3C"/>
        </w:rPr>
        <w:t>Gracewing</w:t>
      </w:r>
      <w:proofErr w:type="spellEnd"/>
      <w:r>
        <w:rPr>
          <w:rFonts w:ascii="Times New Roman" w:eastAsia="Times New Roman" w:hAnsi="Times New Roman" w:cs="Times New Roman"/>
          <w:color w:val="373A3C"/>
        </w:rPr>
        <w:t xml:space="preserve"> Publishing, 2</w:t>
      </w:r>
      <w:r>
        <w:rPr>
          <w:rFonts w:ascii="Times New Roman" w:eastAsia="Times New Roman" w:hAnsi="Times New Roman" w:cs="Times New Roman"/>
          <w:color w:val="373A3C"/>
        </w:rPr>
        <w:t>009)</w:t>
      </w:r>
    </w:p>
    <w:p w14:paraId="0000003A" w14:textId="77777777" w:rsidR="006443F8" w:rsidRDefault="00811604" w:rsidP="0038194F">
      <w:pPr>
        <w:spacing w:line="273" w:lineRule="auto"/>
        <w:rPr>
          <w:rFonts w:ascii="Times New Roman" w:eastAsia="Times New Roman" w:hAnsi="Times New Roman" w:cs="Times New Roman"/>
          <w:color w:val="373A3C"/>
        </w:rPr>
      </w:pPr>
      <w:r>
        <w:rPr>
          <w:rFonts w:ascii="Times New Roman" w:eastAsia="Times New Roman" w:hAnsi="Times New Roman" w:cs="Times New Roman"/>
          <w:color w:val="373A3C"/>
        </w:rPr>
        <w:t xml:space="preserve">Byfield, Catherine E. ‘Character and Conflict in the Four Branches of the </w:t>
      </w:r>
      <w:proofErr w:type="spellStart"/>
      <w:r>
        <w:rPr>
          <w:rFonts w:ascii="Times New Roman" w:eastAsia="Times New Roman" w:hAnsi="Times New Roman" w:cs="Times New Roman"/>
          <w:color w:val="373A3C"/>
        </w:rPr>
        <w:t>Mabinogi</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Bulletin of the Board of Celtic Studies</w:t>
      </w:r>
      <w:r>
        <w:rPr>
          <w:rFonts w:ascii="Times New Roman" w:eastAsia="Times New Roman" w:hAnsi="Times New Roman" w:cs="Times New Roman"/>
          <w:color w:val="373A3C"/>
        </w:rPr>
        <w:t xml:space="preserve"> 40 (1993): 51–72; revised</w:t>
      </w:r>
    </w:p>
    <w:p w14:paraId="0000003B" w14:textId="77777777" w:rsidR="006443F8" w:rsidRDefault="00811604">
      <w:pPr>
        <w:spacing w:line="240" w:lineRule="auto"/>
        <w:rPr>
          <w:rFonts w:ascii="Times New Roman" w:eastAsia="Times New Roman" w:hAnsi="Times New Roman" w:cs="Times New Roman"/>
          <w:color w:val="373A3C"/>
        </w:rPr>
      </w:pPr>
      <w:r>
        <w:rPr>
          <w:rFonts w:ascii="Times New Roman" w:eastAsia="Times New Roman" w:hAnsi="Times New Roman" w:cs="Times New Roman"/>
        </w:rPr>
        <w:t xml:space="preserve">Cana, </w:t>
      </w:r>
      <w:proofErr w:type="spellStart"/>
      <w:r>
        <w:rPr>
          <w:rFonts w:ascii="Times New Roman" w:eastAsia="Times New Roman" w:hAnsi="Times New Roman" w:cs="Times New Roman"/>
        </w:rPr>
        <w:t>Proinsias</w:t>
      </w:r>
      <w:proofErr w:type="spellEnd"/>
      <w:r>
        <w:rPr>
          <w:rFonts w:ascii="Times New Roman" w:eastAsia="Times New Roman" w:hAnsi="Times New Roman" w:cs="Times New Roman"/>
        </w:rPr>
        <w:t xml:space="preserve"> Mac </w:t>
      </w:r>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Mabinogi</w:t>
      </w:r>
      <w:proofErr w:type="spellEnd"/>
      <w:r>
        <w:rPr>
          <w:rFonts w:ascii="Times New Roman" w:eastAsia="Times New Roman" w:hAnsi="Times New Roman" w:cs="Times New Roman"/>
          <w:i/>
        </w:rPr>
        <w:t xml:space="preserve"> </w:t>
      </w:r>
      <w:r>
        <w:rPr>
          <w:rFonts w:ascii="Times New Roman" w:eastAsia="Times New Roman" w:hAnsi="Times New Roman" w:cs="Times New Roman"/>
        </w:rPr>
        <w:t>(Cardiff, University of Wales Press, 1977 rev 1992)</w:t>
      </w:r>
    </w:p>
    <w:p w14:paraId="0000003C" w14:textId="77777777" w:rsidR="006443F8" w:rsidRDefault="00811604">
      <w:pPr>
        <w:spacing w:line="268" w:lineRule="auto"/>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Carey, John ‘A B</w:t>
      </w:r>
      <w:r>
        <w:rPr>
          <w:rFonts w:ascii="Times New Roman" w:eastAsia="Times New Roman" w:hAnsi="Times New Roman" w:cs="Times New Roman"/>
          <w:color w:val="373A3C"/>
        </w:rPr>
        <w:t xml:space="preserve">ritish Myth of Origins?’ </w:t>
      </w:r>
      <w:r>
        <w:rPr>
          <w:rFonts w:ascii="Times New Roman" w:eastAsia="Times New Roman" w:hAnsi="Times New Roman" w:cs="Times New Roman"/>
          <w:i/>
          <w:color w:val="373A3C"/>
        </w:rPr>
        <w:t xml:space="preserve">History of Religions, </w:t>
      </w:r>
      <w:r>
        <w:rPr>
          <w:rFonts w:ascii="Times New Roman" w:eastAsia="Times New Roman" w:hAnsi="Times New Roman" w:cs="Times New Roman"/>
          <w:color w:val="373A3C"/>
        </w:rPr>
        <w:t xml:space="preserve">Vol. 31, No. 1, </w:t>
      </w:r>
      <w:proofErr w:type="gramStart"/>
      <w:r>
        <w:rPr>
          <w:rFonts w:ascii="Times New Roman" w:eastAsia="Times New Roman" w:hAnsi="Times New Roman" w:cs="Times New Roman"/>
          <w:color w:val="373A3C"/>
        </w:rPr>
        <w:t>Aug.,</w:t>
      </w:r>
      <w:proofErr w:type="gramEnd"/>
      <w:r>
        <w:rPr>
          <w:rFonts w:ascii="Times New Roman" w:eastAsia="Times New Roman" w:hAnsi="Times New Roman" w:cs="Times New Roman"/>
          <w:color w:val="373A3C"/>
        </w:rPr>
        <w:t xml:space="preserve"> 1991 (Chicago,</w:t>
      </w:r>
      <w:r>
        <w:rPr>
          <w:rFonts w:ascii="Times New Roman" w:eastAsia="Times New Roman" w:hAnsi="Times New Roman" w:cs="Times New Roman"/>
          <w:color w:val="373A3C"/>
        </w:rPr>
        <w:t xml:space="preserve"> </w:t>
      </w:r>
      <w:r>
        <w:rPr>
          <w:rFonts w:ascii="Times New Roman" w:eastAsia="Times New Roman" w:hAnsi="Times New Roman" w:cs="Times New Roman"/>
          <w:color w:val="373A3C"/>
        </w:rPr>
        <w:t>University of Chicago Press, 1991) 24-38</w:t>
      </w:r>
    </w:p>
    <w:p w14:paraId="0000003D" w14:textId="77777777" w:rsidR="006443F8" w:rsidRDefault="00811604">
      <w:pPr>
        <w:spacing w:line="268" w:lineRule="auto"/>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Davies, </w:t>
      </w:r>
      <w:proofErr w:type="spellStart"/>
      <w:r>
        <w:rPr>
          <w:rFonts w:ascii="Times New Roman" w:eastAsia="Times New Roman" w:hAnsi="Times New Roman" w:cs="Times New Roman"/>
          <w:color w:val="373A3C"/>
        </w:rPr>
        <w:t>Sioned</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 xml:space="preserve">‘Narrative Techniques’ </w:t>
      </w:r>
      <w:r>
        <w:rPr>
          <w:rFonts w:ascii="Times New Roman" w:eastAsia="Times New Roman" w:hAnsi="Times New Roman" w:cs="Times New Roman"/>
          <w:color w:val="373A3C"/>
        </w:rPr>
        <w:t xml:space="preserve">in </w:t>
      </w:r>
      <w:proofErr w:type="spellStart"/>
      <w:r>
        <w:rPr>
          <w:rFonts w:ascii="Times New Roman" w:eastAsia="Times New Roman" w:hAnsi="Times New Roman" w:cs="Times New Roman"/>
          <w:color w:val="373A3C"/>
        </w:rPr>
        <w:t>Sioned</w:t>
      </w:r>
      <w:proofErr w:type="spellEnd"/>
      <w:r>
        <w:rPr>
          <w:rFonts w:ascii="Times New Roman" w:eastAsia="Times New Roman" w:hAnsi="Times New Roman" w:cs="Times New Roman"/>
          <w:color w:val="373A3C"/>
        </w:rPr>
        <w:t xml:space="preserve"> Davies </w:t>
      </w:r>
      <w:r>
        <w:rPr>
          <w:rFonts w:ascii="Times New Roman" w:eastAsia="Times New Roman" w:hAnsi="Times New Roman" w:cs="Times New Roman"/>
          <w:i/>
          <w:color w:val="373A3C"/>
        </w:rPr>
        <w:t xml:space="preserve">The Four Branches of the </w:t>
      </w:r>
      <w:proofErr w:type="spellStart"/>
      <w:r>
        <w:rPr>
          <w:rFonts w:ascii="Times New Roman" w:eastAsia="Times New Roman" w:hAnsi="Times New Roman" w:cs="Times New Roman"/>
          <w:i/>
          <w:color w:val="373A3C"/>
        </w:rPr>
        <w:t>Mabinogi</w:t>
      </w:r>
      <w:proofErr w:type="spellEnd"/>
      <w:r>
        <w:rPr>
          <w:rFonts w:ascii="Times New Roman" w:eastAsia="Times New Roman" w:hAnsi="Times New Roman" w:cs="Times New Roman"/>
          <w:color w:val="373A3C"/>
        </w:rPr>
        <w:t xml:space="preserve"> </w:t>
      </w:r>
    </w:p>
    <w:p w14:paraId="0000003E" w14:textId="77777777" w:rsidR="006443F8" w:rsidRDefault="00811604" w:rsidP="0038194F">
      <w:pPr>
        <w:spacing w:line="273" w:lineRule="auto"/>
        <w:rPr>
          <w:rFonts w:ascii="Times New Roman" w:eastAsia="Times New Roman" w:hAnsi="Times New Roman" w:cs="Times New Roman"/>
          <w:color w:val="373A3C"/>
        </w:rPr>
      </w:pPr>
      <w:bookmarkStart w:id="0" w:name="_GoBack"/>
      <w:bookmarkEnd w:id="0"/>
      <w:r>
        <w:rPr>
          <w:rFonts w:ascii="Times New Roman" w:eastAsia="Times New Roman" w:hAnsi="Times New Roman" w:cs="Times New Roman"/>
          <w:color w:val="373A3C"/>
        </w:rPr>
        <w:t xml:space="preserve">Davies, </w:t>
      </w:r>
      <w:proofErr w:type="spellStart"/>
      <w:r>
        <w:rPr>
          <w:rFonts w:ascii="Times New Roman" w:eastAsia="Times New Roman" w:hAnsi="Times New Roman" w:cs="Times New Roman"/>
          <w:color w:val="373A3C"/>
        </w:rPr>
        <w:t>Sioned</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 xml:space="preserve">The </w:t>
      </w:r>
      <w:proofErr w:type="spellStart"/>
      <w:r>
        <w:rPr>
          <w:rFonts w:ascii="Times New Roman" w:eastAsia="Times New Roman" w:hAnsi="Times New Roman" w:cs="Times New Roman"/>
          <w:i/>
          <w:color w:val="373A3C"/>
        </w:rPr>
        <w:t>Mabinogion</w:t>
      </w:r>
      <w:proofErr w:type="spellEnd"/>
      <w:r>
        <w:rPr>
          <w:rFonts w:ascii="Times New Roman" w:eastAsia="Times New Roman" w:hAnsi="Times New Roman" w:cs="Times New Roman"/>
          <w:color w:val="373A3C"/>
        </w:rPr>
        <w:t xml:space="preserve"> (Oxford, Ox</w:t>
      </w:r>
      <w:r>
        <w:rPr>
          <w:rFonts w:ascii="Times New Roman" w:eastAsia="Times New Roman" w:hAnsi="Times New Roman" w:cs="Times New Roman"/>
          <w:color w:val="373A3C"/>
        </w:rPr>
        <w:t>ford University Press, 2007)</w:t>
      </w:r>
    </w:p>
    <w:p w14:paraId="0000003F" w14:textId="5255DB21" w:rsidR="006443F8" w:rsidRDefault="00811604" w:rsidP="0038194F">
      <w:pPr>
        <w:spacing w:line="273" w:lineRule="auto"/>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Fee, Christopher R and Leeming, David A. </w:t>
      </w:r>
      <w:r>
        <w:rPr>
          <w:rFonts w:ascii="Times New Roman" w:eastAsia="Times New Roman" w:hAnsi="Times New Roman" w:cs="Times New Roman"/>
          <w:i/>
          <w:color w:val="373A3C"/>
        </w:rPr>
        <w:t xml:space="preserve">Gods, Heroes and Kings: The Battle for Mythic Britain </w:t>
      </w:r>
      <w:r w:rsidR="0038194F">
        <w:rPr>
          <w:rFonts w:ascii="Times New Roman" w:eastAsia="Times New Roman" w:hAnsi="Times New Roman" w:cs="Times New Roman"/>
          <w:i/>
          <w:color w:val="373A3C"/>
        </w:rPr>
        <w:t xml:space="preserve">   </w:t>
      </w:r>
      <w:proofErr w:type="gramStart"/>
      <w:r w:rsidR="0038194F">
        <w:rPr>
          <w:rFonts w:ascii="Times New Roman" w:eastAsia="Times New Roman" w:hAnsi="Times New Roman" w:cs="Times New Roman"/>
          <w:i/>
          <w:color w:val="373A3C"/>
        </w:rPr>
        <w:t xml:space="preserve">   </w:t>
      </w:r>
      <w:r>
        <w:rPr>
          <w:rFonts w:ascii="Times New Roman" w:eastAsia="Times New Roman" w:hAnsi="Times New Roman" w:cs="Times New Roman"/>
          <w:color w:val="373A3C"/>
        </w:rPr>
        <w:t>(</w:t>
      </w:r>
      <w:proofErr w:type="gramEnd"/>
      <w:r>
        <w:rPr>
          <w:rFonts w:ascii="Times New Roman" w:eastAsia="Times New Roman" w:hAnsi="Times New Roman" w:cs="Times New Roman"/>
          <w:color w:val="373A3C"/>
        </w:rPr>
        <w:t>Oxford, Oxford University Press, 2001)</w:t>
      </w:r>
      <w:r w:rsidR="0038194F">
        <w:rPr>
          <w:rFonts w:ascii="Times New Roman" w:eastAsia="Times New Roman" w:hAnsi="Times New Roman" w:cs="Times New Roman"/>
          <w:color w:val="373A3C"/>
        </w:rPr>
        <w:t xml:space="preserve"> </w:t>
      </w:r>
    </w:p>
    <w:p w14:paraId="00000040" w14:textId="77777777" w:rsidR="006443F8" w:rsidRDefault="00811604" w:rsidP="0038194F">
      <w:pPr>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Ford, P.K. ‘Prolegomena to a Reading of the </w:t>
      </w:r>
      <w:proofErr w:type="spellStart"/>
      <w:r>
        <w:rPr>
          <w:rFonts w:ascii="Times New Roman" w:eastAsia="Times New Roman" w:hAnsi="Times New Roman" w:cs="Times New Roman"/>
          <w:color w:val="373A3C"/>
        </w:rPr>
        <w:t>Mabinogi</w:t>
      </w:r>
      <w:proofErr w:type="spellEnd"/>
      <w:r>
        <w:rPr>
          <w:rFonts w:ascii="Times New Roman" w:eastAsia="Times New Roman" w:hAnsi="Times New Roman" w:cs="Times New Roman"/>
          <w:color w:val="373A3C"/>
        </w:rPr>
        <w:t xml:space="preserve">: </w:t>
      </w:r>
      <w:proofErr w:type="spellStart"/>
      <w:r>
        <w:rPr>
          <w:rFonts w:ascii="Times New Roman" w:eastAsia="Times New Roman" w:hAnsi="Times New Roman" w:cs="Times New Roman"/>
          <w:color w:val="373A3C"/>
        </w:rPr>
        <w:t>Pwyll</w:t>
      </w:r>
      <w:proofErr w:type="spellEnd"/>
      <w:r>
        <w:rPr>
          <w:rFonts w:ascii="Times New Roman" w:eastAsia="Times New Roman" w:hAnsi="Times New Roman" w:cs="Times New Roman"/>
          <w:color w:val="373A3C"/>
        </w:rPr>
        <w:t xml:space="preserve"> and Manawydan’ </w:t>
      </w:r>
      <w:proofErr w:type="spellStart"/>
      <w:r>
        <w:rPr>
          <w:rFonts w:ascii="Times New Roman" w:eastAsia="Times New Roman" w:hAnsi="Times New Roman" w:cs="Times New Roman"/>
          <w:i/>
          <w:color w:val="373A3C"/>
        </w:rPr>
        <w:t>Studia</w:t>
      </w:r>
      <w:proofErr w:type="spellEnd"/>
      <w:r>
        <w:rPr>
          <w:rFonts w:ascii="Times New Roman" w:eastAsia="Times New Roman" w:hAnsi="Times New Roman" w:cs="Times New Roman"/>
          <w:i/>
          <w:color w:val="373A3C"/>
        </w:rPr>
        <w:t xml:space="preserve"> </w:t>
      </w:r>
      <w:proofErr w:type="spellStart"/>
      <w:r>
        <w:rPr>
          <w:rFonts w:ascii="Times New Roman" w:eastAsia="Times New Roman" w:hAnsi="Times New Roman" w:cs="Times New Roman"/>
          <w:i/>
          <w:color w:val="373A3C"/>
        </w:rPr>
        <w:t>Celtica</w:t>
      </w:r>
      <w:proofErr w:type="spellEnd"/>
      <w:r>
        <w:rPr>
          <w:rFonts w:ascii="Times New Roman" w:eastAsia="Times New Roman" w:hAnsi="Times New Roman" w:cs="Times New Roman"/>
          <w:i/>
          <w:color w:val="373A3C"/>
        </w:rPr>
        <w:t xml:space="preserve"> </w:t>
      </w:r>
      <w:r>
        <w:rPr>
          <w:rFonts w:ascii="Times New Roman" w:eastAsia="Times New Roman" w:hAnsi="Times New Roman" w:cs="Times New Roman"/>
          <w:color w:val="373A3C"/>
        </w:rPr>
        <w:t>Vo</w:t>
      </w:r>
      <w:r>
        <w:rPr>
          <w:rFonts w:ascii="Times New Roman" w:eastAsia="Times New Roman" w:hAnsi="Times New Roman" w:cs="Times New Roman"/>
          <w:color w:val="373A3C"/>
        </w:rPr>
        <w:t>l XVI/ XVII 1981/2 (Cardiff, University of Wales Press, 1981) 110-125</w:t>
      </w:r>
    </w:p>
    <w:p w14:paraId="00000041" w14:textId="77777777" w:rsidR="006443F8" w:rsidRDefault="00811604" w:rsidP="0038194F">
      <w:pPr>
        <w:spacing w:line="273" w:lineRule="auto"/>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Ford, Patrick K. ‘</w:t>
      </w:r>
      <w:proofErr w:type="spellStart"/>
      <w:r>
        <w:rPr>
          <w:rFonts w:ascii="Times New Roman" w:eastAsia="Times New Roman" w:hAnsi="Times New Roman" w:cs="Times New Roman"/>
          <w:color w:val="373A3C"/>
        </w:rPr>
        <w:t>Branwen</w:t>
      </w:r>
      <w:proofErr w:type="spellEnd"/>
      <w:r>
        <w:rPr>
          <w:rFonts w:ascii="Times New Roman" w:eastAsia="Times New Roman" w:hAnsi="Times New Roman" w:cs="Times New Roman"/>
          <w:color w:val="373A3C"/>
        </w:rPr>
        <w:t xml:space="preserve">: A Study of the Celtic Affinities’ in Sullivan III, C.W (ed) </w:t>
      </w:r>
      <w:r>
        <w:rPr>
          <w:rFonts w:ascii="Times New Roman" w:eastAsia="Times New Roman" w:hAnsi="Times New Roman" w:cs="Times New Roman"/>
          <w:i/>
          <w:color w:val="373A3C"/>
        </w:rPr>
        <w:t xml:space="preserve">The </w:t>
      </w:r>
      <w:proofErr w:type="spellStart"/>
      <w:r>
        <w:rPr>
          <w:rFonts w:ascii="Times New Roman" w:eastAsia="Times New Roman" w:hAnsi="Times New Roman" w:cs="Times New Roman"/>
          <w:i/>
          <w:color w:val="373A3C"/>
        </w:rPr>
        <w:t>Mabinogi</w:t>
      </w:r>
      <w:proofErr w:type="spellEnd"/>
      <w:r>
        <w:rPr>
          <w:rFonts w:ascii="Times New Roman" w:eastAsia="Times New Roman" w:hAnsi="Times New Roman" w:cs="Times New Roman"/>
          <w:i/>
          <w:color w:val="373A3C"/>
        </w:rPr>
        <w:t>: A Book of Essays</w:t>
      </w:r>
      <w:r>
        <w:rPr>
          <w:rFonts w:ascii="Times New Roman" w:eastAsia="Times New Roman" w:hAnsi="Times New Roman" w:cs="Times New Roman"/>
          <w:color w:val="373A3C"/>
        </w:rPr>
        <w:t xml:space="preserve"> (London, New York: Routledge, 2015) 99-120</w:t>
      </w:r>
    </w:p>
    <w:p w14:paraId="00000042" w14:textId="77777777" w:rsidR="006443F8" w:rsidRDefault="00811604" w:rsidP="0038194F">
      <w:pPr>
        <w:spacing w:line="273" w:lineRule="auto"/>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Hemming, Jessica ‘'</w:t>
      </w:r>
      <w:proofErr w:type="spellStart"/>
      <w:r>
        <w:rPr>
          <w:rFonts w:ascii="Times New Roman" w:eastAsia="Times New Roman" w:hAnsi="Times New Roman" w:cs="Times New Roman"/>
          <w:color w:val="373A3C"/>
        </w:rPr>
        <w:t>Sellam</w:t>
      </w:r>
      <w:proofErr w:type="spellEnd"/>
      <w:r>
        <w:rPr>
          <w:rFonts w:ascii="Times New Roman" w:eastAsia="Times New Roman" w:hAnsi="Times New Roman" w:cs="Times New Roman"/>
          <w:color w:val="373A3C"/>
        </w:rPr>
        <w:t xml:space="preserve"> </w:t>
      </w:r>
      <w:proofErr w:type="spellStart"/>
      <w:r>
        <w:rPr>
          <w:rFonts w:ascii="Times New Roman" w:eastAsia="Times New Roman" w:hAnsi="Times New Roman" w:cs="Times New Roman"/>
          <w:color w:val="373A3C"/>
        </w:rPr>
        <w:t>gestare</w:t>
      </w:r>
      <w:proofErr w:type="spellEnd"/>
      <w:r>
        <w:rPr>
          <w:rFonts w:ascii="Times New Roman" w:eastAsia="Times New Roman" w:hAnsi="Times New Roman" w:cs="Times New Roman"/>
          <w:color w:val="373A3C"/>
        </w:rPr>
        <w:t xml:space="preserve">: Saddle-Bearing Punishments and the Case of Rhiannon.’ </w:t>
      </w:r>
      <w:r>
        <w:rPr>
          <w:rFonts w:ascii="Times New Roman" w:eastAsia="Times New Roman" w:hAnsi="Times New Roman" w:cs="Times New Roman"/>
          <w:i/>
          <w:color w:val="373A3C"/>
        </w:rPr>
        <w:t>Viato</w:t>
      </w:r>
      <w:r>
        <w:rPr>
          <w:rFonts w:ascii="Times New Roman" w:eastAsia="Times New Roman" w:hAnsi="Times New Roman" w:cs="Times New Roman"/>
          <w:color w:val="373A3C"/>
        </w:rPr>
        <w:t xml:space="preserve">r vol 28: 1997 (Turnhout, </w:t>
      </w:r>
      <w:proofErr w:type="spellStart"/>
      <w:r>
        <w:rPr>
          <w:rFonts w:ascii="Times New Roman" w:eastAsia="Times New Roman" w:hAnsi="Times New Roman" w:cs="Times New Roman"/>
          <w:color w:val="373A3C"/>
        </w:rPr>
        <w:t>Brepols</w:t>
      </w:r>
      <w:proofErr w:type="spellEnd"/>
      <w:r>
        <w:rPr>
          <w:rFonts w:ascii="Times New Roman" w:eastAsia="Times New Roman" w:hAnsi="Times New Roman" w:cs="Times New Roman"/>
          <w:color w:val="373A3C"/>
        </w:rPr>
        <w:t xml:space="preserve"> Publishers, 1997) 65-84</w:t>
      </w:r>
    </w:p>
    <w:p w14:paraId="00000043" w14:textId="77777777" w:rsidR="006443F8" w:rsidRDefault="00811604">
      <w:pPr>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Hemming, Jessica ‘Ancient Tradition or Authorial </w:t>
      </w:r>
      <w:proofErr w:type="gramStart"/>
      <w:r>
        <w:rPr>
          <w:rFonts w:ascii="Times New Roman" w:eastAsia="Times New Roman" w:hAnsi="Times New Roman" w:cs="Times New Roman"/>
          <w:color w:val="373A3C"/>
        </w:rPr>
        <w:t>Invention?:</w:t>
      </w:r>
      <w:proofErr w:type="gramEnd"/>
      <w:r>
        <w:rPr>
          <w:rFonts w:ascii="Times New Roman" w:eastAsia="Times New Roman" w:hAnsi="Times New Roman" w:cs="Times New Roman"/>
          <w:color w:val="373A3C"/>
        </w:rPr>
        <w:t xml:space="preserve"> The Mythological Names in the Four Branches’ J.F. Nagy (ed) </w:t>
      </w:r>
      <w:r>
        <w:rPr>
          <w:rFonts w:ascii="Times New Roman" w:eastAsia="Times New Roman" w:hAnsi="Times New Roman" w:cs="Times New Roman"/>
          <w:i/>
          <w:color w:val="373A3C"/>
        </w:rPr>
        <w:t xml:space="preserve">Myth in </w:t>
      </w:r>
      <w:r>
        <w:rPr>
          <w:rFonts w:ascii="Times New Roman" w:eastAsia="Times New Roman" w:hAnsi="Times New Roman" w:cs="Times New Roman"/>
          <w:i/>
          <w:color w:val="373A3C"/>
        </w:rPr>
        <w:t xml:space="preserve">Celtic Literature </w:t>
      </w:r>
      <w:r>
        <w:rPr>
          <w:rFonts w:ascii="Times New Roman" w:eastAsia="Times New Roman" w:hAnsi="Times New Roman" w:cs="Times New Roman"/>
          <w:color w:val="373A3C"/>
        </w:rPr>
        <w:t>(Dublin, Four Courts Press, 2007) 83-104</w:t>
      </w:r>
    </w:p>
    <w:p w14:paraId="00000044" w14:textId="77777777" w:rsidR="006443F8" w:rsidRDefault="00811604">
      <w:pPr>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Hutton, Ronald. ‘Medieval Welsh Literature and Pre-Christian Deities’ </w:t>
      </w:r>
      <w:r>
        <w:rPr>
          <w:rFonts w:ascii="Times New Roman" w:eastAsia="Times New Roman" w:hAnsi="Times New Roman" w:cs="Times New Roman"/>
          <w:i/>
          <w:color w:val="373A3C"/>
        </w:rPr>
        <w:t>Cambrian Medieval Celtic Studies</w:t>
      </w:r>
      <w:r>
        <w:rPr>
          <w:rFonts w:ascii="Times New Roman" w:eastAsia="Times New Roman" w:hAnsi="Times New Roman" w:cs="Times New Roman"/>
          <w:color w:val="373A3C"/>
        </w:rPr>
        <w:t xml:space="preserve"> Vol 61 Summer 2011 (CMCS, 2011</w:t>
      </w:r>
      <w:proofErr w:type="gramStart"/>
      <w:r>
        <w:rPr>
          <w:rFonts w:ascii="Times New Roman" w:eastAsia="Times New Roman" w:hAnsi="Times New Roman" w:cs="Times New Roman"/>
          <w:color w:val="373A3C"/>
        </w:rPr>
        <w:t>)  57</w:t>
      </w:r>
      <w:proofErr w:type="gramEnd"/>
      <w:r>
        <w:rPr>
          <w:rFonts w:ascii="Times New Roman" w:eastAsia="Times New Roman" w:hAnsi="Times New Roman" w:cs="Times New Roman"/>
          <w:color w:val="373A3C"/>
        </w:rPr>
        <w:t>-85</w:t>
      </w:r>
    </w:p>
    <w:p w14:paraId="00000045" w14:textId="77777777" w:rsidR="006443F8" w:rsidRDefault="00811604">
      <w:pPr>
        <w:pBdr>
          <w:top w:val="nil"/>
          <w:left w:val="nil"/>
          <w:bottom w:val="nil"/>
          <w:right w:val="nil"/>
          <w:between w:val="nil"/>
        </w:pBdr>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Owen, M.E ‘Shame and Reparation; Woman’s Place in the K</w:t>
      </w:r>
      <w:r>
        <w:rPr>
          <w:rFonts w:ascii="Times New Roman" w:eastAsia="Times New Roman" w:hAnsi="Times New Roman" w:cs="Times New Roman"/>
          <w:color w:val="373A3C"/>
        </w:rPr>
        <w:t>in’ in D. Jenkins and M.E. Owen (eds)</w:t>
      </w:r>
      <w:r>
        <w:rPr>
          <w:rFonts w:ascii="Times New Roman" w:eastAsia="Times New Roman" w:hAnsi="Times New Roman" w:cs="Times New Roman"/>
          <w:i/>
          <w:color w:val="373A3C"/>
        </w:rPr>
        <w:t xml:space="preserve"> The Welsh Law of Women </w:t>
      </w:r>
      <w:r>
        <w:rPr>
          <w:rFonts w:ascii="Times New Roman" w:eastAsia="Times New Roman" w:hAnsi="Times New Roman" w:cs="Times New Roman"/>
          <w:color w:val="373A3C"/>
        </w:rPr>
        <w:t>(Cardiff, University of Wales Press, 2017) 48-68</w:t>
      </w:r>
    </w:p>
    <w:p w14:paraId="00000046" w14:textId="77777777" w:rsidR="006443F8" w:rsidRDefault="00811604">
      <w:pPr>
        <w:pBdr>
          <w:top w:val="nil"/>
          <w:left w:val="nil"/>
          <w:bottom w:val="nil"/>
          <w:right w:val="nil"/>
          <w:between w:val="nil"/>
        </w:pBdr>
        <w:ind w:left="720" w:hanging="720"/>
      </w:pPr>
      <w:r>
        <w:rPr>
          <w:rFonts w:ascii="Times New Roman" w:eastAsia="Times New Roman" w:hAnsi="Times New Roman" w:cs="Times New Roman"/>
          <w:color w:val="373A3C"/>
        </w:rPr>
        <w:t xml:space="preserve">Reuter, Timothy </w:t>
      </w:r>
      <w:r>
        <w:rPr>
          <w:rFonts w:ascii="Times New Roman" w:eastAsia="Times New Roman" w:hAnsi="Times New Roman" w:cs="Times New Roman"/>
          <w:i/>
          <w:color w:val="373A3C"/>
        </w:rPr>
        <w:t>Medieval Polities and Modern Mentalities</w:t>
      </w:r>
      <w:r>
        <w:t xml:space="preserve"> </w:t>
      </w:r>
      <w:r>
        <w:rPr>
          <w:rFonts w:ascii="Times New Roman" w:eastAsia="Times New Roman" w:hAnsi="Times New Roman" w:cs="Times New Roman"/>
          <w:color w:val="373A3C"/>
        </w:rPr>
        <w:t>(Cambridge</w:t>
      </w:r>
      <w:r>
        <w:t xml:space="preserve">, </w:t>
      </w:r>
      <w:r>
        <w:rPr>
          <w:rFonts w:ascii="Times New Roman" w:eastAsia="Times New Roman" w:hAnsi="Times New Roman" w:cs="Times New Roman"/>
          <w:color w:val="373A3C"/>
        </w:rPr>
        <w:t xml:space="preserve">Cambridge University Press,2006) </w:t>
      </w:r>
    </w:p>
    <w:p w14:paraId="00000047" w14:textId="77777777" w:rsidR="006443F8" w:rsidRDefault="00811604">
      <w:pPr>
        <w:pBdr>
          <w:top w:val="nil"/>
          <w:left w:val="nil"/>
          <w:bottom w:val="nil"/>
          <w:right w:val="nil"/>
          <w:between w:val="nil"/>
        </w:pBdr>
        <w:ind w:left="720" w:hanging="720"/>
        <w:rPr>
          <w:rFonts w:ascii="Times New Roman" w:eastAsia="Times New Roman" w:hAnsi="Times New Roman" w:cs="Times New Roman"/>
          <w:color w:val="373A3C"/>
        </w:rPr>
      </w:pPr>
      <w:proofErr w:type="spellStart"/>
      <w:r>
        <w:rPr>
          <w:rFonts w:ascii="Times New Roman" w:eastAsia="Times New Roman" w:hAnsi="Times New Roman" w:cs="Times New Roman"/>
          <w:color w:val="373A3C"/>
        </w:rPr>
        <w:t>Sturzer</w:t>
      </w:r>
      <w:proofErr w:type="spellEnd"/>
      <w:r>
        <w:rPr>
          <w:rFonts w:ascii="Times New Roman" w:eastAsia="Times New Roman" w:hAnsi="Times New Roman" w:cs="Times New Roman"/>
          <w:color w:val="373A3C"/>
        </w:rPr>
        <w:t>, Ned ‘Inconsistencies and Infelicit</w:t>
      </w:r>
      <w:r>
        <w:rPr>
          <w:rFonts w:ascii="Times New Roman" w:eastAsia="Times New Roman" w:hAnsi="Times New Roman" w:cs="Times New Roman"/>
          <w:color w:val="373A3C"/>
        </w:rPr>
        <w:t xml:space="preserve">ies in the Welsh Tales’ </w:t>
      </w:r>
      <w:proofErr w:type="spellStart"/>
      <w:r>
        <w:rPr>
          <w:rFonts w:ascii="Times New Roman" w:eastAsia="Times New Roman" w:hAnsi="Times New Roman" w:cs="Times New Roman"/>
          <w:i/>
          <w:color w:val="373A3C"/>
        </w:rPr>
        <w:t>Studia</w:t>
      </w:r>
      <w:proofErr w:type="spellEnd"/>
      <w:r>
        <w:rPr>
          <w:rFonts w:ascii="Times New Roman" w:eastAsia="Times New Roman" w:hAnsi="Times New Roman" w:cs="Times New Roman"/>
          <w:i/>
          <w:color w:val="373A3C"/>
        </w:rPr>
        <w:t xml:space="preserve"> </w:t>
      </w:r>
      <w:proofErr w:type="spellStart"/>
      <w:r>
        <w:rPr>
          <w:rFonts w:ascii="Times New Roman" w:eastAsia="Times New Roman" w:hAnsi="Times New Roman" w:cs="Times New Roman"/>
          <w:i/>
          <w:color w:val="373A3C"/>
        </w:rPr>
        <w:t>Celtica</w:t>
      </w:r>
      <w:proofErr w:type="spellEnd"/>
      <w:r>
        <w:rPr>
          <w:rFonts w:ascii="Times New Roman" w:eastAsia="Times New Roman" w:hAnsi="Times New Roman" w:cs="Times New Roman"/>
          <w:color w:val="373A3C"/>
        </w:rPr>
        <w:t xml:space="preserve"> XXXVII (2003) (Cardiff, University of Wales Press) 127-142</w:t>
      </w:r>
    </w:p>
    <w:p w14:paraId="00000048" w14:textId="77777777" w:rsidR="006443F8" w:rsidRDefault="00811604">
      <w:pPr>
        <w:pBdr>
          <w:top w:val="nil"/>
          <w:left w:val="nil"/>
          <w:bottom w:val="nil"/>
          <w:right w:val="nil"/>
          <w:between w:val="nil"/>
        </w:pBdr>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Sullivan III, C.W (ed) </w:t>
      </w:r>
      <w:r>
        <w:rPr>
          <w:rFonts w:ascii="Times New Roman" w:eastAsia="Times New Roman" w:hAnsi="Times New Roman" w:cs="Times New Roman"/>
          <w:i/>
          <w:color w:val="373A3C"/>
        </w:rPr>
        <w:t xml:space="preserve">The </w:t>
      </w:r>
      <w:proofErr w:type="spellStart"/>
      <w:r>
        <w:rPr>
          <w:rFonts w:ascii="Times New Roman" w:eastAsia="Times New Roman" w:hAnsi="Times New Roman" w:cs="Times New Roman"/>
          <w:i/>
          <w:color w:val="373A3C"/>
        </w:rPr>
        <w:t>Mabinogi</w:t>
      </w:r>
      <w:proofErr w:type="spellEnd"/>
      <w:r>
        <w:rPr>
          <w:rFonts w:ascii="Times New Roman" w:eastAsia="Times New Roman" w:hAnsi="Times New Roman" w:cs="Times New Roman"/>
          <w:i/>
          <w:color w:val="373A3C"/>
        </w:rPr>
        <w:t>: A Book of Essays</w:t>
      </w:r>
      <w:r>
        <w:rPr>
          <w:rFonts w:ascii="Times New Roman" w:eastAsia="Times New Roman" w:hAnsi="Times New Roman" w:cs="Times New Roman"/>
          <w:color w:val="373A3C"/>
        </w:rPr>
        <w:t xml:space="preserve"> (New York, Oxford, Routledge, 1996)</w:t>
      </w:r>
    </w:p>
    <w:p w14:paraId="00000049" w14:textId="77777777" w:rsidR="006443F8" w:rsidRDefault="00811604">
      <w:pPr>
        <w:spacing w:line="273" w:lineRule="auto"/>
        <w:ind w:left="720"/>
        <w:rPr>
          <w:rFonts w:ascii="Times New Roman" w:eastAsia="Times New Roman" w:hAnsi="Times New Roman" w:cs="Times New Roman"/>
          <w:color w:val="373A3C"/>
        </w:rPr>
      </w:pPr>
      <w:r>
        <w:rPr>
          <w:rFonts w:ascii="Times New Roman" w:eastAsia="Times New Roman" w:hAnsi="Times New Roman" w:cs="Times New Roman"/>
          <w:color w:val="373A3C"/>
        </w:rPr>
        <w:t xml:space="preserve">Welsh, Andrew ‘The Traditional Narrative Motifs of the Four Branches of the </w:t>
      </w:r>
      <w:proofErr w:type="spellStart"/>
      <w:r>
        <w:rPr>
          <w:rFonts w:ascii="Times New Roman" w:eastAsia="Times New Roman" w:hAnsi="Times New Roman" w:cs="Times New Roman"/>
          <w:color w:val="373A3C"/>
        </w:rPr>
        <w:t>Mabinogi</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Cambridge Medieval Celtic Studies</w:t>
      </w:r>
      <w:r>
        <w:rPr>
          <w:rFonts w:ascii="Times New Roman" w:eastAsia="Times New Roman" w:hAnsi="Times New Roman" w:cs="Times New Roman"/>
          <w:color w:val="373A3C"/>
        </w:rPr>
        <w:t xml:space="preserve"> 15, Summer 1988 (CMCS, 1988) 51-62</w:t>
      </w:r>
    </w:p>
    <w:p w14:paraId="0000004A" w14:textId="77777777" w:rsidR="006443F8" w:rsidRDefault="00811604">
      <w:pPr>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Winward, Fiona ‘Some Aspects of Women in The Four Branches’ </w:t>
      </w:r>
      <w:r>
        <w:rPr>
          <w:rFonts w:ascii="Times New Roman" w:eastAsia="Times New Roman" w:hAnsi="Times New Roman" w:cs="Times New Roman"/>
          <w:i/>
          <w:color w:val="373A3C"/>
        </w:rPr>
        <w:t>Cambrian Medieval Celtic Studies</w:t>
      </w:r>
      <w:r>
        <w:rPr>
          <w:rFonts w:ascii="Times New Roman" w:eastAsia="Times New Roman" w:hAnsi="Times New Roman" w:cs="Times New Roman"/>
          <w:color w:val="373A3C"/>
        </w:rPr>
        <w:t xml:space="preserve"> 34 Winte</w:t>
      </w:r>
      <w:r>
        <w:rPr>
          <w:rFonts w:ascii="Times New Roman" w:eastAsia="Times New Roman" w:hAnsi="Times New Roman" w:cs="Times New Roman"/>
          <w:color w:val="373A3C"/>
        </w:rPr>
        <w:t>r 1997 (CMCS, 1997) 77-106</w:t>
      </w:r>
    </w:p>
    <w:p w14:paraId="0000004B" w14:textId="77777777" w:rsidR="006443F8" w:rsidRDefault="00811604">
      <w:pPr>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Wood, Juliette ‘The Calumniated Wife in Medieval Welsh Literature’ </w:t>
      </w:r>
      <w:r>
        <w:rPr>
          <w:rFonts w:ascii="Times New Roman" w:eastAsia="Times New Roman" w:hAnsi="Times New Roman" w:cs="Times New Roman"/>
          <w:i/>
          <w:color w:val="373A3C"/>
        </w:rPr>
        <w:t>Cambrian Medieval Celtic Studies</w:t>
      </w:r>
      <w:r>
        <w:rPr>
          <w:rFonts w:ascii="Times New Roman" w:eastAsia="Times New Roman" w:hAnsi="Times New Roman" w:cs="Times New Roman"/>
          <w:color w:val="373A3C"/>
        </w:rPr>
        <w:t xml:space="preserve"> vol 10 (1985) 25-38</w:t>
      </w:r>
    </w:p>
    <w:p w14:paraId="0000004C" w14:textId="77777777" w:rsidR="006443F8" w:rsidRDefault="006443F8"/>
    <w:sectPr w:rsidR="006443F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2A786" w14:textId="77777777" w:rsidR="00811604" w:rsidRDefault="00811604">
      <w:pPr>
        <w:spacing w:line="240" w:lineRule="auto"/>
      </w:pPr>
      <w:r>
        <w:separator/>
      </w:r>
    </w:p>
  </w:endnote>
  <w:endnote w:type="continuationSeparator" w:id="0">
    <w:p w14:paraId="7CB0D469" w14:textId="77777777" w:rsidR="00811604" w:rsidRDefault="00811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7424E" w14:textId="77777777" w:rsidR="00811604" w:rsidRDefault="00811604">
      <w:pPr>
        <w:spacing w:line="240" w:lineRule="auto"/>
      </w:pPr>
      <w:r>
        <w:separator/>
      </w:r>
    </w:p>
  </w:footnote>
  <w:footnote w:type="continuationSeparator" w:id="0">
    <w:p w14:paraId="6D750EE1" w14:textId="77777777" w:rsidR="00811604" w:rsidRDefault="00811604">
      <w:pPr>
        <w:spacing w:line="240" w:lineRule="auto"/>
      </w:pPr>
      <w:r>
        <w:continuationSeparator/>
      </w:r>
    </w:p>
  </w:footnote>
  <w:footnote w:id="1">
    <w:p w14:paraId="0000004D" w14:textId="77777777" w:rsidR="006443F8" w:rsidRDefault="00811604">
      <w:pPr>
        <w:spacing w:line="240" w:lineRule="auto"/>
        <w:rPr>
          <w:sz w:val="20"/>
          <w:szCs w:val="20"/>
        </w:rPr>
      </w:pPr>
      <w:r>
        <w:rPr>
          <w:vertAlign w:val="superscript"/>
        </w:rPr>
        <w:footnoteRef/>
      </w:r>
      <w:r>
        <w:rPr>
          <w:sz w:val="20"/>
          <w:szCs w:val="20"/>
        </w:rPr>
        <w:t xml:space="preserve"> Cana, </w:t>
      </w:r>
      <w:proofErr w:type="spellStart"/>
      <w:r>
        <w:rPr>
          <w:sz w:val="20"/>
          <w:szCs w:val="20"/>
        </w:rPr>
        <w:t>Proinsias</w:t>
      </w:r>
      <w:proofErr w:type="spellEnd"/>
      <w:r>
        <w:rPr>
          <w:sz w:val="20"/>
          <w:szCs w:val="20"/>
        </w:rPr>
        <w:t xml:space="preserve"> Mac </w:t>
      </w:r>
      <w:r>
        <w:rPr>
          <w:i/>
          <w:sz w:val="20"/>
          <w:szCs w:val="20"/>
        </w:rPr>
        <w:t xml:space="preserve">The </w:t>
      </w:r>
      <w:proofErr w:type="spellStart"/>
      <w:r>
        <w:rPr>
          <w:i/>
          <w:sz w:val="20"/>
          <w:szCs w:val="20"/>
        </w:rPr>
        <w:t>Mabinogi</w:t>
      </w:r>
      <w:proofErr w:type="spellEnd"/>
      <w:r>
        <w:rPr>
          <w:i/>
          <w:sz w:val="20"/>
          <w:szCs w:val="20"/>
        </w:rPr>
        <w:t xml:space="preserve"> </w:t>
      </w:r>
      <w:r>
        <w:rPr>
          <w:sz w:val="20"/>
          <w:szCs w:val="20"/>
        </w:rPr>
        <w:t>(Cardiff, University of Wales Press, 1977 rev 1992)</w:t>
      </w:r>
    </w:p>
  </w:footnote>
  <w:footnote w:id="2">
    <w:p w14:paraId="0000004E" w14:textId="77777777" w:rsidR="006443F8" w:rsidRDefault="00811604">
      <w:pPr>
        <w:spacing w:line="240" w:lineRule="auto"/>
        <w:rPr>
          <w:sz w:val="20"/>
          <w:szCs w:val="20"/>
        </w:rPr>
      </w:pPr>
      <w:r>
        <w:rPr>
          <w:vertAlign w:val="superscript"/>
        </w:rPr>
        <w:footnoteRef/>
      </w:r>
      <w:r>
        <w:rPr>
          <w:rFonts w:ascii="Times New Roman" w:eastAsia="Times New Roman" w:hAnsi="Times New Roman" w:cs="Times New Roman"/>
          <w:color w:val="373A3C"/>
        </w:rPr>
        <w:t xml:space="preserve"> Ford, P.K. ‘Prolego</w:t>
      </w:r>
      <w:r>
        <w:rPr>
          <w:rFonts w:ascii="Times New Roman" w:eastAsia="Times New Roman" w:hAnsi="Times New Roman" w:cs="Times New Roman"/>
          <w:color w:val="373A3C"/>
        </w:rPr>
        <w:t xml:space="preserve">mena to a Reading of the </w:t>
      </w:r>
      <w:proofErr w:type="spellStart"/>
      <w:r>
        <w:rPr>
          <w:rFonts w:ascii="Times New Roman" w:eastAsia="Times New Roman" w:hAnsi="Times New Roman" w:cs="Times New Roman"/>
          <w:color w:val="373A3C"/>
        </w:rPr>
        <w:t>Mabinogi</w:t>
      </w:r>
      <w:proofErr w:type="spellEnd"/>
      <w:r>
        <w:rPr>
          <w:rFonts w:ascii="Times New Roman" w:eastAsia="Times New Roman" w:hAnsi="Times New Roman" w:cs="Times New Roman"/>
          <w:color w:val="373A3C"/>
        </w:rPr>
        <w:t xml:space="preserve">: </w:t>
      </w:r>
      <w:proofErr w:type="spellStart"/>
      <w:r>
        <w:rPr>
          <w:rFonts w:ascii="Times New Roman" w:eastAsia="Times New Roman" w:hAnsi="Times New Roman" w:cs="Times New Roman"/>
          <w:color w:val="373A3C"/>
        </w:rPr>
        <w:t>Pwyll</w:t>
      </w:r>
      <w:proofErr w:type="spellEnd"/>
      <w:r>
        <w:rPr>
          <w:rFonts w:ascii="Times New Roman" w:eastAsia="Times New Roman" w:hAnsi="Times New Roman" w:cs="Times New Roman"/>
          <w:color w:val="373A3C"/>
        </w:rPr>
        <w:t xml:space="preserve"> and Manawydan’ </w:t>
      </w:r>
      <w:proofErr w:type="spellStart"/>
      <w:r>
        <w:rPr>
          <w:rFonts w:ascii="Times New Roman" w:eastAsia="Times New Roman" w:hAnsi="Times New Roman" w:cs="Times New Roman"/>
          <w:i/>
          <w:color w:val="373A3C"/>
        </w:rPr>
        <w:t>Studia</w:t>
      </w:r>
      <w:proofErr w:type="spellEnd"/>
      <w:r>
        <w:rPr>
          <w:rFonts w:ascii="Times New Roman" w:eastAsia="Times New Roman" w:hAnsi="Times New Roman" w:cs="Times New Roman"/>
          <w:i/>
          <w:color w:val="373A3C"/>
        </w:rPr>
        <w:t xml:space="preserve"> </w:t>
      </w:r>
      <w:proofErr w:type="spellStart"/>
      <w:r>
        <w:rPr>
          <w:rFonts w:ascii="Times New Roman" w:eastAsia="Times New Roman" w:hAnsi="Times New Roman" w:cs="Times New Roman"/>
          <w:i/>
          <w:color w:val="373A3C"/>
        </w:rPr>
        <w:t>Celtica</w:t>
      </w:r>
      <w:proofErr w:type="spellEnd"/>
      <w:r>
        <w:rPr>
          <w:rFonts w:ascii="Times New Roman" w:eastAsia="Times New Roman" w:hAnsi="Times New Roman" w:cs="Times New Roman"/>
          <w:i/>
          <w:color w:val="373A3C"/>
        </w:rPr>
        <w:t xml:space="preserve"> </w:t>
      </w:r>
      <w:r>
        <w:rPr>
          <w:rFonts w:ascii="Times New Roman" w:eastAsia="Times New Roman" w:hAnsi="Times New Roman" w:cs="Times New Roman"/>
          <w:color w:val="373A3C"/>
        </w:rPr>
        <w:t>Vol XVI/   XVII 1981/2 (Cardiff, University of Wales Press, 1981) 110-125</w:t>
      </w:r>
    </w:p>
  </w:footnote>
  <w:footnote w:id="3">
    <w:p w14:paraId="0000004F" w14:textId="77777777" w:rsidR="006443F8" w:rsidRDefault="00811604">
      <w:pPr>
        <w:spacing w:line="240" w:lineRule="auto"/>
        <w:rPr>
          <w:sz w:val="20"/>
          <w:szCs w:val="20"/>
        </w:rPr>
      </w:pPr>
      <w:r>
        <w:rPr>
          <w:vertAlign w:val="superscript"/>
        </w:rPr>
        <w:footnoteRef/>
      </w:r>
      <w:r>
        <w:rPr>
          <w:sz w:val="20"/>
          <w:szCs w:val="20"/>
        </w:rPr>
        <w:t xml:space="preserve"> Ross, Anne </w:t>
      </w:r>
      <w:r>
        <w:rPr>
          <w:i/>
          <w:sz w:val="20"/>
          <w:szCs w:val="20"/>
        </w:rPr>
        <w:t xml:space="preserve">Pagan Celtic Britain </w:t>
      </w:r>
      <w:r>
        <w:rPr>
          <w:sz w:val="20"/>
          <w:szCs w:val="20"/>
        </w:rPr>
        <w:t>(London, Constable, 1967)</w:t>
      </w:r>
    </w:p>
  </w:footnote>
  <w:footnote w:id="4">
    <w:p w14:paraId="00000050" w14:textId="77777777" w:rsidR="006443F8" w:rsidRDefault="00811604">
      <w:pPr>
        <w:spacing w:line="240" w:lineRule="auto"/>
        <w:rPr>
          <w:sz w:val="20"/>
          <w:szCs w:val="20"/>
        </w:rPr>
      </w:pPr>
      <w:r>
        <w:rPr>
          <w:vertAlign w:val="superscript"/>
        </w:rPr>
        <w:footnoteRef/>
      </w:r>
      <w:r>
        <w:rPr>
          <w:sz w:val="20"/>
          <w:szCs w:val="20"/>
        </w:rPr>
        <w:t xml:space="preserve"> W.J. </w:t>
      </w:r>
      <w:proofErr w:type="spellStart"/>
      <w:r>
        <w:rPr>
          <w:sz w:val="20"/>
          <w:szCs w:val="20"/>
        </w:rPr>
        <w:t>Gruffydd</w:t>
      </w:r>
      <w:proofErr w:type="spellEnd"/>
      <w:r>
        <w:rPr>
          <w:sz w:val="20"/>
          <w:szCs w:val="20"/>
        </w:rPr>
        <w:t xml:space="preserve"> </w:t>
      </w:r>
      <w:r>
        <w:rPr>
          <w:i/>
          <w:sz w:val="20"/>
          <w:szCs w:val="20"/>
        </w:rPr>
        <w:t>Rhiannon, An Enquiry into the First</w:t>
      </w:r>
      <w:r>
        <w:rPr>
          <w:i/>
          <w:sz w:val="20"/>
          <w:szCs w:val="20"/>
        </w:rPr>
        <w:t xml:space="preserve"> and Third Branches of the </w:t>
      </w:r>
      <w:proofErr w:type="spellStart"/>
      <w:r>
        <w:rPr>
          <w:i/>
          <w:sz w:val="20"/>
          <w:szCs w:val="20"/>
        </w:rPr>
        <w:t>Mabinogi</w:t>
      </w:r>
      <w:proofErr w:type="spellEnd"/>
      <w:r>
        <w:rPr>
          <w:i/>
          <w:sz w:val="20"/>
          <w:szCs w:val="20"/>
        </w:rPr>
        <w:t xml:space="preserve"> </w:t>
      </w:r>
      <w:r>
        <w:rPr>
          <w:sz w:val="20"/>
          <w:szCs w:val="20"/>
        </w:rPr>
        <w:t>(Cardiff, University of Wales Press, 1953)</w:t>
      </w:r>
    </w:p>
    <w:p w14:paraId="00000051" w14:textId="77777777" w:rsidR="006443F8" w:rsidRDefault="006443F8">
      <w:pPr>
        <w:spacing w:line="240" w:lineRule="auto"/>
        <w:rPr>
          <w:sz w:val="20"/>
          <w:szCs w:val="20"/>
        </w:rPr>
      </w:pPr>
    </w:p>
  </w:footnote>
  <w:footnote w:id="5">
    <w:p w14:paraId="00000052"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Davies, </w:t>
      </w:r>
      <w:proofErr w:type="spellStart"/>
      <w:r>
        <w:rPr>
          <w:color w:val="373A3C"/>
          <w:sz w:val="20"/>
          <w:szCs w:val="20"/>
        </w:rPr>
        <w:t>Sioned</w:t>
      </w:r>
      <w:proofErr w:type="spellEnd"/>
      <w:r>
        <w:rPr>
          <w:color w:val="373A3C"/>
          <w:sz w:val="20"/>
          <w:szCs w:val="20"/>
        </w:rPr>
        <w:t xml:space="preserve"> </w:t>
      </w:r>
      <w:r>
        <w:rPr>
          <w:i/>
          <w:color w:val="373A3C"/>
          <w:sz w:val="20"/>
          <w:szCs w:val="20"/>
        </w:rPr>
        <w:t xml:space="preserve">The </w:t>
      </w:r>
      <w:proofErr w:type="spellStart"/>
      <w:r>
        <w:rPr>
          <w:i/>
          <w:color w:val="373A3C"/>
          <w:sz w:val="20"/>
          <w:szCs w:val="20"/>
        </w:rPr>
        <w:t>Mabinogion</w:t>
      </w:r>
      <w:proofErr w:type="spellEnd"/>
      <w:r>
        <w:rPr>
          <w:color w:val="373A3C"/>
          <w:sz w:val="20"/>
          <w:szCs w:val="20"/>
        </w:rPr>
        <w:t xml:space="preserve"> (Oxford, Oxford University Press, 2007) p230</w:t>
      </w:r>
    </w:p>
  </w:footnote>
  <w:footnote w:id="6">
    <w:p w14:paraId="00000053" w14:textId="77777777" w:rsidR="006443F8" w:rsidRDefault="00811604">
      <w:pPr>
        <w:spacing w:line="240" w:lineRule="auto"/>
        <w:rPr>
          <w:sz w:val="20"/>
          <w:szCs w:val="20"/>
        </w:rPr>
      </w:pPr>
      <w:r>
        <w:rPr>
          <w:vertAlign w:val="superscript"/>
        </w:rPr>
        <w:footnoteRef/>
      </w:r>
      <w:r>
        <w:rPr>
          <w:sz w:val="20"/>
          <w:szCs w:val="20"/>
        </w:rPr>
        <w:t xml:space="preserve"> Ie </w:t>
      </w:r>
      <w:r>
        <w:rPr>
          <w:color w:val="373A3C"/>
          <w:sz w:val="20"/>
          <w:szCs w:val="20"/>
        </w:rPr>
        <w:t xml:space="preserve">Hutton, Ronald. ‘Medieval Welsh Literature and Pre-Christian Deities’ </w:t>
      </w:r>
      <w:r>
        <w:rPr>
          <w:i/>
          <w:color w:val="373A3C"/>
          <w:sz w:val="20"/>
          <w:szCs w:val="20"/>
        </w:rPr>
        <w:t>Cambrian Medieval Celtic</w:t>
      </w:r>
      <w:r>
        <w:rPr>
          <w:i/>
          <w:color w:val="373A3C"/>
          <w:sz w:val="20"/>
          <w:szCs w:val="20"/>
        </w:rPr>
        <w:t xml:space="preserve"> Studies</w:t>
      </w:r>
      <w:r>
        <w:rPr>
          <w:color w:val="373A3C"/>
          <w:sz w:val="20"/>
          <w:szCs w:val="20"/>
        </w:rPr>
        <w:t xml:space="preserve"> Vol 61 Summer 2011 (CMCS, 2011</w:t>
      </w:r>
      <w:proofErr w:type="gramStart"/>
      <w:r>
        <w:rPr>
          <w:color w:val="373A3C"/>
          <w:sz w:val="20"/>
          <w:szCs w:val="20"/>
        </w:rPr>
        <w:t>)  57</w:t>
      </w:r>
      <w:proofErr w:type="gramEnd"/>
      <w:r>
        <w:rPr>
          <w:color w:val="373A3C"/>
          <w:sz w:val="20"/>
          <w:szCs w:val="20"/>
        </w:rPr>
        <w:t>-85</w:t>
      </w:r>
    </w:p>
  </w:footnote>
  <w:footnote w:id="7">
    <w:p w14:paraId="0000006F"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Winward, Fiona ‘Some Aspects of Women in The Four Branches’ </w:t>
      </w:r>
      <w:r>
        <w:rPr>
          <w:i/>
          <w:color w:val="373A3C"/>
          <w:sz w:val="20"/>
          <w:szCs w:val="20"/>
        </w:rPr>
        <w:t>Cambrian Medieval Celtic Studies</w:t>
      </w:r>
      <w:r>
        <w:rPr>
          <w:color w:val="373A3C"/>
          <w:sz w:val="20"/>
          <w:szCs w:val="20"/>
        </w:rPr>
        <w:t xml:space="preserve"> 34 Winter 1997 (CMCS, 1997) p89</w:t>
      </w:r>
    </w:p>
  </w:footnote>
  <w:footnote w:id="8">
    <w:p w14:paraId="00000054" w14:textId="77777777" w:rsidR="006443F8" w:rsidRDefault="00811604">
      <w:pPr>
        <w:spacing w:line="240" w:lineRule="auto"/>
        <w:rPr>
          <w:sz w:val="20"/>
          <w:szCs w:val="20"/>
        </w:rPr>
      </w:pPr>
      <w:r>
        <w:rPr>
          <w:vertAlign w:val="superscript"/>
        </w:rPr>
        <w:footnoteRef/>
      </w:r>
      <w:r>
        <w:rPr>
          <w:sz w:val="20"/>
          <w:szCs w:val="20"/>
        </w:rPr>
        <w:t xml:space="preserve"> </w:t>
      </w:r>
      <w:r>
        <w:rPr>
          <w:i/>
          <w:color w:val="373A3C"/>
          <w:sz w:val="20"/>
          <w:szCs w:val="20"/>
        </w:rPr>
        <w:t xml:space="preserve">Ibid </w:t>
      </w:r>
      <w:r>
        <w:rPr>
          <w:color w:val="373A3C"/>
          <w:sz w:val="20"/>
          <w:szCs w:val="20"/>
        </w:rPr>
        <w:t>p78</w:t>
      </w:r>
    </w:p>
  </w:footnote>
  <w:footnote w:id="9">
    <w:p w14:paraId="00000055"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Davies, </w:t>
      </w:r>
      <w:proofErr w:type="spellStart"/>
      <w:r>
        <w:rPr>
          <w:color w:val="373A3C"/>
          <w:sz w:val="20"/>
          <w:szCs w:val="20"/>
        </w:rPr>
        <w:t>Sioned</w:t>
      </w:r>
      <w:proofErr w:type="spellEnd"/>
      <w:r>
        <w:rPr>
          <w:color w:val="373A3C"/>
          <w:sz w:val="20"/>
          <w:szCs w:val="20"/>
        </w:rPr>
        <w:t xml:space="preserve"> </w:t>
      </w:r>
      <w:r>
        <w:rPr>
          <w:i/>
          <w:color w:val="373A3C"/>
          <w:sz w:val="20"/>
          <w:szCs w:val="20"/>
        </w:rPr>
        <w:t xml:space="preserve">The </w:t>
      </w:r>
      <w:proofErr w:type="spellStart"/>
      <w:r>
        <w:rPr>
          <w:i/>
          <w:color w:val="373A3C"/>
          <w:sz w:val="20"/>
          <w:szCs w:val="20"/>
        </w:rPr>
        <w:t>Mabinogion</w:t>
      </w:r>
      <w:proofErr w:type="spellEnd"/>
      <w:r>
        <w:rPr>
          <w:color w:val="373A3C"/>
          <w:sz w:val="20"/>
          <w:szCs w:val="20"/>
        </w:rPr>
        <w:t xml:space="preserve"> (Oxford, Oxford University Press) p8</w:t>
      </w:r>
    </w:p>
  </w:footnote>
  <w:footnote w:id="10">
    <w:p w14:paraId="00000056"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p9</w:t>
      </w:r>
    </w:p>
  </w:footnote>
  <w:footnote w:id="11">
    <w:p w14:paraId="00000057" w14:textId="77777777" w:rsidR="006443F8" w:rsidRDefault="00811604">
      <w:pPr>
        <w:spacing w:line="240" w:lineRule="auto"/>
        <w:rPr>
          <w:i/>
          <w:sz w:val="20"/>
          <w:szCs w:val="20"/>
        </w:rPr>
      </w:pPr>
      <w:r>
        <w:rPr>
          <w:vertAlign w:val="superscript"/>
        </w:rPr>
        <w:footnoteRef/>
      </w:r>
      <w:r>
        <w:rPr>
          <w:sz w:val="20"/>
          <w:szCs w:val="20"/>
        </w:rPr>
        <w:t xml:space="preserve"> </w:t>
      </w:r>
      <w:r>
        <w:rPr>
          <w:i/>
          <w:sz w:val="20"/>
          <w:szCs w:val="20"/>
        </w:rPr>
        <w:t>Ibid p9</w:t>
      </w:r>
    </w:p>
  </w:footnote>
  <w:footnote w:id="12">
    <w:p w14:paraId="00000058" w14:textId="77777777" w:rsidR="006443F8" w:rsidRDefault="00811604">
      <w:pPr>
        <w:spacing w:line="240" w:lineRule="auto"/>
        <w:rPr>
          <w:i/>
          <w:sz w:val="20"/>
          <w:szCs w:val="20"/>
        </w:rPr>
      </w:pPr>
      <w:r>
        <w:rPr>
          <w:vertAlign w:val="superscript"/>
        </w:rPr>
        <w:footnoteRef/>
      </w:r>
      <w:r>
        <w:rPr>
          <w:sz w:val="20"/>
          <w:szCs w:val="20"/>
        </w:rPr>
        <w:t xml:space="preserve"> </w:t>
      </w:r>
      <w:r>
        <w:rPr>
          <w:i/>
          <w:sz w:val="20"/>
          <w:szCs w:val="20"/>
        </w:rPr>
        <w:t>Ibid p36</w:t>
      </w:r>
    </w:p>
  </w:footnote>
  <w:footnote w:id="13">
    <w:p w14:paraId="00000059" w14:textId="77777777" w:rsidR="006443F8" w:rsidRDefault="00811604">
      <w:pPr>
        <w:spacing w:line="240" w:lineRule="auto"/>
        <w:rPr>
          <w:i/>
          <w:sz w:val="20"/>
          <w:szCs w:val="20"/>
        </w:rPr>
      </w:pPr>
      <w:r>
        <w:rPr>
          <w:vertAlign w:val="superscript"/>
        </w:rPr>
        <w:footnoteRef/>
      </w:r>
      <w:r>
        <w:rPr>
          <w:sz w:val="20"/>
          <w:szCs w:val="20"/>
        </w:rPr>
        <w:t xml:space="preserve"> </w:t>
      </w:r>
      <w:r>
        <w:rPr>
          <w:i/>
          <w:sz w:val="20"/>
          <w:szCs w:val="20"/>
        </w:rPr>
        <w:t>Ibid p36</w:t>
      </w:r>
    </w:p>
  </w:footnote>
  <w:footnote w:id="14">
    <w:p w14:paraId="0000005A" w14:textId="77777777" w:rsidR="006443F8" w:rsidRDefault="00811604">
      <w:pPr>
        <w:spacing w:line="240" w:lineRule="auto"/>
        <w:rPr>
          <w:sz w:val="20"/>
          <w:szCs w:val="20"/>
        </w:rPr>
      </w:pPr>
      <w:r>
        <w:rPr>
          <w:vertAlign w:val="superscript"/>
        </w:rPr>
        <w:footnoteRef/>
      </w:r>
      <w:r>
        <w:rPr>
          <w:sz w:val="20"/>
          <w:szCs w:val="20"/>
        </w:rPr>
        <w:t xml:space="preserve"> Her magical origins are confirmed in several other stories in which she does not herself appear. In the Second Branch we are told (p33) of her magical birds, and these are referred to elsewhere in </w:t>
      </w:r>
      <w:r>
        <w:rPr>
          <w:i/>
          <w:sz w:val="20"/>
          <w:szCs w:val="20"/>
        </w:rPr>
        <w:t xml:space="preserve">How </w:t>
      </w:r>
      <w:proofErr w:type="spellStart"/>
      <w:r>
        <w:rPr>
          <w:i/>
          <w:sz w:val="20"/>
          <w:szCs w:val="20"/>
        </w:rPr>
        <w:t>Culwch</w:t>
      </w:r>
      <w:proofErr w:type="spellEnd"/>
      <w:r>
        <w:rPr>
          <w:i/>
          <w:sz w:val="20"/>
          <w:szCs w:val="20"/>
        </w:rPr>
        <w:t xml:space="preserve"> won Olwen “the birds of Rhiannon… wake the dead</w:t>
      </w:r>
      <w:r>
        <w:rPr>
          <w:i/>
          <w:sz w:val="20"/>
          <w:szCs w:val="20"/>
        </w:rPr>
        <w:t xml:space="preserve"> and lull the living to sleep”</w:t>
      </w:r>
      <w:r>
        <w:rPr>
          <w:sz w:val="20"/>
          <w:szCs w:val="20"/>
        </w:rPr>
        <w:t xml:space="preserve"> p196.</w:t>
      </w:r>
    </w:p>
  </w:footnote>
  <w:footnote w:id="15">
    <w:p w14:paraId="0000005B"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Davies, </w:t>
      </w:r>
      <w:proofErr w:type="spellStart"/>
      <w:r>
        <w:rPr>
          <w:color w:val="373A3C"/>
          <w:sz w:val="20"/>
          <w:szCs w:val="20"/>
        </w:rPr>
        <w:t>Sioned</w:t>
      </w:r>
      <w:proofErr w:type="spellEnd"/>
      <w:r>
        <w:rPr>
          <w:color w:val="373A3C"/>
          <w:sz w:val="20"/>
          <w:szCs w:val="20"/>
        </w:rPr>
        <w:t xml:space="preserve"> </w:t>
      </w:r>
      <w:r>
        <w:rPr>
          <w:i/>
          <w:color w:val="373A3C"/>
          <w:sz w:val="20"/>
          <w:szCs w:val="20"/>
        </w:rPr>
        <w:t xml:space="preserve">The </w:t>
      </w:r>
      <w:proofErr w:type="spellStart"/>
      <w:r>
        <w:rPr>
          <w:i/>
          <w:color w:val="373A3C"/>
          <w:sz w:val="20"/>
          <w:szCs w:val="20"/>
        </w:rPr>
        <w:t>Mabinogion</w:t>
      </w:r>
      <w:proofErr w:type="spellEnd"/>
      <w:r>
        <w:rPr>
          <w:color w:val="373A3C"/>
          <w:sz w:val="20"/>
          <w:szCs w:val="20"/>
        </w:rPr>
        <w:t xml:space="preserve"> (Oxford, Oxford University Press) p58</w:t>
      </w:r>
    </w:p>
  </w:footnote>
  <w:footnote w:id="16">
    <w:p w14:paraId="0000005C" w14:textId="77777777" w:rsidR="006443F8" w:rsidRDefault="00811604">
      <w:pPr>
        <w:spacing w:line="240" w:lineRule="auto"/>
        <w:rPr>
          <w:sz w:val="20"/>
          <w:szCs w:val="20"/>
        </w:rPr>
      </w:pPr>
      <w:r>
        <w:rPr>
          <w:vertAlign w:val="superscript"/>
        </w:rPr>
        <w:footnoteRef/>
      </w:r>
      <w:r>
        <w:rPr>
          <w:sz w:val="20"/>
          <w:szCs w:val="20"/>
        </w:rPr>
        <w:t xml:space="preserve"> With the statement “they </w:t>
      </w:r>
      <w:proofErr w:type="spellStart"/>
      <w:r>
        <w:rPr>
          <w:sz w:val="20"/>
          <w:szCs w:val="20"/>
        </w:rPr>
        <w:t>baptised</w:t>
      </w:r>
      <w:proofErr w:type="spellEnd"/>
      <w:r>
        <w:rPr>
          <w:sz w:val="20"/>
          <w:szCs w:val="20"/>
        </w:rPr>
        <w:t xml:space="preserve"> her in the way they did at that time” p58, the author here employing a literary device akin to ‘once upon a time’</w:t>
      </w:r>
      <w:r>
        <w:rPr>
          <w:sz w:val="20"/>
          <w:szCs w:val="20"/>
        </w:rPr>
        <w:t xml:space="preserve"> or ‘in olden days’ to create a sense of distance, and thus mystery and magic.</w:t>
      </w:r>
    </w:p>
  </w:footnote>
  <w:footnote w:id="17">
    <w:p w14:paraId="0000005D" w14:textId="77777777" w:rsidR="006443F8" w:rsidRDefault="00811604">
      <w:pPr>
        <w:spacing w:line="240" w:lineRule="auto"/>
        <w:rPr>
          <w:sz w:val="20"/>
          <w:szCs w:val="20"/>
        </w:rPr>
      </w:pPr>
      <w:r>
        <w:rPr>
          <w:vertAlign w:val="superscript"/>
        </w:rPr>
        <w:footnoteRef/>
      </w:r>
      <w:r>
        <w:rPr>
          <w:sz w:val="20"/>
          <w:szCs w:val="20"/>
        </w:rPr>
        <w:t xml:space="preserve"> From the outset, we are told she is wearing ‘a shining golden garment of brocaded silk’ p9</w:t>
      </w:r>
    </w:p>
  </w:footnote>
  <w:footnote w:id="18">
    <w:p w14:paraId="0000005E"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Davies, </w:t>
      </w:r>
      <w:proofErr w:type="spellStart"/>
      <w:r>
        <w:rPr>
          <w:color w:val="373A3C"/>
          <w:sz w:val="20"/>
          <w:szCs w:val="20"/>
        </w:rPr>
        <w:t>Sioned</w:t>
      </w:r>
      <w:proofErr w:type="spellEnd"/>
      <w:r>
        <w:rPr>
          <w:color w:val="373A3C"/>
          <w:sz w:val="20"/>
          <w:szCs w:val="20"/>
        </w:rPr>
        <w:t xml:space="preserve"> </w:t>
      </w:r>
      <w:r>
        <w:rPr>
          <w:i/>
          <w:color w:val="373A3C"/>
          <w:sz w:val="20"/>
          <w:szCs w:val="20"/>
        </w:rPr>
        <w:t xml:space="preserve">The </w:t>
      </w:r>
      <w:proofErr w:type="spellStart"/>
      <w:r>
        <w:rPr>
          <w:i/>
          <w:color w:val="373A3C"/>
          <w:sz w:val="20"/>
          <w:szCs w:val="20"/>
        </w:rPr>
        <w:t>Mabinogion</w:t>
      </w:r>
      <w:proofErr w:type="spellEnd"/>
      <w:r>
        <w:rPr>
          <w:color w:val="373A3C"/>
          <w:sz w:val="20"/>
          <w:szCs w:val="20"/>
        </w:rPr>
        <w:t xml:space="preserve"> (Oxford, Oxford University Press) p11</w:t>
      </w:r>
    </w:p>
  </w:footnote>
  <w:footnote w:id="19">
    <w:p w14:paraId="0000005F"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p11</w:t>
      </w:r>
    </w:p>
  </w:footnote>
  <w:footnote w:id="20">
    <w:p w14:paraId="00000060"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I</w:t>
      </w:r>
      <w:r>
        <w:rPr>
          <w:i/>
          <w:sz w:val="20"/>
          <w:szCs w:val="20"/>
        </w:rPr>
        <w:t xml:space="preserve">bid </w:t>
      </w:r>
      <w:r>
        <w:rPr>
          <w:sz w:val="20"/>
          <w:szCs w:val="20"/>
        </w:rPr>
        <w:t>p15</w:t>
      </w:r>
    </w:p>
  </w:footnote>
  <w:footnote w:id="21">
    <w:p w14:paraId="00000064"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p36</w:t>
      </w:r>
    </w:p>
  </w:footnote>
  <w:footnote w:id="22">
    <w:p w14:paraId="00000061"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p58</w:t>
      </w:r>
    </w:p>
  </w:footnote>
  <w:footnote w:id="23">
    <w:p w14:paraId="00000063" w14:textId="77777777" w:rsidR="006443F8" w:rsidRDefault="00811604">
      <w:pPr>
        <w:spacing w:line="240" w:lineRule="auto"/>
        <w:rPr>
          <w:sz w:val="20"/>
          <w:szCs w:val="20"/>
        </w:rPr>
      </w:pPr>
      <w:r>
        <w:rPr>
          <w:vertAlign w:val="superscript"/>
        </w:rPr>
        <w:footnoteRef/>
      </w:r>
      <w:r>
        <w:rPr>
          <w:sz w:val="20"/>
          <w:szCs w:val="20"/>
        </w:rPr>
        <w:t xml:space="preserve"> Indeed, it could be argued that the author also draws another clear distinction between the women himself. In the Third Branch, Rhiannon, unlike </w:t>
      </w:r>
      <w:proofErr w:type="spellStart"/>
      <w:r>
        <w:rPr>
          <w:sz w:val="20"/>
          <w:szCs w:val="20"/>
        </w:rPr>
        <w:t>Cigfa</w:t>
      </w:r>
      <w:proofErr w:type="spellEnd"/>
      <w:r>
        <w:rPr>
          <w:sz w:val="20"/>
          <w:szCs w:val="20"/>
        </w:rPr>
        <w:t xml:space="preserve">, accompanies her son </w:t>
      </w:r>
      <w:proofErr w:type="spellStart"/>
      <w:r>
        <w:rPr>
          <w:sz w:val="20"/>
          <w:szCs w:val="20"/>
        </w:rPr>
        <w:t>Pryderi</w:t>
      </w:r>
      <w:proofErr w:type="spellEnd"/>
      <w:r>
        <w:rPr>
          <w:sz w:val="20"/>
          <w:szCs w:val="20"/>
        </w:rPr>
        <w:t xml:space="preserve"> and husband Manawydan even on the hunt. By contrast, when </w:t>
      </w:r>
      <w:proofErr w:type="spellStart"/>
      <w:r>
        <w:rPr>
          <w:sz w:val="20"/>
          <w:szCs w:val="20"/>
        </w:rPr>
        <w:t>Lleu</w:t>
      </w:r>
      <w:proofErr w:type="spellEnd"/>
      <w:r>
        <w:rPr>
          <w:sz w:val="20"/>
          <w:szCs w:val="20"/>
        </w:rPr>
        <w:t xml:space="preserve"> leaves to vi</w:t>
      </w:r>
      <w:r>
        <w:rPr>
          <w:sz w:val="20"/>
          <w:szCs w:val="20"/>
        </w:rPr>
        <w:t xml:space="preserve">sit Math, </w:t>
      </w:r>
      <w:proofErr w:type="spellStart"/>
      <w:r>
        <w:rPr>
          <w:sz w:val="20"/>
          <w:szCs w:val="20"/>
        </w:rPr>
        <w:t>Blodeuwedd</w:t>
      </w:r>
      <w:proofErr w:type="spellEnd"/>
      <w:r>
        <w:rPr>
          <w:sz w:val="20"/>
          <w:szCs w:val="20"/>
        </w:rPr>
        <w:t xml:space="preserve"> is left behind, and the word choice suggests her boredom “</w:t>
      </w:r>
      <w:proofErr w:type="spellStart"/>
      <w:r>
        <w:rPr>
          <w:sz w:val="20"/>
          <w:szCs w:val="20"/>
        </w:rPr>
        <w:t>Blodeuwedd</w:t>
      </w:r>
      <w:proofErr w:type="spellEnd"/>
      <w:r>
        <w:rPr>
          <w:sz w:val="20"/>
          <w:szCs w:val="20"/>
        </w:rPr>
        <w:t xml:space="preserve"> was wandering around the court” p59. </w:t>
      </w:r>
    </w:p>
  </w:footnote>
  <w:footnote w:id="24">
    <w:p w14:paraId="00000062"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p59</w:t>
      </w:r>
    </w:p>
  </w:footnote>
  <w:footnote w:id="25">
    <w:p w14:paraId="00000065"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p11</w:t>
      </w:r>
    </w:p>
  </w:footnote>
  <w:footnote w:id="26">
    <w:p w14:paraId="00000066"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p12</w:t>
      </w:r>
    </w:p>
  </w:footnote>
  <w:footnote w:id="27">
    <w:p w14:paraId="00000067"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p13</w:t>
      </w:r>
    </w:p>
  </w:footnote>
  <w:footnote w:id="28">
    <w:p w14:paraId="00000068"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p14</w:t>
      </w:r>
    </w:p>
  </w:footnote>
  <w:footnote w:id="29">
    <w:p w14:paraId="00000069"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p15</w:t>
      </w:r>
    </w:p>
  </w:footnote>
  <w:footnote w:id="30">
    <w:p w14:paraId="0000006E"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p40</w:t>
      </w:r>
    </w:p>
  </w:footnote>
  <w:footnote w:id="31">
    <w:p w14:paraId="0000006A"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p17</w:t>
      </w:r>
    </w:p>
  </w:footnote>
  <w:footnote w:id="32">
    <w:p w14:paraId="0000006B"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ibid</w:t>
      </w:r>
    </w:p>
  </w:footnote>
  <w:footnote w:id="33">
    <w:p w14:paraId="0000006C"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 xml:space="preserve">Ibid </w:t>
      </w:r>
      <w:r>
        <w:rPr>
          <w:sz w:val="20"/>
          <w:szCs w:val="20"/>
        </w:rPr>
        <w:t>p61</w:t>
      </w:r>
    </w:p>
  </w:footnote>
  <w:footnote w:id="34">
    <w:p w14:paraId="0000006D" w14:textId="77777777" w:rsidR="006443F8" w:rsidRDefault="00811604">
      <w:pPr>
        <w:spacing w:line="240" w:lineRule="auto"/>
        <w:rPr>
          <w:sz w:val="20"/>
          <w:szCs w:val="20"/>
        </w:rPr>
      </w:pPr>
      <w:r>
        <w:rPr>
          <w:vertAlign w:val="superscript"/>
        </w:rPr>
        <w:footnoteRef/>
      </w:r>
      <w:r>
        <w:rPr>
          <w:sz w:val="20"/>
          <w:szCs w:val="20"/>
        </w:rPr>
        <w:t xml:space="preserve"> There is an interesting hint in </w:t>
      </w:r>
      <w:proofErr w:type="spellStart"/>
      <w:r>
        <w:rPr>
          <w:sz w:val="20"/>
          <w:szCs w:val="20"/>
        </w:rPr>
        <w:t>Blodeuwedd’s</w:t>
      </w:r>
      <w:proofErr w:type="spellEnd"/>
      <w:r>
        <w:rPr>
          <w:sz w:val="20"/>
          <w:szCs w:val="20"/>
        </w:rPr>
        <w:t xml:space="preserve"> complete ignorance of goats (“these are the animals you said were called </w:t>
      </w:r>
      <w:proofErr w:type="spellStart"/>
      <w:r>
        <w:rPr>
          <w:sz w:val="20"/>
          <w:szCs w:val="20"/>
        </w:rPr>
        <w:t>billy</w:t>
      </w:r>
      <w:proofErr w:type="spellEnd"/>
      <w:r>
        <w:rPr>
          <w:sz w:val="20"/>
          <w:szCs w:val="20"/>
        </w:rPr>
        <w:t xml:space="preserve"> goats?” p61) that having come full formed into the world, she remains unworldly and, in a sense, ignorant, and thus cannot be expec</w:t>
      </w:r>
      <w:r>
        <w:rPr>
          <w:sz w:val="20"/>
          <w:szCs w:val="20"/>
        </w:rPr>
        <w:t xml:space="preserve">ted to conform to normal patterns of </w:t>
      </w:r>
      <w:proofErr w:type="spellStart"/>
      <w:r>
        <w:rPr>
          <w:sz w:val="20"/>
          <w:szCs w:val="20"/>
        </w:rPr>
        <w:t>behaviour</w:t>
      </w:r>
      <w:proofErr w:type="spellEnd"/>
      <w:r>
        <w:rPr>
          <w:sz w:val="20"/>
          <w:szCs w:val="20"/>
        </w:rPr>
        <w:t xml:space="preserve"> or social graces.</w:t>
      </w:r>
    </w:p>
  </w:footnote>
  <w:footnote w:id="35">
    <w:p w14:paraId="00000070"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Winward, Fiona ‘Some Aspects of Women in The Four B</w:t>
      </w:r>
      <w:r>
        <w:rPr>
          <w:color w:val="373A3C"/>
          <w:sz w:val="20"/>
          <w:szCs w:val="20"/>
        </w:rPr>
        <w:t xml:space="preserve">ranches’ </w:t>
      </w:r>
      <w:r>
        <w:rPr>
          <w:i/>
          <w:color w:val="373A3C"/>
          <w:sz w:val="20"/>
          <w:szCs w:val="20"/>
        </w:rPr>
        <w:t>Cambrian Medieval Celtic Studies</w:t>
      </w:r>
      <w:r>
        <w:rPr>
          <w:color w:val="373A3C"/>
          <w:sz w:val="20"/>
          <w:szCs w:val="20"/>
        </w:rPr>
        <w:t xml:space="preserve"> 34 Winter 1997 (CMCS, 1997)</w:t>
      </w:r>
      <w:r>
        <w:rPr>
          <w:rFonts w:ascii="Times New Roman" w:eastAsia="Times New Roman" w:hAnsi="Times New Roman" w:cs="Times New Roman"/>
          <w:color w:val="373A3C"/>
        </w:rPr>
        <w:t xml:space="preserve"> p102</w:t>
      </w:r>
    </w:p>
  </w:footnote>
  <w:footnote w:id="36">
    <w:p w14:paraId="00000073"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Bollard, J.K. ‘The Role of Myth and Tradition in the Four Branches of the </w:t>
      </w:r>
      <w:proofErr w:type="spellStart"/>
      <w:r>
        <w:rPr>
          <w:color w:val="373A3C"/>
          <w:sz w:val="20"/>
          <w:szCs w:val="20"/>
        </w:rPr>
        <w:t>Mabinogi</w:t>
      </w:r>
      <w:proofErr w:type="spellEnd"/>
      <w:r>
        <w:rPr>
          <w:color w:val="373A3C"/>
          <w:sz w:val="20"/>
          <w:szCs w:val="20"/>
        </w:rPr>
        <w:t xml:space="preserve">’ </w:t>
      </w:r>
      <w:r>
        <w:rPr>
          <w:i/>
          <w:color w:val="373A3C"/>
          <w:sz w:val="20"/>
          <w:szCs w:val="20"/>
        </w:rPr>
        <w:t>Cambridg</w:t>
      </w:r>
      <w:r>
        <w:rPr>
          <w:i/>
          <w:color w:val="373A3C"/>
          <w:sz w:val="20"/>
          <w:szCs w:val="20"/>
        </w:rPr>
        <w:t>e Medieval Celtic Studies</w:t>
      </w:r>
      <w:r>
        <w:rPr>
          <w:color w:val="373A3C"/>
          <w:sz w:val="20"/>
          <w:szCs w:val="20"/>
        </w:rPr>
        <w:t xml:space="preserve"> Vol 6 Winter 1983 (CMCS, 1983) p75</w:t>
      </w:r>
    </w:p>
  </w:footnote>
  <w:footnote w:id="37">
    <w:p w14:paraId="00000071" w14:textId="77777777" w:rsidR="006443F8" w:rsidRDefault="00811604">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color w:val="373A3C"/>
        </w:rPr>
        <w:t xml:space="preserve">Davies, </w:t>
      </w:r>
      <w:proofErr w:type="spellStart"/>
      <w:r>
        <w:rPr>
          <w:rFonts w:ascii="Times New Roman" w:eastAsia="Times New Roman" w:hAnsi="Times New Roman" w:cs="Times New Roman"/>
          <w:color w:val="373A3C"/>
        </w:rPr>
        <w:t>Sioned</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 xml:space="preserve">The </w:t>
      </w:r>
      <w:proofErr w:type="spellStart"/>
      <w:r>
        <w:rPr>
          <w:rFonts w:ascii="Times New Roman" w:eastAsia="Times New Roman" w:hAnsi="Times New Roman" w:cs="Times New Roman"/>
          <w:i/>
          <w:color w:val="373A3C"/>
        </w:rPr>
        <w:t>Mabinogion</w:t>
      </w:r>
      <w:proofErr w:type="spellEnd"/>
      <w:r>
        <w:rPr>
          <w:rFonts w:ascii="Times New Roman" w:eastAsia="Times New Roman" w:hAnsi="Times New Roman" w:cs="Times New Roman"/>
          <w:color w:val="373A3C"/>
        </w:rPr>
        <w:t xml:space="preserve"> (Oxford, Oxford University Press, 2007) p19</w:t>
      </w:r>
    </w:p>
  </w:footnote>
  <w:footnote w:id="38">
    <w:p w14:paraId="00000074"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Bollard, J.K. ‘The Role of Myth and Tradition in the Four Branches of the </w:t>
      </w:r>
      <w:proofErr w:type="spellStart"/>
      <w:r>
        <w:rPr>
          <w:color w:val="373A3C"/>
          <w:sz w:val="20"/>
          <w:szCs w:val="20"/>
        </w:rPr>
        <w:t>Mabinogi</w:t>
      </w:r>
      <w:proofErr w:type="spellEnd"/>
      <w:r>
        <w:rPr>
          <w:color w:val="373A3C"/>
          <w:sz w:val="20"/>
          <w:szCs w:val="20"/>
        </w:rPr>
        <w:t xml:space="preserve">’ </w:t>
      </w:r>
      <w:r>
        <w:rPr>
          <w:i/>
          <w:color w:val="373A3C"/>
          <w:sz w:val="20"/>
          <w:szCs w:val="20"/>
        </w:rPr>
        <w:t>Cambridge Medieval Celtic Studies</w:t>
      </w:r>
      <w:r>
        <w:rPr>
          <w:color w:val="373A3C"/>
          <w:sz w:val="20"/>
          <w:szCs w:val="20"/>
        </w:rPr>
        <w:t xml:space="preserve"> Vol 6 Winter 1983 (CMCS, 1983) p77</w:t>
      </w:r>
    </w:p>
    <w:p w14:paraId="00000075" w14:textId="77777777" w:rsidR="006443F8" w:rsidRDefault="006443F8">
      <w:pPr>
        <w:spacing w:line="240" w:lineRule="auto"/>
        <w:rPr>
          <w:sz w:val="20"/>
          <w:szCs w:val="20"/>
        </w:rPr>
      </w:pPr>
    </w:p>
  </w:footnote>
  <w:footnote w:id="39">
    <w:p w14:paraId="00000072" w14:textId="77777777" w:rsidR="006443F8" w:rsidRDefault="00811604">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xml:space="preserve"> p58</w:t>
      </w:r>
    </w:p>
  </w:footnote>
  <w:footnote w:id="40">
    <w:p w14:paraId="00000076"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Davies, </w:t>
      </w:r>
      <w:proofErr w:type="spellStart"/>
      <w:r>
        <w:rPr>
          <w:color w:val="373A3C"/>
          <w:sz w:val="20"/>
          <w:szCs w:val="20"/>
        </w:rPr>
        <w:t>Sioned</w:t>
      </w:r>
      <w:proofErr w:type="spellEnd"/>
      <w:r>
        <w:rPr>
          <w:color w:val="373A3C"/>
          <w:sz w:val="20"/>
          <w:szCs w:val="20"/>
        </w:rPr>
        <w:t xml:space="preserve"> </w:t>
      </w:r>
      <w:r>
        <w:rPr>
          <w:i/>
          <w:color w:val="373A3C"/>
          <w:sz w:val="20"/>
          <w:szCs w:val="20"/>
        </w:rPr>
        <w:t xml:space="preserve">The </w:t>
      </w:r>
      <w:proofErr w:type="spellStart"/>
      <w:r>
        <w:rPr>
          <w:i/>
          <w:color w:val="373A3C"/>
          <w:sz w:val="20"/>
          <w:szCs w:val="20"/>
        </w:rPr>
        <w:t>Mabinogion</w:t>
      </w:r>
      <w:proofErr w:type="spellEnd"/>
      <w:r>
        <w:rPr>
          <w:color w:val="373A3C"/>
          <w:sz w:val="20"/>
          <w:szCs w:val="20"/>
        </w:rPr>
        <w:t xml:space="preserve"> (Oxford, Oxford University Press, 2007</w:t>
      </w:r>
      <w:r>
        <w:rPr>
          <w:rFonts w:ascii="Times New Roman" w:eastAsia="Times New Roman" w:hAnsi="Times New Roman" w:cs="Times New Roman"/>
          <w:color w:val="373A3C"/>
        </w:rPr>
        <w:t>) p243.</w:t>
      </w:r>
    </w:p>
  </w:footnote>
  <w:footnote w:id="41">
    <w:p w14:paraId="00000077" w14:textId="77777777" w:rsidR="006443F8" w:rsidRDefault="00811604">
      <w:pPr>
        <w:spacing w:line="240" w:lineRule="auto"/>
        <w:rPr>
          <w:sz w:val="20"/>
          <w:szCs w:val="20"/>
        </w:rPr>
      </w:pPr>
      <w:r>
        <w:rPr>
          <w:vertAlign w:val="superscript"/>
        </w:rPr>
        <w:footnoteRef/>
      </w:r>
      <w:r>
        <w:rPr>
          <w:sz w:val="20"/>
          <w:szCs w:val="20"/>
        </w:rPr>
        <w:t xml:space="preserve"> </w:t>
      </w:r>
      <w:r>
        <w:rPr>
          <w:color w:val="373A3C"/>
          <w:sz w:val="20"/>
          <w:szCs w:val="20"/>
        </w:rPr>
        <w:t xml:space="preserve">Winward, Fiona ‘Some Aspects of Women in The Four Branches’ </w:t>
      </w:r>
      <w:r>
        <w:rPr>
          <w:i/>
          <w:color w:val="373A3C"/>
          <w:sz w:val="20"/>
          <w:szCs w:val="20"/>
        </w:rPr>
        <w:t>Cambrian Medieval Celtic Studies</w:t>
      </w:r>
      <w:r>
        <w:rPr>
          <w:color w:val="373A3C"/>
          <w:sz w:val="20"/>
          <w:szCs w:val="20"/>
        </w:rPr>
        <w:t xml:space="preserve"> 34 Winter 1997 (CMCS, 1997)</w:t>
      </w:r>
      <w:r>
        <w:rPr>
          <w:rFonts w:ascii="Times New Roman" w:eastAsia="Times New Roman" w:hAnsi="Times New Roman" w:cs="Times New Roman"/>
          <w:color w:val="373A3C"/>
        </w:rPr>
        <w:t xml:space="preserve"> p78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3F8"/>
    <w:rsid w:val="0038194F"/>
    <w:rsid w:val="006443F8"/>
    <w:rsid w:val="008116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0B29E"/>
  <w15:docId w15:val="{2A489E9A-AD44-4A2F-907F-8279D85D3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2996</Words>
  <Characters>17082</Characters>
  <Application>Microsoft Office Word</Application>
  <DocSecurity>0</DocSecurity>
  <Lines>142</Lines>
  <Paragraphs>40</Paragraphs>
  <ScaleCrop>false</ScaleCrop>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Colin Fisher</cp:lastModifiedBy>
  <cp:revision>2</cp:revision>
  <dcterms:created xsi:type="dcterms:W3CDTF">2020-01-06T23:36:00Z</dcterms:created>
  <dcterms:modified xsi:type="dcterms:W3CDTF">2020-01-06T23:39:00Z</dcterms:modified>
</cp:coreProperties>
</file>