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0CAED6">
      <w:pPr>
        <w:pStyle w:val="2"/>
        <w:spacing w:before="0" w:after="0" w:line="560" w:lineRule="exact"/>
        <w:jc w:val="center"/>
        <w:rPr>
          <w:rFonts w:hint="eastAsia" w:ascii="Times New Roman" w:hAnsi="Times New Roman"/>
          <w:b/>
          <w:sz w:val="32"/>
          <w:szCs w:val="32"/>
        </w:rPr>
      </w:pPr>
    </w:p>
    <w:p w14:paraId="268E412F">
      <w:pPr>
        <w:pStyle w:val="2"/>
        <w:spacing w:before="0" w:after="0" w:line="560" w:lineRule="exact"/>
        <w:jc w:val="center"/>
        <w:rPr>
          <w:rFonts w:hint="eastAsia" w:ascii="Times New Roman" w:hAnsi="Times New Roman"/>
          <w:b/>
          <w:sz w:val="32"/>
          <w:szCs w:val="32"/>
        </w:rPr>
      </w:pPr>
    </w:p>
    <w:p w14:paraId="7B9F7757">
      <w:pPr>
        <w:pStyle w:val="2"/>
        <w:spacing w:before="0" w:after="0" w:line="560" w:lineRule="exact"/>
        <w:jc w:val="center"/>
        <w:rPr>
          <w:rFonts w:hint="eastAsia" w:ascii="Times New Roman" w:hAnsi="Times New Roman"/>
          <w:b/>
          <w:sz w:val="32"/>
          <w:szCs w:val="32"/>
        </w:rPr>
      </w:pPr>
    </w:p>
    <w:p w14:paraId="2887E46E">
      <w:pPr>
        <w:pStyle w:val="2"/>
        <w:spacing w:before="0" w:after="0" w:line="560" w:lineRule="exact"/>
        <w:jc w:val="center"/>
        <w:rPr>
          <w:rFonts w:hint="eastAsia" w:ascii="Times New Roman" w:hAnsi="Times New Roman"/>
          <w:b/>
          <w:sz w:val="32"/>
          <w:szCs w:val="32"/>
        </w:rPr>
      </w:pPr>
    </w:p>
    <w:p w14:paraId="45644972">
      <w:pPr>
        <w:pStyle w:val="2"/>
        <w:spacing w:before="0" w:after="0" w:line="560" w:lineRule="exact"/>
        <w:jc w:val="center"/>
        <w:rPr>
          <w:rFonts w:hint="default" w:ascii="Arial"/>
          <w:b/>
          <w:sz w:val="56"/>
          <w:szCs w:val="28"/>
        </w:rPr>
      </w:pPr>
      <w:r>
        <w:rPr>
          <w:rFonts w:hint="default" w:ascii="Arial"/>
          <w:b/>
          <w:sz w:val="56"/>
          <w:szCs w:val="28"/>
        </w:rPr>
        <w:drawing>
          <wp:anchor distT="0" distB="0" distL="0" distR="0" simplePos="0" relativeHeight="251659264" behindDoc="0" locked="0" layoutInCell="1" allowOverlap="1">
            <wp:simplePos x="0" y="0"/>
            <wp:positionH relativeFrom="column">
              <wp:posOffset>871855</wp:posOffset>
            </wp:positionH>
            <wp:positionV relativeFrom="paragraph">
              <wp:posOffset>-1125220</wp:posOffset>
            </wp:positionV>
            <wp:extent cx="3524250" cy="1404620"/>
            <wp:effectExtent l="0" t="0" r="6350" b="5080"/>
            <wp:wrapSquare wrapText="bothSides"/>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pic:cNvPicPr>
                  </pic:nvPicPr>
                  <pic:blipFill>
                    <a:blip r:embed="rId4"/>
                    <a:stretch>
                      <a:fillRect/>
                    </a:stretch>
                  </pic:blipFill>
                  <pic:spPr>
                    <a:xfrm>
                      <a:off x="0" y="0"/>
                      <a:ext cx="3524250" cy="1404620"/>
                    </a:xfrm>
                    <a:prstGeom prst="rect">
                      <a:avLst/>
                    </a:prstGeom>
                    <a:noFill/>
                    <a:ln>
                      <a:noFill/>
                    </a:ln>
                  </pic:spPr>
                </pic:pic>
              </a:graphicData>
            </a:graphic>
          </wp:anchor>
        </w:drawing>
      </w:r>
    </w:p>
    <w:p w14:paraId="57B59B45">
      <w:pPr>
        <w:pStyle w:val="2"/>
        <w:spacing w:before="0" w:after="0" w:line="560" w:lineRule="exact"/>
        <w:jc w:val="center"/>
        <w:rPr>
          <w:rFonts w:hint="default" w:ascii="Arial"/>
          <w:b/>
          <w:sz w:val="56"/>
          <w:szCs w:val="28"/>
        </w:rPr>
      </w:pPr>
    </w:p>
    <w:p w14:paraId="3CDBA9DB">
      <w:pPr>
        <w:rPr>
          <w:rFonts w:hint="default" w:ascii="Arial"/>
          <w:b/>
          <w:sz w:val="56"/>
          <w:szCs w:val="24"/>
        </w:rPr>
      </w:pPr>
    </w:p>
    <w:p w14:paraId="2FA33BE0">
      <w:pPr>
        <w:spacing w:before="3"/>
        <w:rPr>
          <w:rFonts w:hint="eastAsia" w:ascii="Arial"/>
          <w:b/>
          <w:sz w:val="48"/>
          <w:szCs w:val="48"/>
        </w:rPr>
      </w:pPr>
      <w:r>
        <w:rPr>
          <w:rFonts w:hint="eastAsia" w:ascii="Arial"/>
          <w:b/>
          <w:sz w:val="48"/>
          <w:szCs w:val="48"/>
        </w:rPr>
        <w:t xml:space="preserve">TITLE: </w:t>
      </w:r>
    </w:p>
    <w:p w14:paraId="5F569E23">
      <w:pPr>
        <w:spacing w:before="3"/>
        <w:rPr>
          <w:rFonts w:hint="eastAsia" w:ascii="Arial"/>
          <w:sz w:val="48"/>
          <w:szCs w:val="48"/>
        </w:rPr>
      </w:pPr>
      <w:r>
        <w:rPr>
          <w:rFonts w:hint="eastAsia" w:ascii="Arial"/>
          <w:sz w:val="48"/>
          <w:szCs w:val="48"/>
        </w:rPr>
        <w:t>The Three Pillars of Cognitive Science: On the Foundational Primacy of Cognitive Load Theory in Teaching Practice</w:t>
      </w:r>
    </w:p>
    <w:p w14:paraId="15C5AEB5">
      <w:pPr>
        <w:spacing w:before="3"/>
        <w:rPr>
          <w:rFonts w:hint="eastAsia" w:ascii="Arial"/>
          <w:sz w:val="48"/>
          <w:szCs w:val="48"/>
        </w:rPr>
      </w:pPr>
    </w:p>
    <w:p w14:paraId="3FB6D0C4">
      <w:pPr>
        <w:spacing w:before="3"/>
        <w:rPr>
          <w:rFonts w:hint="eastAsia" w:ascii="Arial"/>
          <w:b/>
          <w:sz w:val="48"/>
          <w:szCs w:val="48"/>
        </w:rPr>
      </w:pPr>
      <w:r>
        <w:rPr>
          <w:rFonts w:hint="default" w:ascii="Arial"/>
          <w:b/>
          <w:sz w:val="48"/>
          <w:szCs w:val="48"/>
        </w:rPr>
        <w:t>MODULE CODE:</w:t>
      </w:r>
      <w:r>
        <w:rPr>
          <w:rFonts w:hint="eastAsia" w:ascii="Arial"/>
          <w:b/>
          <w:sz w:val="48"/>
          <w:szCs w:val="48"/>
        </w:rPr>
        <w:t xml:space="preserve"> </w:t>
      </w:r>
    </w:p>
    <w:p w14:paraId="3E588E1D">
      <w:pPr>
        <w:spacing w:before="212"/>
        <w:rPr>
          <w:rFonts w:hint="eastAsia" w:ascii="Arial"/>
          <w:sz w:val="48"/>
          <w:szCs w:val="48"/>
        </w:rPr>
      </w:pPr>
      <w:r>
        <w:rPr>
          <w:rFonts w:hint="eastAsia" w:ascii="Arial"/>
          <w:sz w:val="48"/>
          <w:szCs w:val="48"/>
        </w:rPr>
        <w:t>ECES7004</w:t>
      </w:r>
    </w:p>
    <w:p w14:paraId="32F89BAB">
      <w:pPr>
        <w:spacing w:before="212"/>
        <w:rPr>
          <w:rFonts w:hint="eastAsia" w:ascii="Arial"/>
          <w:sz w:val="48"/>
          <w:szCs w:val="48"/>
        </w:rPr>
      </w:pPr>
    </w:p>
    <w:p w14:paraId="50C9C030">
      <w:pPr>
        <w:spacing w:before="3"/>
        <w:rPr>
          <w:rFonts w:hint="eastAsia" w:ascii="Arial"/>
          <w:b/>
          <w:sz w:val="48"/>
          <w:szCs w:val="48"/>
        </w:rPr>
      </w:pPr>
      <w:r>
        <w:rPr>
          <w:rFonts w:hint="default" w:ascii="Arial"/>
          <w:b/>
          <w:sz w:val="48"/>
          <w:szCs w:val="48"/>
        </w:rPr>
        <w:t>STUDENT NAME:</w:t>
      </w:r>
      <w:r>
        <w:rPr>
          <w:rFonts w:hint="eastAsia" w:ascii="Arial"/>
          <w:b/>
          <w:sz w:val="48"/>
          <w:szCs w:val="48"/>
        </w:rPr>
        <w:t xml:space="preserve"> </w:t>
      </w:r>
    </w:p>
    <w:p w14:paraId="4B29A23E">
      <w:pPr>
        <w:spacing w:before="3"/>
        <w:rPr>
          <w:rFonts w:hint="eastAsia" w:ascii="Arial"/>
          <w:sz w:val="48"/>
          <w:szCs w:val="48"/>
        </w:rPr>
      </w:pPr>
      <w:r>
        <w:rPr>
          <w:rFonts w:hint="eastAsia" w:ascii="Arial"/>
          <w:sz w:val="48"/>
          <w:szCs w:val="48"/>
        </w:rPr>
        <w:t>JIAYU LIN</w:t>
      </w:r>
    </w:p>
    <w:p w14:paraId="081331BB">
      <w:pPr>
        <w:spacing w:before="3"/>
        <w:rPr>
          <w:rFonts w:hint="eastAsia" w:ascii="Arial"/>
          <w:sz w:val="48"/>
          <w:szCs w:val="48"/>
        </w:rPr>
      </w:pPr>
    </w:p>
    <w:p w14:paraId="230A3BB3">
      <w:pPr>
        <w:spacing w:before="3"/>
        <w:rPr>
          <w:rFonts w:hint="eastAsia" w:ascii="Arial"/>
          <w:b/>
          <w:sz w:val="48"/>
          <w:szCs w:val="48"/>
        </w:rPr>
      </w:pPr>
      <w:r>
        <w:rPr>
          <w:rFonts w:hint="default" w:ascii="Arial"/>
          <w:b/>
          <w:sz w:val="48"/>
          <w:szCs w:val="48"/>
        </w:rPr>
        <w:t>STUDENT NUMBER:</w:t>
      </w:r>
      <w:r>
        <w:rPr>
          <w:rFonts w:hint="eastAsia" w:ascii="Arial"/>
          <w:b/>
          <w:sz w:val="48"/>
          <w:szCs w:val="48"/>
        </w:rPr>
        <w:t xml:space="preserve"> </w:t>
      </w:r>
    </w:p>
    <w:p w14:paraId="5370F3EF">
      <w:pPr>
        <w:spacing w:before="3"/>
        <w:rPr>
          <w:rFonts w:hint="eastAsia" w:ascii="Arial"/>
          <w:sz w:val="48"/>
          <w:szCs w:val="48"/>
        </w:rPr>
      </w:pPr>
      <w:r>
        <w:rPr>
          <w:rFonts w:hint="eastAsia" w:ascii="Arial"/>
          <w:sz w:val="48"/>
          <w:szCs w:val="48"/>
        </w:rPr>
        <w:t>2502956</w:t>
      </w:r>
    </w:p>
    <w:p w14:paraId="6DF3066F">
      <w:pPr>
        <w:rPr>
          <w:rFonts w:hint="eastAsia"/>
        </w:rPr>
      </w:pPr>
    </w:p>
    <w:p w14:paraId="52771B2B">
      <w:pPr>
        <w:rPr>
          <w:rFonts w:hint="eastAsia"/>
        </w:rPr>
      </w:pPr>
      <w:r>
        <w:rPr>
          <w:rFonts w:hint="eastAsia"/>
        </w:rPr>
        <w:br w:type="page"/>
      </w:r>
    </w:p>
    <w:p w14:paraId="64BF4C40">
      <w:pPr>
        <w:rPr>
          <w:rFonts w:hint="default" w:asciiTheme="minorAscii" w:hAnsiTheme="minorAscii" w:eastAsiaTheme="minorEastAsia"/>
          <w:b/>
          <w:bCs/>
          <w:sz w:val="28"/>
          <w:szCs w:val="36"/>
          <w:lang w:eastAsia="zh-CN"/>
        </w:rPr>
      </w:pPr>
      <w:r>
        <w:rPr>
          <w:rFonts w:hint="default" w:asciiTheme="minorAscii" w:hAnsiTheme="minorAscii"/>
          <w:b/>
          <w:bCs/>
          <w:sz w:val="28"/>
          <w:szCs w:val="36"/>
        </w:rPr>
        <w:t>Abstract</w:t>
      </w:r>
    </w:p>
    <w:p w14:paraId="614C2261">
      <w:pPr>
        <w:rPr>
          <w:rFonts w:hint="default" w:asciiTheme="minorAscii" w:hAnsiTheme="minorAscii"/>
        </w:rPr>
      </w:pPr>
      <w:r>
        <w:rPr>
          <w:rFonts w:hint="default" w:asciiTheme="minorAscii" w:hAnsiTheme="minorAscii"/>
        </w:rPr>
        <w:t>This paper presents a critical comparative analysis of three key texts that bridge cognitive science and teaching practice: the report Cognitive Load Theory by the Centre for Education Statistics and Evaluation (CESE), Daniel T. Willingham's book Why Don't Students Like School?, and the article Eight Ways to Promote Generative Learning by Fiorella and Mayer. Through a detailed examination, this paper argues that while all three offer valuable, research-based insights for educators, the CESE report on Cognitive Load Theory holds a fundamental and primary importance. This is because it reveals the most basic architectural limits of the human mind for learning and sets the essential boundaries and preconditions for the effective use of all other teaching strategies (CESE, 2017). Willingham's work connects this cognitive limit to the dynamics of student motivation, while Fiorella and Mayer's strategies provide a practical path for deep thinking within this limit. Through systematic critique and cross-analysis, this paper will demonstrate that Cognitive Load Theory acts as the essential "meta-framework" for understanding and improving teaching—the "first principle" that any instructional design aiming to enhance learning must consider above all.</w:t>
      </w:r>
    </w:p>
    <w:p w14:paraId="635A282E">
      <w:pPr>
        <w:rPr>
          <w:rFonts w:hint="default" w:asciiTheme="minorAscii" w:hAnsiTheme="minorAscii"/>
        </w:rPr>
      </w:pPr>
    </w:p>
    <w:p w14:paraId="6E1E875F">
      <w:pPr>
        <w:rPr>
          <w:rFonts w:hint="default" w:asciiTheme="minorAscii" w:hAnsiTheme="minorAscii"/>
          <w:b/>
          <w:bCs/>
          <w:sz w:val="28"/>
          <w:szCs w:val="36"/>
        </w:rPr>
      </w:pPr>
      <w:r>
        <w:rPr>
          <w:rFonts w:hint="default" w:asciiTheme="minorAscii" w:hAnsiTheme="minorAscii"/>
          <w:b/>
          <w:bCs/>
          <w:sz w:val="28"/>
          <w:szCs w:val="36"/>
        </w:rPr>
        <w:br w:type="page"/>
      </w:r>
    </w:p>
    <w:p w14:paraId="5A8BC52E">
      <w:pPr>
        <w:rPr>
          <w:rFonts w:hint="default" w:asciiTheme="minorAscii" w:hAnsiTheme="minorAscii" w:eastAsiaTheme="minorEastAsia"/>
          <w:b/>
          <w:bCs/>
          <w:sz w:val="28"/>
          <w:szCs w:val="36"/>
          <w:lang w:eastAsia="zh-CN"/>
        </w:rPr>
      </w:pPr>
      <w:r>
        <w:rPr>
          <w:rFonts w:hint="default" w:asciiTheme="minorAscii" w:hAnsiTheme="minorAscii"/>
          <w:b/>
          <w:bCs/>
          <w:sz w:val="28"/>
          <w:szCs w:val="36"/>
        </w:rPr>
        <w:t>Introduction</w:t>
      </w:r>
    </w:p>
    <w:p w14:paraId="058EB9D8">
      <w:pPr>
        <w:rPr>
          <w:rFonts w:hint="default" w:asciiTheme="minorAscii" w:hAnsiTheme="minorAscii"/>
        </w:rPr>
      </w:pPr>
      <w:r>
        <w:rPr>
          <w:rFonts w:hint="default" w:asciiTheme="minorAscii" w:hAnsiTheme="minorAscii"/>
        </w:rPr>
        <w:t xml:space="preserve">In today's educational landscape, "evidence-based teaching" is a central theme worldwide. Cognitive science has become a key source of authority for developing new teaching methods, moving beyond traditional ideas or intuition (Deans for Impact, 2015). However, the research coming from cognitive science is vast and complex. It often approaches learning from different angles, offering what can seem like different, and sometimes conflicting, advice to teachers. For instance, educators are encouraged to promote "generative learning" to help students understand deeply (Fiorella &amp; Mayer, 2015), but are also warned to avoid causing "cognitive overload" (Sweller </w:t>
      </w:r>
      <w:r>
        <w:rPr>
          <w:rFonts w:hint="default" w:asciiTheme="minorAscii" w:hAnsiTheme="minorAscii"/>
          <w:i/>
          <w:iCs/>
        </w:rPr>
        <w:t>et al.</w:t>
      </w:r>
      <w:r>
        <w:rPr>
          <w:rFonts w:hint="default" w:asciiTheme="minorAscii" w:hAnsiTheme="minorAscii"/>
        </w:rPr>
        <w:t>, 2011). This situation leads to an important question: among the many cognitive science-informed teaching ideas, is there a more fundamental, overarching framework? A framework that can provide the logical foundation and ensure the effectiveness of other strategies when combined and applied?</w:t>
      </w:r>
    </w:p>
    <w:p w14:paraId="0AFF5715">
      <w:pPr>
        <w:rPr>
          <w:rFonts w:hint="default" w:asciiTheme="minorAscii" w:hAnsiTheme="minorAscii"/>
        </w:rPr>
      </w:pPr>
    </w:p>
    <w:p w14:paraId="6F7C68BA">
      <w:pPr>
        <w:rPr>
          <w:rFonts w:hint="default" w:asciiTheme="minorAscii" w:hAnsiTheme="minorAscii"/>
        </w:rPr>
      </w:pPr>
      <w:r>
        <w:rPr>
          <w:rFonts w:hint="default" w:asciiTheme="minorAscii" w:hAnsiTheme="minorAscii"/>
        </w:rPr>
        <w:t>To answer this question, this paper selects three highly influential and representative works. This choice is based on two main reasons. First, they represent three distinct levels of understanding the "teaching-learning" process: from the basic cognitive architecture (Cognitive Load Theory), to the cognitive forces that drive motivation (the link between thinking and willingness to think), and finally to specific thinking actions students can take (generative strategies). Together, they form a complete chain for understanding how teaching interacts with the mind. Second, they come in different formats—a government report, a popular science book, and an academic paper—reaching different audiences, yet their core arguments are firmly rooted in cognitive psychology research. The CESE (2017) report provides a clear and authoritative summary of Cognitive Load Theory principles and their classroom use. Willingham (2009) explains, with great clarity and a touch of humour, the brain's natural reluctance to think hard and what this means for schools. Fiorella and Mayer (2015) systematically review eight specific strategies that prompt learners to actively build knowledge.</w:t>
      </w:r>
    </w:p>
    <w:p w14:paraId="6278C76E">
      <w:pPr>
        <w:rPr>
          <w:rFonts w:hint="default" w:asciiTheme="minorAscii" w:hAnsiTheme="minorAscii"/>
        </w:rPr>
      </w:pPr>
    </w:p>
    <w:p w14:paraId="717ED7BC">
      <w:pPr>
        <w:rPr>
          <w:rFonts w:hint="default" w:asciiTheme="minorAscii" w:hAnsiTheme="minorAscii"/>
        </w:rPr>
      </w:pPr>
      <w:r>
        <w:rPr>
          <w:rFonts w:hint="default" w:asciiTheme="minorAscii" w:hAnsiTheme="minorAscii"/>
        </w:rPr>
        <w:t>This paper will first provide an independent critical review of each text. It will examine their theoretical roots, main arguments, practical value, and inherent limitations. Following this, a cross-analysis will reveal how these three works depend on and interact with each other in a layered relationship. The central argument of this paper is that in the effort to implement effective, evidence-based teaching, the CESE's explanation of Cognitive Load Theory forms the most basic and indispensable pillar from cognitive science. It does not necessarily offer the largest "toolbox" of teaching activities. Instead, it provides the essential "instruction manual" and "safety guidelines" for using any teaching toolbox effectively. Without understanding and actively managing cognitive load, efforts to motivate students or design deep-thinking activities can become less effective, or even counterproductive. This discussion aims to move beyond simply listing strategies, working towards building a clear, logical model for applying cognitive science to teaching.</w:t>
      </w:r>
    </w:p>
    <w:p w14:paraId="286E6658">
      <w:pPr>
        <w:rPr>
          <w:rFonts w:hint="default" w:asciiTheme="minorAscii" w:hAnsiTheme="minorAscii"/>
        </w:rPr>
      </w:pPr>
    </w:p>
    <w:p w14:paraId="10BBFDF2">
      <w:pPr>
        <w:rPr>
          <w:rFonts w:hint="default" w:asciiTheme="minorAscii" w:hAnsiTheme="minorAscii"/>
        </w:rPr>
      </w:pPr>
      <w:r>
        <w:rPr>
          <w:rFonts w:hint="default" w:asciiTheme="minorAscii" w:hAnsiTheme="minorAscii"/>
        </w:rPr>
        <w:br w:type="page"/>
      </w:r>
    </w:p>
    <w:p w14:paraId="43085A65">
      <w:pPr>
        <w:rPr>
          <w:rFonts w:hint="default" w:asciiTheme="minorAscii" w:hAnsiTheme="minorAscii" w:eastAsiaTheme="minorEastAsia"/>
          <w:b/>
          <w:bCs/>
          <w:sz w:val="28"/>
          <w:szCs w:val="36"/>
          <w:lang w:eastAsia="zh-CN"/>
        </w:rPr>
      </w:pPr>
      <w:r>
        <w:rPr>
          <w:rFonts w:hint="default" w:asciiTheme="minorAscii" w:hAnsiTheme="minorAscii"/>
          <w:b/>
          <w:bCs/>
          <w:sz w:val="28"/>
          <w:szCs w:val="36"/>
        </w:rPr>
        <w:t>1. Critical Literature Review</w:t>
      </w:r>
    </w:p>
    <w:p w14:paraId="689903D5">
      <w:pPr>
        <w:rPr>
          <w:rFonts w:hint="default" w:asciiTheme="minorAscii" w:hAnsiTheme="minorAscii"/>
          <w:b/>
          <w:bCs/>
        </w:rPr>
      </w:pPr>
    </w:p>
    <w:p w14:paraId="43FE2B7F">
      <w:pPr>
        <w:rPr>
          <w:rFonts w:hint="default" w:asciiTheme="minorAscii" w:hAnsiTheme="minorAscii" w:eastAsiaTheme="minorEastAsia"/>
          <w:b/>
          <w:bCs/>
          <w:lang w:eastAsia="zh-CN"/>
        </w:rPr>
      </w:pPr>
      <w:r>
        <w:rPr>
          <w:rFonts w:hint="default" w:asciiTheme="minorAscii" w:hAnsiTheme="minorAscii"/>
          <w:b/>
          <w:bCs/>
        </w:rPr>
        <w:t>1.1 CESE Cognitive Load Theory: The Cognitive Bottleneck of Learning</w:t>
      </w:r>
    </w:p>
    <w:p w14:paraId="2B6728FF">
      <w:pPr>
        <w:rPr>
          <w:rFonts w:hint="default" w:asciiTheme="minorAscii" w:hAnsiTheme="minorAscii"/>
        </w:rPr>
      </w:pPr>
      <w:r>
        <w:rPr>
          <w:rFonts w:hint="default" w:asciiTheme="minorAscii" w:hAnsiTheme="minorAscii"/>
        </w:rPr>
        <w:t>This report by the New South Wales Centre for Education Statistics and Evaluation is a concise, practice-focused summary of John Sweller's Cognitive Load Theory. Its core idea points to a fundamental bottleneck in human learning: the severely limited capacity of working memory. Learning happens when new information is processed in working memory and encoded into our vast long-term memory. The narrow "channel" of working memory is the main constraint in this process (CESE, 2017). The report clearly defines three types of cognitive load: intrinsic load (coming from the inherent complexity of the material itself), extraneous load (caused by poor presentation of material that requires unnecessary mental effort), and germane load (the effective mental effort used to build and organise knowledge into useful patterns or "schemas"). The goal of effective teaching is to minimise extraneous load, optimise germane load, and carefully manage intrinsic load based on what students already know.</w:t>
      </w:r>
    </w:p>
    <w:p w14:paraId="7D53B113">
      <w:pPr>
        <w:rPr>
          <w:rFonts w:hint="default" w:asciiTheme="minorAscii" w:hAnsiTheme="minorAscii"/>
        </w:rPr>
      </w:pPr>
    </w:p>
    <w:p w14:paraId="6B0CC37C">
      <w:pPr>
        <w:rPr>
          <w:rFonts w:hint="default" w:asciiTheme="minorAscii" w:hAnsiTheme="minorAscii"/>
        </w:rPr>
      </w:pPr>
      <w:r>
        <w:rPr>
          <w:rFonts w:hint="default" w:asciiTheme="minorAscii" w:hAnsiTheme="minorAscii"/>
        </w:rPr>
        <w:t>The main contribution of this report is turning this basic cognitive principle into concrete, actionable guidelines for designing lessons. For example, "using worked examples" shows students a complete step-by-step solution, which greatly reduces the extraneous load beginners experience when searching for a solution with no guidance. "Integrating text and diagrams" avoids the "split-attention effect," where students waste mental effort combining separate sources of information (Mayer &amp; Moreno, 2003). "Presenting complex tasks in small steps" is a classic way to manage intrinsic load. These suggestions are not based on teaching folklore but directly on scientific understanding of how working memory functions.</w:t>
      </w:r>
    </w:p>
    <w:p w14:paraId="11AFB60D">
      <w:pPr>
        <w:rPr>
          <w:rFonts w:hint="default" w:asciiTheme="minorAscii" w:hAnsiTheme="minorAscii"/>
        </w:rPr>
      </w:pPr>
    </w:p>
    <w:p w14:paraId="0CA0A0FE">
      <w:pPr>
        <w:rPr>
          <w:rFonts w:hint="default" w:asciiTheme="minorAscii" w:hAnsiTheme="minorAscii"/>
        </w:rPr>
      </w:pPr>
      <w:r>
        <w:rPr>
          <w:rFonts w:hint="default" w:asciiTheme="minorAscii" w:hAnsiTheme="minorAscii"/>
        </w:rPr>
        <w:t>Its main strength is the universal nature and compelling logic of its principles. No matter the subject or the age of the students, whenever learning involves holding and processing new information in working memory, the constraints of cognitive load apply. Therefore, these design guidelines are useful across many different teaching situations. A potential limitation is that, for the sake of clarity and practicality, the report simplifies some of the more complex debates within the theory itself (like precisely measuring the different types of load). Also, if understood in a rigid way as "always make things simpler," it could be misused to justify lowering academic standards, missing the point of using well-designed support ("scaffolding") to gradually increase useful germane load and challenge students' developing understanding. In practice, if teachers fail to distinguish between intrinsic and extraneous load, they might oversimplify core concepts and actually prevent deep learning.</w:t>
      </w:r>
    </w:p>
    <w:p w14:paraId="3EF0FB35">
      <w:pPr>
        <w:rPr>
          <w:rFonts w:hint="default" w:asciiTheme="minorAscii" w:hAnsiTheme="minorAscii"/>
        </w:rPr>
      </w:pPr>
    </w:p>
    <w:p w14:paraId="1CB6B0D0">
      <w:pPr>
        <w:rPr>
          <w:rFonts w:hint="default" w:asciiTheme="minorAscii" w:hAnsiTheme="minorAscii" w:eastAsiaTheme="minorEastAsia"/>
          <w:b/>
          <w:bCs/>
          <w:lang w:eastAsia="zh-CN"/>
        </w:rPr>
      </w:pPr>
      <w:r>
        <w:rPr>
          <w:rFonts w:hint="default" w:asciiTheme="minorAscii" w:hAnsiTheme="minorAscii"/>
          <w:b/>
          <w:bCs/>
        </w:rPr>
        <w:t>1.2 Willingham Why Don't Students Like School?: The Cognitive "Sweet Spot" for Thinking</w:t>
      </w:r>
    </w:p>
    <w:p w14:paraId="1E8D7BD5">
      <w:pPr>
        <w:rPr>
          <w:rFonts w:hint="default" w:asciiTheme="minorAscii" w:hAnsiTheme="minorAscii"/>
        </w:rPr>
      </w:pPr>
      <w:r>
        <w:rPr>
          <w:rFonts w:hint="default" w:asciiTheme="minorAscii" w:hAnsiTheme="minorAscii"/>
        </w:rPr>
        <w:t>Daniel Willingham's book builds a highly accessible bridge between cognitive science and the everyday reality of classrooms. Its core argument is both surprising and profound: the human brain is not primarily designed for thinking. Thinking is slow, effortful, and uncertain, so the brain naturally prefers to rely on memory and recognising patterns, which are easier (Willingham, 2009). Therefore, whether students enjoy engaging in thoughtful learning depends not on whether thinking is inherently "fun," but on the cognitive conditions surrounding it. Willingham proposes that thinking becomes enjoyable and motivating only when a person faces a problem that is challenging yet feels solvable with their current knowledge and skills—that is, when they are at the "edge of their cognitive comfort zone."</w:t>
      </w:r>
    </w:p>
    <w:p w14:paraId="3D3B1F77">
      <w:pPr>
        <w:rPr>
          <w:rFonts w:hint="default" w:asciiTheme="minorAscii" w:hAnsiTheme="minorAscii"/>
        </w:rPr>
      </w:pPr>
    </w:p>
    <w:p w14:paraId="0D43C50F">
      <w:pPr>
        <w:rPr>
          <w:rFonts w:hint="default" w:asciiTheme="minorAscii" w:hAnsiTheme="minorAscii"/>
        </w:rPr>
      </w:pPr>
      <w:r>
        <w:rPr>
          <w:rFonts w:hint="default" w:asciiTheme="minorAscii" w:hAnsiTheme="minorAscii"/>
        </w:rPr>
        <w:t>From this, he draws several key implications for teaching. First, background knowledge is crucial. A rich base of knowledge not only helps with remembering and understanding new information but, more importantly, allows complex thinking processes to become automatic. This automation frees up space in working memory, making new thinking tasks feel more manageable and successful. Second, practice is crucial. Reaching this level of automaticity through practice is essential for building the foundation for future, more complex thought. Finally, the art of teaching lies in continuously creating the right level of cognitive challenge for students, avoiding boredom from tasks that are too easy and frustration or withdrawal from tasks that are too hard. This idea strongly connects with Vygotsky's concept of the "Zone of Proximal Development," but Willingham provides a cognitive mechanism-based explanation.</w:t>
      </w:r>
    </w:p>
    <w:p w14:paraId="2BF4FF87">
      <w:pPr>
        <w:rPr>
          <w:rFonts w:hint="default" w:asciiTheme="minorAscii" w:hAnsiTheme="minorAscii"/>
        </w:rPr>
      </w:pPr>
    </w:p>
    <w:p w14:paraId="7F6B773D">
      <w:pPr>
        <w:rPr>
          <w:rFonts w:hint="default" w:asciiTheme="minorAscii" w:hAnsiTheme="minorAscii"/>
        </w:rPr>
      </w:pPr>
      <w:r>
        <w:rPr>
          <w:rFonts w:hint="default" w:asciiTheme="minorAscii" w:hAnsiTheme="minorAscii"/>
        </w:rPr>
        <w:t>The book's strength is its successful connection of the cold, hard cognitive constraint of limited working memory to the warm, personal realms of motivation and emotion. It gives a complete picture of student learning behaviour. It explains why inquiry-based learning can fail if it is not connected to what students already know, and it argues for the irreplaceable value of knowledge building and skill mastery in traditional teaching. A possible limitation is that, in striving to be accessible, its arguments are sometimes oversimplified into a reductive "knowledge is everything" or "practice makes perfect" message, overshadowing the book's own discussions on curiosity, storytelling, and metacognition. Also, its focus on "successful thinking" might somewhat undervalue the potential for learning from well-guided "productive failure." Furthermore, the book gives relatively less attention to how cultural and social-emotional factors shape learning motivation.</w:t>
      </w:r>
    </w:p>
    <w:p w14:paraId="574B3B08">
      <w:pPr>
        <w:rPr>
          <w:rFonts w:hint="default" w:asciiTheme="minorAscii" w:hAnsiTheme="minorAscii"/>
          <w:b/>
          <w:bCs/>
        </w:rPr>
      </w:pPr>
    </w:p>
    <w:p w14:paraId="0688FE00">
      <w:pPr>
        <w:rPr>
          <w:rFonts w:hint="default" w:asciiTheme="minorAscii" w:hAnsiTheme="minorAscii" w:eastAsiaTheme="minorEastAsia"/>
          <w:b/>
          <w:bCs/>
          <w:lang w:eastAsia="zh-CN"/>
        </w:rPr>
      </w:pPr>
      <w:r>
        <w:rPr>
          <w:rFonts w:hint="default" w:asciiTheme="minorAscii" w:hAnsiTheme="minorAscii"/>
          <w:b/>
          <w:bCs/>
        </w:rPr>
        <w:t>1.3 Fiorella &amp; Mayer Eight Ways to Promote Generative Learning: A Menu of Active Thinking Strategies</w:t>
      </w:r>
    </w:p>
    <w:p w14:paraId="195A7FE0">
      <w:pPr>
        <w:rPr>
          <w:rFonts w:hint="default" w:asciiTheme="minorAscii" w:hAnsiTheme="minorAscii"/>
        </w:rPr>
      </w:pPr>
      <w:r>
        <w:rPr>
          <w:rFonts w:hint="default" w:asciiTheme="minorAscii" w:hAnsiTheme="minorAscii"/>
        </w:rPr>
        <w:t>Fiorella and Mayer's paper represents a shift in focus from "how teachers present information" to "how students process it." Their work is based on Wittrock's Generative Learning Theory and Mayer's own SOI (Selecting, Organising, Integrating) model. The core idea is that learning is most effective and lasting when learners actively perform mental operations on the material and connect it to what they already know (Fiorella &amp; Mayer, 2015). They go beyond theory to systematically identify, test, and describe eight specific generative strategies: summarising, mapping, drawing, imagining, self-testing, self-explaining, teaching, and enacting.</w:t>
      </w:r>
    </w:p>
    <w:p w14:paraId="25FDE5F9">
      <w:pPr>
        <w:rPr>
          <w:rFonts w:hint="default" w:asciiTheme="minorAscii" w:hAnsiTheme="minorAscii"/>
        </w:rPr>
      </w:pPr>
    </w:p>
    <w:p w14:paraId="5659A929">
      <w:pPr>
        <w:rPr>
          <w:rFonts w:hint="default" w:asciiTheme="minorAscii" w:hAnsiTheme="minorAscii"/>
        </w:rPr>
      </w:pPr>
      <w:r>
        <w:rPr>
          <w:rFonts w:hint="default" w:asciiTheme="minorAscii" w:hAnsiTheme="minorAscii"/>
        </w:rPr>
        <w:t>What these strategies have in common is that they require learners to generate something new—a written summary, a concept map, a mental image, or a verbal explanation—rather than just passively restating or recognising information. For instance, "self-explaining" forces learners to describe the hidden relationships within the material, which has been shown to greatly improve problem-solving and conceptual understanding. "Teaching" is shown to be one of the most powerful generative activities because it requires reorganising knowledge, clarifying logic, and presenting it clearly. Recent research has refined this, showing that even teaching to an imaginary audience (like a camera) can be highly effective, as it reduces social pressure and lets learners focus purely on organising the knowledge (Journal of Educational Psychology, 2023).</w:t>
      </w:r>
    </w:p>
    <w:p w14:paraId="7A51F488">
      <w:pPr>
        <w:rPr>
          <w:rFonts w:hint="default" w:asciiTheme="minorAscii" w:hAnsiTheme="minorAscii"/>
        </w:rPr>
      </w:pPr>
    </w:p>
    <w:p w14:paraId="1E40841E">
      <w:pPr>
        <w:rPr>
          <w:rFonts w:hint="default" w:asciiTheme="minorAscii" w:hAnsiTheme="minorAscii"/>
        </w:rPr>
      </w:pPr>
      <w:r>
        <w:rPr>
          <w:rFonts w:hint="default" w:asciiTheme="minorAscii" w:hAnsiTheme="minorAscii"/>
        </w:rPr>
        <w:t>The framework's strength is its specificity and its power to equip learners. It provides teachers and students with a clear "menu of thinking tools," turning the abstract ideal of "active learning" into specific, teachable, and assessable actions. It directly addresses the modern need to develop students' capacity for deep learning and self-regulated thinking. Its main limitation is its conditional effectiveness. All generative activities themselves demand significant working memory resources. If learners are still using most of their mental energy just to understand basic facts or the structure of the material while trying to "draw" or "self-explain," the generative activity may not help deep learning. Instead, it can become the "final straw" that overloads working memory, causing learning to break down (Sweller, 2016). Therefore, these strategies work best when learners already have some relevant background knowledge (to lower intrinsic load) and when the teaching materials are presented in an optimal way (to lower extraneous load). Using these strategies too early or without support for beginners can create excessive "generative cognitive load" and be harmful.</w:t>
      </w:r>
    </w:p>
    <w:p w14:paraId="74F1D083">
      <w:pPr>
        <w:rPr>
          <w:rFonts w:hint="default" w:asciiTheme="minorAscii" w:hAnsiTheme="minorAscii"/>
        </w:rPr>
      </w:pPr>
    </w:p>
    <w:p w14:paraId="785038FC">
      <w:pPr>
        <w:rPr>
          <w:rFonts w:hint="default" w:asciiTheme="minorAscii" w:hAnsiTheme="minorAscii"/>
        </w:rPr>
      </w:pPr>
      <w:r>
        <w:rPr>
          <w:rFonts w:hint="default" w:asciiTheme="minorAscii" w:hAnsiTheme="minorAscii"/>
        </w:rPr>
        <w:br w:type="page"/>
      </w:r>
    </w:p>
    <w:p w14:paraId="217D1C3F">
      <w:pPr>
        <w:rPr>
          <w:rFonts w:hint="default" w:asciiTheme="minorAscii" w:hAnsiTheme="minorAscii" w:eastAsiaTheme="minorEastAsia"/>
          <w:b/>
          <w:bCs/>
          <w:sz w:val="28"/>
          <w:szCs w:val="36"/>
          <w:lang w:eastAsia="zh-CN"/>
        </w:rPr>
      </w:pPr>
      <w:r>
        <w:rPr>
          <w:rFonts w:hint="default" w:asciiTheme="minorAscii" w:hAnsiTheme="minorAscii"/>
          <w:b/>
          <w:bCs/>
          <w:sz w:val="28"/>
          <w:szCs w:val="36"/>
        </w:rPr>
        <w:t>2. Cross-Analysis and Theoretical Dialogue</w:t>
      </w:r>
    </w:p>
    <w:p w14:paraId="31A24A07">
      <w:pPr>
        <w:rPr>
          <w:rFonts w:hint="default" w:asciiTheme="minorAscii" w:hAnsiTheme="minorAscii"/>
        </w:rPr>
      </w:pPr>
    </w:p>
    <w:p w14:paraId="1F05ED6D">
      <w:pPr>
        <w:rPr>
          <w:rFonts w:hint="default" w:asciiTheme="minorAscii" w:hAnsiTheme="minorAscii"/>
        </w:rPr>
      </w:pPr>
      <w:r>
        <w:rPr>
          <w:rFonts w:hint="default" w:asciiTheme="minorAscii" w:hAnsiTheme="minorAscii"/>
        </w:rPr>
        <w:t>Looking at each text alone shows their individual focus. Looking at them together reveals a deep, hierarchical interdependence. They do not sit side-by-side as equals; rather, they form a pyramid of practice, with the constraints of our cognitive architecture at the base. Together, they paint a complete picture moving from "making learning possible" to "optimising the learning process" and finally to "achieving deep learning outcomes."</w:t>
      </w:r>
    </w:p>
    <w:p w14:paraId="3AE69FA9">
      <w:pPr>
        <w:rPr>
          <w:rFonts w:hint="default" w:asciiTheme="minorAscii" w:hAnsiTheme="minorAscii"/>
        </w:rPr>
      </w:pPr>
    </w:p>
    <w:p w14:paraId="20127DBB">
      <w:pPr>
        <w:rPr>
          <w:rFonts w:hint="default" w:asciiTheme="minorAscii" w:hAnsiTheme="minorAscii" w:eastAsiaTheme="minorEastAsia"/>
          <w:b/>
          <w:bCs/>
          <w:lang w:eastAsia="zh-CN"/>
        </w:rPr>
      </w:pPr>
      <w:r>
        <w:rPr>
          <w:rFonts w:hint="default" w:asciiTheme="minorAscii" w:hAnsiTheme="minorAscii"/>
          <w:b/>
          <w:bCs/>
        </w:rPr>
        <w:t>2.1 Cognitive Load Theory as the "Efficacy Boundary" for Generative Learning</w:t>
      </w:r>
    </w:p>
    <w:p w14:paraId="4B87E953">
      <w:pPr>
        <w:rPr>
          <w:rFonts w:hint="default" w:asciiTheme="minorAscii" w:hAnsiTheme="minorAscii" w:eastAsiaTheme="minorEastAsia"/>
          <w:lang w:eastAsia="zh-CN"/>
        </w:rPr>
      </w:pPr>
      <w:r>
        <w:rPr>
          <w:rFonts w:hint="default" w:asciiTheme="minorAscii" w:hAnsiTheme="minorAscii"/>
        </w:rPr>
        <w:t xml:space="preserve">Fiorella and Mayer's eight strategies map an ideal route to deep learning. However, the "traffic" on this route is first governed by the "cognitive bandwidth" defined by Cognitive Load Theory. Generative activities create high "germane load"—they require a lot of mental effort to organise and connect information. According to Cognitive Load Theory, this useful germane load can only be handled effectively if the combined intrinsic and extraneous load does not exceed total working memory capacity (CESE, 2017; Sweller </w:t>
      </w:r>
      <w:r>
        <w:rPr>
          <w:rFonts w:hint="default" w:asciiTheme="minorAscii" w:hAnsiTheme="minorAscii"/>
          <w:i/>
          <w:iCs/>
        </w:rPr>
        <w:t>et al.</w:t>
      </w:r>
      <w:r>
        <w:rPr>
          <w:rFonts w:hint="default" w:asciiTheme="minorAscii" w:hAnsiTheme="minorAscii"/>
        </w:rPr>
        <w:t>, 2011). This means that before asking students to undertake a generative task, a teacher must first use the principles of Cognitive Load Theory to "clear the runway."</w:t>
      </w:r>
    </w:p>
    <w:p w14:paraId="2C7D67FB">
      <w:pPr>
        <w:rPr>
          <w:rFonts w:hint="default" w:asciiTheme="minorAscii" w:hAnsiTheme="minorAscii"/>
        </w:rPr>
      </w:pPr>
    </w:p>
    <w:p w14:paraId="1BC5E032">
      <w:pPr>
        <w:rPr>
          <w:rFonts w:hint="default" w:asciiTheme="minorAscii" w:hAnsiTheme="minorAscii"/>
        </w:rPr>
      </w:pPr>
      <w:r>
        <w:rPr>
          <w:rFonts w:hint="default" w:asciiTheme="minorAscii" w:hAnsiTheme="minorAscii"/>
        </w:rPr>
        <w:t>For example, asking students to "self-explain" a brand-new, complex scientific concept (high intrinsic load) using a textbook page with dense text and a separate, confusing diagram (high extraneous load) will almost certainly cause cognitive overload. The generative activity will then be shallow or lead to frustration. A better approach is for the teacher to first use clear explanations, integrated graphics, and worked examples (applying Cognitive Load Theory) to help students form a basic mental model, reducing intrinsic and extraneous load. After this foundation is laid, strategies like "self-explaining" or "concept mapping" can function as well-designed "germane load" exercises to solidify and deepen understanding. Therefore, Cognitive Load Theory is not a rival to generative learning; it is the essential enabler and safety guardrail for it. Without careful cognitive load management, using generative strategies is like asking a novice gymnast to attempt a difficult flip before mastering basic moves—it invites failure and injury. Research shows that learning is more effective when students study worked examples first (reducing extraneous load) before being asked to solve problems or explain solutions themselves. This clearly shows that managing cognitive load is a sequential prerequisite for generative learning to work well.</w:t>
      </w:r>
    </w:p>
    <w:p w14:paraId="0796E681">
      <w:pPr>
        <w:rPr>
          <w:rFonts w:hint="default" w:asciiTheme="minorAscii" w:hAnsiTheme="minorAscii"/>
        </w:rPr>
      </w:pPr>
    </w:p>
    <w:p w14:paraId="04148A89">
      <w:pPr>
        <w:rPr>
          <w:rFonts w:hint="default" w:asciiTheme="minorAscii" w:hAnsiTheme="minorAscii" w:eastAsiaTheme="minorEastAsia"/>
          <w:b/>
          <w:bCs/>
          <w:lang w:eastAsia="zh-CN"/>
        </w:rPr>
      </w:pPr>
      <w:r>
        <w:rPr>
          <w:rFonts w:hint="default" w:asciiTheme="minorAscii" w:hAnsiTheme="minorAscii"/>
          <w:b/>
          <w:bCs/>
        </w:rPr>
        <w:t>2.2 Willingham's Motivation View and Cognitive Load Theory: Defining the "Manageable Challenge"</w:t>
      </w:r>
    </w:p>
    <w:p w14:paraId="48199BAC">
      <w:pPr>
        <w:rPr>
          <w:rFonts w:hint="default" w:asciiTheme="minorAscii" w:hAnsiTheme="minorAscii"/>
        </w:rPr>
      </w:pPr>
      <w:r>
        <w:rPr>
          <w:rFonts w:hint="default" w:asciiTheme="minorAscii" w:hAnsiTheme="minorAscii"/>
        </w:rPr>
        <w:t>Willingham's idea that thinking happens at the "edge of the cognitive comfort zone" fits perfectly with Cognitive Load Theory's goal of "optimising germane load." Together, they define the "sweet spot" of effective instruction. Willingham explains why the right level of challenge motivates: when task difficulty matches a person's cognitive ability, thinking feels possible and can even be rewarding. This experience of success is key to building internal motivation (Deci &amp; Ryan, 2000). Cognitive Load Theory explains the micro-mechanics of this match from an information-processing view: the "right level of challenge" is precisely when the total cognitive load (intrinsic + extraneous + germane) is near, but does not exceed, the student's current working memory capacity and level of knowledge organisation.</w:t>
      </w:r>
    </w:p>
    <w:p w14:paraId="637B4931">
      <w:pPr>
        <w:rPr>
          <w:rFonts w:hint="default" w:asciiTheme="minorAscii" w:hAnsiTheme="minorAscii"/>
        </w:rPr>
      </w:pPr>
    </w:p>
    <w:p w14:paraId="26991514">
      <w:pPr>
        <w:rPr>
          <w:rFonts w:hint="default" w:asciiTheme="minorAscii" w:hAnsiTheme="minorAscii"/>
        </w:rPr>
      </w:pPr>
      <w:r>
        <w:rPr>
          <w:rFonts w:hint="default" w:asciiTheme="minorAscii" w:hAnsiTheme="minorAscii"/>
        </w:rPr>
        <w:t>If teaching ignores cognitive load management, allowing high extraneous load (from unclear instructions or cluttered slides), even a task with a reasonable inherent difficulty (intrinsic load) can push the total load beyond the student's limit. The student is suddenly thrown from a "manageable challenge" into an "impossible struggle," and motivation crashes. This can also reinforce a negative belief like "I'm just not good at this." This is a classic cognitive scenario Willingham describes for why students "don't like school." On the other hand, good cognitive load management clears away unnecessary mental obstacles (reducing extraneous load). This ensures students can devote their precious cognitive resources to the core thinking the task requires (germane load), greatly increasing their chances of experiencing successful thought and the satisfaction that comes with it. Therefore, managing cognitive load is a fundamental technical skill for maintaining positive learning motivation. It doesn't directly make content interesting, but by removing distractions and smoothing the process, it creates the most favourable cognitive conditions for genuine interest to grow.</w:t>
      </w:r>
    </w:p>
    <w:p w14:paraId="1F133336">
      <w:pPr>
        <w:rPr>
          <w:rFonts w:hint="default" w:asciiTheme="minorAscii" w:hAnsiTheme="minorAscii"/>
        </w:rPr>
      </w:pPr>
    </w:p>
    <w:p w14:paraId="7E2BD4E3">
      <w:pPr>
        <w:rPr>
          <w:rFonts w:hint="default" w:asciiTheme="minorAscii" w:hAnsiTheme="minorAscii" w:eastAsiaTheme="minorEastAsia"/>
          <w:b/>
          <w:bCs/>
          <w:lang w:eastAsia="zh-CN"/>
        </w:rPr>
      </w:pPr>
      <w:r>
        <w:rPr>
          <w:rFonts w:hint="default" w:asciiTheme="minorAscii" w:hAnsiTheme="minorAscii"/>
          <w:b/>
          <w:bCs/>
        </w:rPr>
        <w:t>2.3 Generative Strategies as Tools for "Deep Understanding": Maximising Output Within Limits</w:t>
      </w:r>
    </w:p>
    <w:p w14:paraId="239181FC">
      <w:pPr>
        <w:rPr>
          <w:rFonts w:hint="default" w:asciiTheme="minorAscii" w:hAnsiTheme="minorAscii"/>
        </w:rPr>
      </w:pPr>
      <w:r>
        <w:rPr>
          <w:rFonts w:hint="default" w:asciiTheme="minorAscii" w:hAnsiTheme="minorAscii"/>
        </w:rPr>
        <w:t>When cognitive load is well-managed, Fiorella and Mayer's generative strategies become the best tools for turning "cognitive capacity" into "learning gain." Willingham stresses how background knowledge and automaticity free up working memory to allow thinking; generative activities are core training methods for building that automaticity and deepening knowledge networks. For example, "teaching" someone else or "self-testing" are powerful forms of retrieval practice, which strongly promotes long-term memory and automatic recall—this aligns with robust findings on the "testing effect" (Roediger &amp; Karpicke, 2006). "Drawing" and "mapping" force the organisation of knowledge, helping to build better, more accessible mental structures.</w:t>
      </w:r>
    </w:p>
    <w:p w14:paraId="4D437558">
      <w:pPr>
        <w:rPr>
          <w:rFonts w:hint="default" w:asciiTheme="minorAscii" w:hAnsiTheme="minorAscii"/>
        </w:rPr>
      </w:pPr>
    </w:p>
    <w:p w14:paraId="16399C34">
      <w:pPr>
        <w:rPr>
          <w:rFonts w:hint="default" w:asciiTheme="minorAscii" w:hAnsiTheme="minorAscii"/>
        </w:rPr>
      </w:pPr>
      <w:r>
        <w:rPr>
          <w:rFonts w:hint="default" w:asciiTheme="minorAscii" w:hAnsiTheme="minorAscii"/>
        </w:rPr>
        <w:t>The three texts thus form a coherent, dynamic loop: Cognitive Load Theory ensures the learning environment does not exceed students' processing limits, providing the foundation of feasibility. Willingham's framework emphasises setting goals within those limits to maintain student engagement and willingness. Generative learning strategies provide the specific thinking actions needed to reach the goal of deep understanding. Without the first two creating the right conditions, generative strategies may be impossible to implement or ineffective. Without the last one, the cognitive space and motivational opportunity created by the first two might not be fully used, leaving learning at a shallow, memorisation level. An ideal teaching cycle might look like this: The teacher first uses Cognitive Load principles to present new content clearly (reducing extraneous load) → Following Willingham's insight, they design a core question or task that sits in the students' "zone of proximal development" (setting the right challenge) → They then guide students to use an appropriate generative strategy (like drawing a concept map of the problem or explaining a solution to a partner) to explore and solve it (applying germane load) → Throughout, the teacher monitors and adjusts both the cognitive load and the level of challenge.</w:t>
      </w:r>
    </w:p>
    <w:p w14:paraId="22BD5F16">
      <w:pPr>
        <w:rPr>
          <w:rFonts w:hint="default" w:asciiTheme="minorAscii" w:hAnsiTheme="minorAscii"/>
        </w:rPr>
      </w:pPr>
    </w:p>
    <w:p w14:paraId="6680629B">
      <w:pPr>
        <w:rPr>
          <w:rFonts w:hint="default" w:asciiTheme="minorAscii" w:hAnsiTheme="minorAscii"/>
        </w:rPr>
      </w:pPr>
      <w:r>
        <w:rPr>
          <w:rFonts w:hint="default" w:asciiTheme="minorAscii" w:hAnsiTheme="minorAscii"/>
        </w:rPr>
        <w:br w:type="page"/>
      </w:r>
    </w:p>
    <w:p w14:paraId="2F46D1E3">
      <w:pPr>
        <w:rPr>
          <w:rFonts w:hint="default" w:asciiTheme="minorAscii" w:hAnsiTheme="minorAscii" w:eastAsiaTheme="minorEastAsia"/>
          <w:b/>
          <w:bCs/>
          <w:sz w:val="28"/>
          <w:szCs w:val="36"/>
          <w:lang w:eastAsia="zh-CN"/>
        </w:rPr>
      </w:pPr>
      <w:r>
        <w:rPr>
          <w:rFonts w:hint="default" w:asciiTheme="minorAscii" w:hAnsiTheme="minorAscii"/>
          <w:b/>
          <w:bCs/>
          <w:sz w:val="28"/>
          <w:szCs w:val="36"/>
        </w:rPr>
        <w:t>3. Core Argument: Why Cognitive Load Theory Holds Foundational Primacy</w:t>
      </w:r>
    </w:p>
    <w:p w14:paraId="5BD17D09">
      <w:pPr>
        <w:rPr>
          <w:rFonts w:hint="default" w:asciiTheme="minorAscii" w:hAnsiTheme="minorAscii"/>
        </w:rPr>
      </w:pPr>
    </w:p>
    <w:p w14:paraId="63AE7ECE">
      <w:pPr>
        <w:rPr>
          <w:rFonts w:hint="default" w:asciiTheme="minorAscii" w:hAnsiTheme="minorAscii"/>
        </w:rPr>
      </w:pPr>
      <w:r>
        <w:rPr>
          <w:rFonts w:hint="default" w:asciiTheme="minorAscii" w:hAnsiTheme="minorAscii"/>
        </w:rPr>
        <w:t>Based on the cross-analysis above, this paper contends that in the landscape of applying cognitive science to teaching, the CESE's presentation of Cognitive Load Theory holds a foundational and primary position. Its importance does not come from offering the longest list of teaching techniques, but from addressing the most basic, unavoidable biological constraint on human learning. It thereby sets the non-negotiable starting point and precondition for discussing the effectiveness of any other teaching strategy. This foundational role is evident in its power to explain, to constrain, and to diagnose.</w:t>
      </w:r>
    </w:p>
    <w:p w14:paraId="6CECB95C">
      <w:pPr>
        <w:rPr>
          <w:rFonts w:hint="default" w:asciiTheme="minorAscii" w:hAnsiTheme="minorAscii"/>
        </w:rPr>
      </w:pPr>
    </w:p>
    <w:p w14:paraId="21CACACA">
      <w:pPr>
        <w:rPr>
          <w:rFonts w:hint="default" w:asciiTheme="minorAscii" w:hAnsiTheme="minorAscii"/>
        </w:rPr>
      </w:pPr>
      <w:r>
        <w:rPr>
          <w:rFonts w:hint="default" w:asciiTheme="minorAscii" w:hAnsiTheme="minorAscii"/>
        </w:rPr>
        <w:t>First, it is an explanatory "first principle," providing the deep "why" behind other strategies. Willingham's "importance of background knowledge" and Fiorella and Mayer's "effectiveness of active processing" are strong, empirically-supported teaching principles. Cognitive Load Theory goes a step deeper: it explains the mechanism for why these principles work. Background knowledge is crucial because it is stored in long-term memory as organised "schemas." Activating a ready-made schema uses very little working memory space, freeing up capacity for new information—this directly lowers intrinsic cognitive load. Active processing works because it helps link new information to existing schemas, building and refining them—that is, it productively increases "germane load" (Fiorella &amp; Mayer, 2015). Therefore, Cognitive Load Theory offers a unified, mechanistic framework that explains other principles, serving as the deeper scientific foundation for their validity. It answers the "why," not just the "what" or "how."</w:t>
      </w:r>
    </w:p>
    <w:p w14:paraId="16CE1664">
      <w:pPr>
        <w:rPr>
          <w:rFonts w:hint="default" w:asciiTheme="minorAscii" w:hAnsiTheme="minorAscii"/>
        </w:rPr>
      </w:pPr>
    </w:p>
    <w:p w14:paraId="760AFB1E">
      <w:pPr>
        <w:rPr>
          <w:rFonts w:hint="default" w:asciiTheme="minorAscii" w:hAnsiTheme="minorAscii"/>
        </w:rPr>
      </w:pPr>
      <w:r>
        <w:rPr>
          <w:rFonts w:hint="default" w:asciiTheme="minorAscii" w:hAnsiTheme="minorAscii"/>
        </w:rPr>
        <w:t xml:space="preserve">Second, it defines the "base level" and "failure point" for instructional design, acting as a strong constraint. Any teaching intervention, no matter how appealing in theory, must pass a "cognitive load check" before being used: Will this activity create unnecessary split-attention (extraneous load)? Do students have enough prior knowledge to "chunk" the new information and reduce its intrinsic load? If we ignore these hard limits set by working memory, a complex problem meant to spark curiosity might kill it with a confusing presentation. A collaborative generative task meant to foster discussion might cause anxiety and inefficiency by overloading the group's collective working memory (Kirschner </w:t>
      </w:r>
      <w:r>
        <w:rPr>
          <w:rFonts w:hint="default" w:asciiTheme="minorAscii" w:hAnsiTheme="minorAscii"/>
          <w:i/>
          <w:iCs/>
        </w:rPr>
        <w:t>et al.</w:t>
      </w:r>
      <w:r>
        <w:rPr>
          <w:rFonts w:hint="default" w:asciiTheme="minorAscii" w:hAnsiTheme="minorAscii"/>
        </w:rPr>
        <w:t>, 2006). Thus, Cognitive Load Theory is the first and most critical defence against well-intentioned but ineffective teaching. It tells us that before we aim for the "height" (depth) or "breadth" (engagement) of instruction, we must first ensure its "structural stability" (the avoidance of cognitive overload). It is the necessary, though not sufficient, condition for other strategies to work.</w:t>
      </w:r>
    </w:p>
    <w:p w14:paraId="521C8CB0">
      <w:pPr>
        <w:rPr>
          <w:rFonts w:hint="default" w:asciiTheme="minorAscii" w:hAnsiTheme="minorAscii"/>
        </w:rPr>
      </w:pPr>
    </w:p>
    <w:p w14:paraId="3B0BED54">
      <w:pPr>
        <w:rPr>
          <w:rFonts w:hint="default" w:asciiTheme="minorAscii" w:hAnsiTheme="minorAscii"/>
        </w:rPr>
      </w:pPr>
      <w:r>
        <w:rPr>
          <w:rFonts w:hint="default" w:asciiTheme="minorAscii" w:hAnsiTheme="minorAscii"/>
        </w:rPr>
        <w:t>Third, it has superior diagnostic power and universal applicability, making it a core tool for teaching reflection. When a lesson or activity fails, Cognitive Load Theory provides a sharp diagnostic lens. Student disengagement, confusion, frustration, or failure to complete tasks can often be traced back to cognitive overload as a primary cause. This explanatory power applies to all subjects, all year levels, and all teaching methods. Whether in traditional direct instruction or modern project-based or inquiry learning, successful implementation depends on the effective management of working memory. In contrast, issues with motivation or misapplication of generative strategies are often secondary or context-specific problems. Therefore, it is the dimension teachers should consider first when reflecting on and improving their practice. Teachers can ask: Did my slides, instructions, or materials accidentally add extraneous load? Did I ask students to generate or apply ideas before they had formed a basic mental model of the core concepts? Reflection based on cognitive load often points directly to the heart of why teaching efficiency was low.</w:t>
      </w:r>
    </w:p>
    <w:p w14:paraId="743CF23D">
      <w:pPr>
        <w:rPr>
          <w:rFonts w:hint="default" w:asciiTheme="minorAscii" w:hAnsiTheme="minorAscii"/>
        </w:rPr>
      </w:pPr>
    </w:p>
    <w:p w14:paraId="16F5E517">
      <w:pPr>
        <w:rPr>
          <w:rFonts w:hint="default" w:asciiTheme="minorAscii" w:hAnsiTheme="minorAscii"/>
        </w:rPr>
      </w:pPr>
      <w:r>
        <w:rPr>
          <w:rFonts w:hint="default" w:asciiTheme="minorAscii" w:hAnsiTheme="minorAscii"/>
        </w:rPr>
        <w:br w:type="page"/>
      </w:r>
    </w:p>
    <w:p w14:paraId="75C55B8E">
      <w:pPr>
        <w:rPr>
          <w:rFonts w:hint="default" w:asciiTheme="minorAscii" w:hAnsiTheme="minorAscii" w:eastAsiaTheme="minorEastAsia"/>
          <w:b/>
          <w:bCs/>
          <w:sz w:val="28"/>
          <w:szCs w:val="36"/>
          <w:lang w:eastAsia="zh-CN"/>
        </w:rPr>
      </w:pPr>
      <w:r>
        <w:rPr>
          <w:rFonts w:hint="default" w:asciiTheme="minorAscii" w:hAnsiTheme="minorAscii"/>
          <w:b/>
          <w:bCs/>
          <w:sz w:val="28"/>
          <w:szCs w:val="36"/>
        </w:rPr>
        <w:t>Conclusion: Towards an Integrated Practice Centered on Cognitive Architecture</w:t>
      </w:r>
    </w:p>
    <w:p w14:paraId="238F0253">
      <w:pPr>
        <w:rPr>
          <w:rFonts w:hint="default" w:asciiTheme="minorAscii" w:hAnsiTheme="minorAscii"/>
        </w:rPr>
      </w:pPr>
    </w:p>
    <w:p w14:paraId="0A846C80">
      <w:pPr>
        <w:rPr>
          <w:rFonts w:hint="default" w:asciiTheme="minorAscii" w:hAnsiTheme="minorAscii"/>
        </w:rPr>
      </w:pPr>
      <w:r>
        <w:rPr>
          <w:rFonts w:hint="default" w:asciiTheme="minorAscii" w:hAnsiTheme="minorAscii"/>
        </w:rPr>
        <w:t>In summary, the CESE's Cognitive Load Theory, Willingham's Why Don't Students Like School?, and Fiorella and Mayer's Eight Ways to Promote Generative Learning together map a complete, cognitive science-informed blueprint for teaching. Willingham's work vividly reminds us that students come to class with brains that are "not designed for thinking" but can be skilfully guided. Fiorella and Mayer's paper equips us with precise "cognitive tools" to make those brains engage in high-quality, deep thinking.</w:t>
      </w:r>
    </w:p>
    <w:p w14:paraId="08C9E2A1">
      <w:pPr>
        <w:rPr>
          <w:rFonts w:hint="default" w:asciiTheme="minorAscii" w:hAnsiTheme="minorAscii"/>
        </w:rPr>
      </w:pPr>
    </w:p>
    <w:p w14:paraId="703DC171">
      <w:pPr>
        <w:rPr>
          <w:rFonts w:hint="default" w:asciiTheme="minorAscii" w:hAnsiTheme="minorAscii"/>
        </w:rPr>
      </w:pPr>
      <w:r>
        <w:rPr>
          <w:rFonts w:hint="default" w:asciiTheme="minorAscii" w:hAnsiTheme="minorAscii"/>
        </w:rPr>
        <w:t>However, both the art of guidance and the use of tools must operate within the clear "cognitive mechanics" space mapped by Cognitive Load Theory. Therefore, Cognitive Load Theory forms the "base map" and "load-bearing structure" of this blueprint. It may not be the first specific activity a teacher thinks of when planning a lesson, but it must be the underlying logic built into their teaching philosophy and intuition. It is the final determinant of whether a teaching action will "land safely" or crash.</w:t>
      </w:r>
    </w:p>
    <w:p w14:paraId="5194F383">
      <w:pPr>
        <w:rPr>
          <w:rFonts w:hint="default" w:asciiTheme="minorAscii" w:hAnsiTheme="minorAscii"/>
        </w:rPr>
      </w:pPr>
    </w:p>
    <w:p w14:paraId="3D6538BD">
      <w:pPr>
        <w:rPr>
          <w:rFonts w:hint="default" w:asciiTheme="minorAscii" w:hAnsiTheme="minorAscii"/>
        </w:rPr>
      </w:pPr>
      <w:r>
        <w:rPr>
          <w:rFonts w:hint="default" w:asciiTheme="minorAscii" w:hAnsiTheme="minorAscii"/>
        </w:rPr>
        <w:t>Ultimately, excellent, evidence-based teaching requires the teacher to become a "cognitive engineer" and "learning environment designer." He or she must first be a skilled "cognitive load manager," examining the demands a task places on working memory like an engineer checks stress on a structure, and designing the environment to ensure clear, efficient, and distraction-free information flow (minimising extraneous load). Building on this, they become a "cognitive motivation guide," using Willingham's insights to continually adjust the challenge level, helping each student experience the成就感 (sense of accomplishment) and pleasure of thinking at the edge of their ability. Finally, they act as a "cognitive skills coach," expertly introducing and guiding students in using Fiorella and Mayer's generative strategies, helping them transform available cognitive resources into robust, flexible, and transferable knowledge structures.</w:t>
      </w:r>
    </w:p>
    <w:p w14:paraId="0CD47346">
      <w:pPr>
        <w:rPr>
          <w:rFonts w:hint="default" w:asciiTheme="minorAscii" w:hAnsiTheme="minorAscii"/>
        </w:rPr>
      </w:pPr>
    </w:p>
    <w:p w14:paraId="479DD6B9">
      <w:pPr>
        <w:rPr>
          <w:rFonts w:hint="default" w:asciiTheme="minorAscii" w:hAnsiTheme="minorAscii"/>
        </w:rPr>
      </w:pPr>
      <w:r>
        <w:rPr>
          <w:rFonts w:hint="default" w:asciiTheme="minorAscii" w:hAnsiTheme="minorAscii"/>
        </w:rPr>
        <w:t>In this integrated professional role, a deep understanding and conscious application of Cognitive Load Theory is undoubtedly the most important cognitive science foundation upon which all higher-level teaching artistry depends. It ensures our teaching efforts are built on the real workings of the human mind, not on wishful thinking. Future teaching research and practice should further explore how to blend this foundational theory more deeply with specific subject teaching methods and educational technology, thus maximising every student's learning potential while fully respecting the boundaries of cognition.</w:t>
      </w:r>
    </w:p>
    <w:p w14:paraId="5C65E321">
      <w:pPr>
        <w:rPr>
          <w:rFonts w:hint="default" w:asciiTheme="minorAscii" w:hAnsiTheme="minorAscii"/>
        </w:rPr>
      </w:pPr>
    </w:p>
    <w:p w14:paraId="22C8E200">
      <w:pPr>
        <w:rPr>
          <w:rFonts w:hint="default" w:asciiTheme="minorAscii" w:hAnsiTheme="minorAscii"/>
        </w:rPr>
      </w:pPr>
      <w:r>
        <w:rPr>
          <w:rFonts w:hint="default" w:asciiTheme="minorAscii" w:hAnsiTheme="minorAscii"/>
        </w:rPr>
        <w:br w:type="page"/>
      </w:r>
    </w:p>
    <w:p w14:paraId="1590BEBF">
      <w:pPr>
        <w:rPr>
          <w:rFonts w:hint="default" w:asciiTheme="minorAscii" w:hAnsiTheme="minorAscii" w:eastAsiaTheme="minorEastAsia"/>
          <w:b/>
          <w:bCs/>
          <w:sz w:val="28"/>
          <w:szCs w:val="36"/>
          <w:lang w:eastAsia="zh-CN"/>
        </w:rPr>
      </w:pPr>
      <w:r>
        <w:rPr>
          <w:rFonts w:hint="default" w:asciiTheme="minorAscii" w:hAnsiTheme="minorAscii"/>
          <w:b/>
          <w:bCs/>
          <w:sz w:val="28"/>
          <w:szCs w:val="36"/>
        </w:rPr>
        <w:t>References</w:t>
      </w:r>
    </w:p>
    <w:p w14:paraId="3FC46D1A">
      <w:pPr>
        <w:numPr>
          <w:ilvl w:val="0"/>
          <w:numId w:val="1"/>
        </w:numPr>
        <w:jc w:val="left"/>
        <w:rPr>
          <w:rFonts w:hint="default" w:asciiTheme="minorAscii" w:hAnsiTheme="minorAscii"/>
        </w:rPr>
      </w:pPr>
      <w:r>
        <w:rPr>
          <w:rFonts w:hint="default" w:asciiTheme="minorAscii" w:hAnsiTheme="minorAscii"/>
        </w:rPr>
        <w:t xml:space="preserve">Centre for Education Statistics and Evaluation (CESE) (2017) </w:t>
      </w:r>
      <w:r>
        <w:rPr>
          <w:rFonts w:hint="default" w:asciiTheme="minorAscii" w:hAnsiTheme="minorAscii"/>
          <w:i/>
          <w:iCs/>
        </w:rPr>
        <w:t>Cognitive load theory: Research that teachers really need to understand</w:t>
      </w:r>
      <w:r>
        <w:rPr>
          <w:rFonts w:hint="default" w:asciiTheme="minorAscii" w:hAnsiTheme="minorAscii"/>
        </w:rPr>
        <w:t>.</w:t>
      </w:r>
      <w:r>
        <w:rPr>
          <w:rFonts w:hint="default" w:asciiTheme="minorAscii" w:hAnsiTheme="minorAscii"/>
          <w:lang w:val="en-US" w:eastAsia="zh-CN"/>
        </w:rPr>
        <w:t xml:space="preserve"> </w:t>
      </w:r>
      <w:r>
        <w:rPr>
          <w:rFonts w:hint="default" w:asciiTheme="minorAscii" w:hAnsiTheme="minorAscii"/>
        </w:rPr>
        <w:t>NSW Department of Education.</w:t>
      </w:r>
    </w:p>
    <w:p w14:paraId="7F8B68A9">
      <w:pPr>
        <w:numPr>
          <w:ilvl w:val="0"/>
          <w:numId w:val="1"/>
        </w:numPr>
        <w:jc w:val="left"/>
        <w:rPr>
          <w:rFonts w:hint="default" w:asciiTheme="minorAscii" w:hAnsiTheme="minorAscii"/>
          <w:i w:val="0"/>
          <w:iCs w:val="0"/>
        </w:rPr>
      </w:pPr>
      <w:r>
        <w:rPr>
          <w:rFonts w:hint="default" w:asciiTheme="minorAscii" w:hAnsiTheme="minorAscii"/>
          <w:i w:val="0"/>
          <w:iCs w:val="0"/>
        </w:rPr>
        <w:t xml:space="preserve">Deci, E.L. and Ryan, R.M. (2000) </w:t>
      </w:r>
      <w:r>
        <w:rPr>
          <w:rFonts w:hint="default" w:asciiTheme="minorAscii" w:hAnsiTheme="minorAscii"/>
          <w:i w:val="0"/>
          <w:iCs w:val="0"/>
          <w:lang w:val="en-US" w:eastAsia="zh-CN"/>
        </w:rPr>
        <w:t>‘</w:t>
      </w:r>
      <w:r>
        <w:rPr>
          <w:rFonts w:hint="default" w:asciiTheme="minorAscii" w:hAnsiTheme="minorAscii"/>
          <w:i w:val="0"/>
          <w:iCs w:val="0"/>
        </w:rPr>
        <w:t xml:space="preserve">The </w:t>
      </w:r>
      <w:r>
        <w:rPr>
          <w:rFonts w:hint="default" w:asciiTheme="minorAscii" w:hAnsiTheme="minorAscii"/>
          <w:i w:val="0"/>
          <w:iCs w:val="0"/>
          <w:lang w:val="en-US" w:eastAsia="zh-CN"/>
        </w:rPr>
        <w:t>“</w:t>
      </w:r>
      <w:r>
        <w:rPr>
          <w:rFonts w:hint="default" w:asciiTheme="minorAscii" w:hAnsiTheme="minorAscii"/>
          <w:i w:val="0"/>
          <w:iCs w:val="0"/>
        </w:rPr>
        <w:t>what</w:t>
      </w:r>
      <w:r>
        <w:rPr>
          <w:rFonts w:hint="default" w:asciiTheme="minorAscii" w:hAnsiTheme="minorAscii"/>
          <w:i w:val="0"/>
          <w:iCs w:val="0"/>
          <w:lang w:val="en-US" w:eastAsia="zh-CN"/>
        </w:rPr>
        <w:t>”</w:t>
      </w:r>
      <w:r>
        <w:rPr>
          <w:rFonts w:hint="default" w:asciiTheme="minorAscii" w:hAnsiTheme="minorAscii"/>
          <w:i w:val="0"/>
          <w:iCs w:val="0"/>
        </w:rPr>
        <w:t xml:space="preserve"> and </w:t>
      </w:r>
      <w:r>
        <w:rPr>
          <w:rFonts w:hint="default" w:asciiTheme="minorAscii" w:hAnsiTheme="minorAscii"/>
          <w:i w:val="0"/>
          <w:iCs w:val="0"/>
          <w:lang w:val="en-US" w:eastAsia="zh-CN"/>
        </w:rPr>
        <w:t>“</w:t>
      </w:r>
      <w:r>
        <w:rPr>
          <w:rFonts w:hint="default" w:asciiTheme="minorAscii" w:hAnsiTheme="minorAscii"/>
          <w:i w:val="0"/>
          <w:iCs w:val="0"/>
        </w:rPr>
        <w:t>why</w:t>
      </w:r>
      <w:r>
        <w:rPr>
          <w:rFonts w:hint="default" w:asciiTheme="minorAscii" w:hAnsiTheme="minorAscii"/>
          <w:i w:val="0"/>
          <w:iCs w:val="0"/>
          <w:lang w:val="en-US" w:eastAsia="zh-CN"/>
        </w:rPr>
        <w:t>”</w:t>
      </w:r>
      <w:r>
        <w:rPr>
          <w:rFonts w:hint="default" w:asciiTheme="minorAscii" w:hAnsiTheme="minorAscii"/>
          <w:i w:val="0"/>
          <w:iCs w:val="0"/>
        </w:rPr>
        <w:t xml:space="preserve"> of goal pursuits: Human needs and the self-determination of behavior</w:t>
      </w:r>
      <w:r>
        <w:rPr>
          <w:rFonts w:hint="default" w:asciiTheme="minorAscii" w:hAnsiTheme="minorAscii"/>
          <w:i w:val="0"/>
          <w:iCs w:val="0"/>
          <w:lang w:val="en-US" w:eastAsia="zh-CN"/>
        </w:rPr>
        <w:t>’</w:t>
      </w:r>
      <w:r>
        <w:rPr>
          <w:rFonts w:hint="default" w:asciiTheme="minorAscii" w:hAnsiTheme="minorAscii"/>
          <w:i w:val="0"/>
          <w:iCs w:val="0"/>
        </w:rPr>
        <w:t xml:space="preserve">, </w:t>
      </w:r>
      <w:r>
        <w:rPr>
          <w:rFonts w:hint="default" w:asciiTheme="minorAscii" w:hAnsiTheme="minorAscii"/>
          <w:i/>
          <w:iCs/>
        </w:rPr>
        <w:t>Psychological Inquiry</w:t>
      </w:r>
      <w:r>
        <w:rPr>
          <w:rFonts w:hint="default" w:asciiTheme="minorAscii" w:hAnsiTheme="minorAscii"/>
          <w:i w:val="0"/>
          <w:iCs w:val="0"/>
        </w:rPr>
        <w:t>, 11(4), pp. 227–268.</w:t>
      </w:r>
      <w:r>
        <w:rPr>
          <w:rFonts w:hint="default" w:asciiTheme="minorAscii" w:hAnsiTheme="minorAscii"/>
          <w:i w:val="0"/>
          <w:iCs w:val="0"/>
          <w:lang w:val="en-US" w:eastAsia="zh-CN"/>
        </w:rPr>
        <w:t xml:space="preserve"> </w:t>
      </w:r>
      <w:r>
        <w:rPr>
          <w:rFonts w:hint="default" w:asciiTheme="minorAscii" w:hAnsiTheme="minorAscii"/>
          <w:i w:val="0"/>
          <w:iCs w:val="0"/>
        </w:rPr>
        <w:t>Available at:</w:t>
      </w:r>
      <w:r>
        <w:rPr>
          <w:rFonts w:hint="default" w:asciiTheme="minorAscii" w:hAnsiTheme="minorAscii"/>
          <w:i w:val="0"/>
          <w:iCs w:val="0"/>
          <w:lang w:val="en-US" w:eastAsia="zh-CN"/>
        </w:rPr>
        <w:t xml:space="preserve"> </w:t>
      </w:r>
      <w:r>
        <w:rPr>
          <w:rFonts w:hint="default" w:asciiTheme="minorAscii" w:hAnsiTheme="minorAscii"/>
          <w:i w:val="0"/>
          <w:iCs w:val="0"/>
        </w:rPr>
        <w:fldChar w:fldCharType="begin"/>
      </w:r>
      <w:r>
        <w:rPr>
          <w:rFonts w:hint="default" w:asciiTheme="minorAscii" w:hAnsiTheme="minorAscii"/>
          <w:i w:val="0"/>
          <w:iCs w:val="0"/>
        </w:rPr>
        <w:instrText xml:space="preserve"> HYPERLINK "https://doi.org/10.1207/S15327965PLI1104_01" </w:instrText>
      </w:r>
      <w:r>
        <w:rPr>
          <w:rFonts w:hint="default" w:asciiTheme="minorAscii" w:hAnsiTheme="minorAscii"/>
          <w:i w:val="0"/>
          <w:iCs w:val="0"/>
        </w:rPr>
        <w:fldChar w:fldCharType="separate"/>
      </w:r>
      <w:r>
        <w:rPr>
          <w:rStyle w:val="5"/>
          <w:rFonts w:hint="default" w:asciiTheme="minorAscii" w:hAnsiTheme="minorAscii"/>
          <w:i w:val="0"/>
          <w:iCs w:val="0"/>
        </w:rPr>
        <w:t>https://doi.org/10.1207/S15327965PLI1104_01</w:t>
      </w:r>
      <w:r>
        <w:rPr>
          <w:rFonts w:hint="default" w:asciiTheme="minorAscii" w:hAnsiTheme="minorAscii"/>
          <w:i w:val="0"/>
          <w:iCs w:val="0"/>
        </w:rPr>
        <w:fldChar w:fldCharType="end"/>
      </w:r>
    </w:p>
    <w:p w14:paraId="69032132">
      <w:pPr>
        <w:numPr>
          <w:ilvl w:val="0"/>
          <w:numId w:val="1"/>
        </w:numPr>
        <w:jc w:val="left"/>
        <w:rPr>
          <w:rFonts w:hint="default" w:asciiTheme="minorAscii" w:hAnsiTheme="minorAscii"/>
          <w:i w:val="0"/>
          <w:iCs w:val="0"/>
        </w:rPr>
      </w:pPr>
      <w:r>
        <w:rPr>
          <w:rFonts w:hint="default" w:asciiTheme="minorAscii" w:hAnsiTheme="minorAscii"/>
          <w:i w:val="0"/>
          <w:iCs w:val="0"/>
        </w:rPr>
        <w:t xml:space="preserve">Fiorella, L. and Mayer, R.E. (2015) </w:t>
      </w:r>
      <w:r>
        <w:rPr>
          <w:rFonts w:hint="default" w:asciiTheme="minorAscii" w:hAnsiTheme="minorAscii"/>
          <w:i w:val="0"/>
          <w:iCs w:val="0"/>
          <w:lang w:val="en-US" w:eastAsia="zh-CN"/>
        </w:rPr>
        <w:t>‘</w:t>
      </w:r>
      <w:r>
        <w:rPr>
          <w:rFonts w:hint="default" w:asciiTheme="minorAscii" w:hAnsiTheme="minorAscii"/>
          <w:i w:val="0"/>
          <w:iCs w:val="0"/>
        </w:rPr>
        <w:t>Eight ways to promote generative learning</w:t>
      </w:r>
      <w:r>
        <w:rPr>
          <w:rFonts w:hint="default" w:asciiTheme="minorAscii" w:hAnsiTheme="minorAscii"/>
          <w:i w:val="0"/>
          <w:iCs w:val="0"/>
          <w:lang w:val="en-US" w:eastAsia="zh-CN"/>
        </w:rPr>
        <w:t>’</w:t>
      </w:r>
      <w:r>
        <w:rPr>
          <w:rFonts w:hint="default" w:asciiTheme="minorAscii" w:hAnsiTheme="minorAscii"/>
          <w:i w:val="0"/>
          <w:iCs w:val="0"/>
        </w:rPr>
        <w:t xml:space="preserve">, </w:t>
      </w:r>
      <w:r>
        <w:rPr>
          <w:rFonts w:hint="default" w:asciiTheme="minorAscii" w:hAnsiTheme="minorAscii"/>
          <w:i/>
          <w:iCs/>
        </w:rPr>
        <w:t>Educational Psychology Review</w:t>
      </w:r>
      <w:r>
        <w:rPr>
          <w:rFonts w:hint="default" w:asciiTheme="minorAscii" w:hAnsiTheme="minorAscii"/>
          <w:i w:val="0"/>
          <w:iCs w:val="0"/>
        </w:rPr>
        <w:t>, 28(4), pp. 717–741. Available at:</w:t>
      </w:r>
      <w:r>
        <w:rPr>
          <w:rFonts w:hint="default" w:asciiTheme="minorAscii" w:hAnsiTheme="minorAscii"/>
          <w:i w:val="0"/>
          <w:iCs w:val="0"/>
          <w:lang w:val="en-US" w:eastAsia="zh-CN"/>
        </w:rPr>
        <w:t xml:space="preserve"> </w:t>
      </w:r>
      <w:r>
        <w:rPr>
          <w:rFonts w:hint="default" w:asciiTheme="minorAscii" w:hAnsiTheme="minorAscii"/>
          <w:i w:val="0"/>
          <w:iCs w:val="0"/>
        </w:rPr>
        <w:fldChar w:fldCharType="begin"/>
      </w:r>
      <w:r>
        <w:rPr>
          <w:rFonts w:hint="default" w:asciiTheme="minorAscii" w:hAnsiTheme="minorAscii"/>
          <w:i w:val="0"/>
          <w:iCs w:val="0"/>
        </w:rPr>
        <w:instrText xml:space="preserve"> HYPERLINK "https://doi.org/10.1007/s10648-015-9348-9" </w:instrText>
      </w:r>
      <w:r>
        <w:rPr>
          <w:rFonts w:hint="default" w:asciiTheme="minorAscii" w:hAnsiTheme="minorAscii"/>
          <w:i w:val="0"/>
          <w:iCs w:val="0"/>
        </w:rPr>
        <w:fldChar w:fldCharType="separate"/>
      </w:r>
      <w:r>
        <w:rPr>
          <w:rStyle w:val="5"/>
          <w:rFonts w:hint="default" w:asciiTheme="minorAscii" w:hAnsiTheme="minorAscii"/>
          <w:i w:val="0"/>
          <w:iCs w:val="0"/>
        </w:rPr>
        <w:t>https://doi.org/10.1007/s10648-015-9348-9</w:t>
      </w:r>
      <w:r>
        <w:rPr>
          <w:rFonts w:hint="default" w:asciiTheme="minorAscii" w:hAnsiTheme="minorAscii"/>
          <w:i w:val="0"/>
          <w:iCs w:val="0"/>
        </w:rPr>
        <w:fldChar w:fldCharType="end"/>
      </w:r>
    </w:p>
    <w:p w14:paraId="4AAC106C">
      <w:pPr>
        <w:numPr>
          <w:ilvl w:val="0"/>
          <w:numId w:val="1"/>
        </w:numPr>
        <w:jc w:val="left"/>
        <w:rPr>
          <w:rFonts w:hint="default" w:asciiTheme="minorAscii" w:hAnsiTheme="minorAscii"/>
          <w:i w:val="0"/>
          <w:iCs w:val="0"/>
        </w:rPr>
      </w:pPr>
      <w:r>
        <w:rPr>
          <w:rFonts w:hint="default" w:asciiTheme="minorAscii" w:hAnsiTheme="minorAscii"/>
          <w:i w:val="0"/>
          <w:iCs w:val="0"/>
        </w:rPr>
        <w:t xml:space="preserve">Kirschner, P.A., Sweller, J. and Clark, R.E. (2006) </w:t>
      </w:r>
      <w:r>
        <w:rPr>
          <w:rFonts w:hint="default" w:asciiTheme="minorAscii" w:hAnsiTheme="minorAscii"/>
          <w:i w:val="0"/>
          <w:iCs w:val="0"/>
          <w:lang w:val="en-US" w:eastAsia="zh-CN"/>
        </w:rPr>
        <w:t>‘</w:t>
      </w:r>
      <w:r>
        <w:rPr>
          <w:rFonts w:hint="default" w:asciiTheme="minorAscii" w:hAnsiTheme="minorAscii"/>
          <w:i w:val="0"/>
          <w:iCs w:val="0"/>
        </w:rPr>
        <w:t>Why minimal guidance during instruction does not work: An analysis of the failure of constructivist, discovery, problem-based, experiential, and inquiry-based teaching</w:t>
      </w:r>
      <w:r>
        <w:rPr>
          <w:rFonts w:hint="default" w:asciiTheme="minorAscii" w:hAnsiTheme="minorAscii"/>
          <w:i w:val="0"/>
          <w:iCs w:val="0"/>
          <w:lang w:val="en-US" w:eastAsia="zh-CN"/>
        </w:rPr>
        <w:t>’</w:t>
      </w:r>
      <w:r>
        <w:rPr>
          <w:rFonts w:hint="default" w:asciiTheme="minorAscii" w:hAnsiTheme="minorAscii"/>
          <w:i w:val="0"/>
          <w:iCs w:val="0"/>
        </w:rPr>
        <w:t xml:space="preserve">, </w:t>
      </w:r>
      <w:r>
        <w:rPr>
          <w:rFonts w:hint="default" w:asciiTheme="minorAscii" w:hAnsiTheme="minorAscii"/>
          <w:i/>
          <w:iCs/>
        </w:rPr>
        <w:t>Educational Psychologist</w:t>
      </w:r>
      <w:r>
        <w:rPr>
          <w:rFonts w:hint="default" w:asciiTheme="minorAscii" w:hAnsiTheme="minorAscii"/>
          <w:i w:val="0"/>
          <w:iCs w:val="0"/>
        </w:rPr>
        <w:t>, 41(2), pp. 75–86.</w:t>
      </w:r>
      <w:r>
        <w:rPr>
          <w:rFonts w:hint="default" w:asciiTheme="minorAscii" w:hAnsiTheme="minorAscii"/>
          <w:i w:val="0"/>
          <w:iCs w:val="0"/>
          <w:lang w:val="en-US" w:eastAsia="zh-CN"/>
        </w:rPr>
        <w:t xml:space="preserve"> Available at: </w:t>
      </w:r>
      <w:r>
        <w:rPr>
          <w:rFonts w:hint="default" w:asciiTheme="minorAscii" w:hAnsiTheme="minorAscii"/>
          <w:i w:val="0"/>
          <w:iCs w:val="0"/>
          <w:lang w:val="en-US" w:eastAsia="zh-CN"/>
        </w:rPr>
        <w:fldChar w:fldCharType="begin"/>
      </w:r>
      <w:r>
        <w:rPr>
          <w:rFonts w:hint="default" w:asciiTheme="minorAscii" w:hAnsiTheme="minorAscii"/>
          <w:i w:val="0"/>
          <w:iCs w:val="0"/>
          <w:lang w:val="en-US" w:eastAsia="zh-CN"/>
        </w:rPr>
        <w:instrText xml:space="preserve"> HYPERLINK "https://doi.org/10.1207/s15326985ep4102_1" </w:instrText>
      </w:r>
      <w:r>
        <w:rPr>
          <w:rFonts w:hint="default" w:asciiTheme="minorAscii" w:hAnsiTheme="minorAscii"/>
          <w:i w:val="0"/>
          <w:iCs w:val="0"/>
          <w:lang w:val="en-US" w:eastAsia="zh-CN"/>
        </w:rPr>
        <w:fldChar w:fldCharType="separate"/>
      </w:r>
      <w:r>
        <w:rPr>
          <w:rStyle w:val="5"/>
          <w:rFonts w:hint="default" w:asciiTheme="minorAscii" w:hAnsiTheme="minorAscii"/>
          <w:i w:val="0"/>
          <w:iCs w:val="0"/>
          <w:lang w:val="en-US" w:eastAsia="zh-CN"/>
        </w:rPr>
        <w:t>https://doi.org/10.1207/s15326985ep4102_1</w:t>
      </w:r>
      <w:r>
        <w:rPr>
          <w:rFonts w:hint="default" w:asciiTheme="minorAscii" w:hAnsiTheme="minorAscii"/>
          <w:i w:val="0"/>
          <w:iCs w:val="0"/>
          <w:lang w:val="en-US" w:eastAsia="zh-CN"/>
        </w:rPr>
        <w:fldChar w:fldCharType="end"/>
      </w:r>
    </w:p>
    <w:p w14:paraId="78DF7869">
      <w:pPr>
        <w:numPr>
          <w:ilvl w:val="0"/>
          <w:numId w:val="1"/>
        </w:numPr>
        <w:jc w:val="left"/>
        <w:rPr>
          <w:rFonts w:hint="default" w:asciiTheme="minorAscii" w:hAnsiTheme="minorAscii"/>
          <w:i w:val="0"/>
          <w:iCs w:val="0"/>
        </w:rPr>
      </w:pPr>
      <w:r>
        <w:rPr>
          <w:rFonts w:hint="default" w:asciiTheme="minorAscii" w:hAnsiTheme="minorAscii"/>
          <w:i w:val="0"/>
          <w:iCs w:val="0"/>
        </w:rPr>
        <w:t xml:space="preserve">Mayer, R.E. and Moreno, R. (2003) </w:t>
      </w:r>
      <w:r>
        <w:rPr>
          <w:rFonts w:hint="default" w:asciiTheme="minorAscii" w:hAnsiTheme="minorAscii"/>
          <w:i w:val="0"/>
          <w:iCs w:val="0"/>
          <w:lang w:val="en-US" w:eastAsia="zh-CN"/>
        </w:rPr>
        <w:t>‘</w:t>
      </w:r>
      <w:r>
        <w:rPr>
          <w:rFonts w:hint="default" w:asciiTheme="minorAscii" w:hAnsiTheme="minorAscii"/>
          <w:i w:val="0"/>
          <w:iCs w:val="0"/>
        </w:rPr>
        <w:t>Nine ways to reduce cognitive load in multimedia learning</w:t>
      </w:r>
      <w:r>
        <w:rPr>
          <w:rFonts w:hint="default" w:asciiTheme="minorAscii" w:hAnsiTheme="minorAscii"/>
          <w:i w:val="0"/>
          <w:iCs w:val="0"/>
          <w:lang w:val="en-US" w:eastAsia="zh-CN"/>
        </w:rPr>
        <w:t>’</w:t>
      </w:r>
      <w:r>
        <w:rPr>
          <w:rFonts w:hint="default" w:asciiTheme="minorAscii" w:hAnsiTheme="minorAscii"/>
          <w:i w:val="0"/>
          <w:iCs w:val="0"/>
        </w:rPr>
        <w:t xml:space="preserve">, </w:t>
      </w:r>
      <w:r>
        <w:rPr>
          <w:rFonts w:hint="default" w:asciiTheme="minorAscii" w:hAnsiTheme="minorAscii"/>
          <w:i/>
          <w:iCs/>
        </w:rPr>
        <w:t>Educational Psychologist</w:t>
      </w:r>
      <w:r>
        <w:rPr>
          <w:rFonts w:hint="default" w:asciiTheme="minorAscii" w:hAnsiTheme="minorAscii"/>
          <w:i w:val="0"/>
          <w:iCs w:val="0"/>
        </w:rPr>
        <w:t>, 38(1), pp. 43–52.</w:t>
      </w:r>
      <w:r>
        <w:rPr>
          <w:rFonts w:hint="default" w:asciiTheme="minorAscii" w:hAnsiTheme="minorAscii"/>
          <w:i w:val="0"/>
          <w:iCs w:val="0"/>
          <w:lang w:val="en-US" w:eastAsia="zh-CN"/>
        </w:rPr>
        <w:t xml:space="preserve"> Available at: </w:t>
      </w:r>
      <w:r>
        <w:rPr>
          <w:rFonts w:hint="default" w:asciiTheme="minorAscii" w:hAnsiTheme="minorAscii"/>
          <w:i w:val="0"/>
          <w:iCs w:val="0"/>
          <w:lang w:val="en-US" w:eastAsia="zh-CN"/>
        </w:rPr>
        <w:fldChar w:fldCharType="begin"/>
      </w:r>
      <w:r>
        <w:rPr>
          <w:rFonts w:hint="default" w:asciiTheme="minorAscii" w:hAnsiTheme="minorAscii"/>
          <w:i w:val="0"/>
          <w:iCs w:val="0"/>
          <w:lang w:val="en-US" w:eastAsia="zh-CN"/>
        </w:rPr>
        <w:instrText xml:space="preserve"> HYPERLINK "https://doi.org/10.1207/S15326985EP3801_6" </w:instrText>
      </w:r>
      <w:r>
        <w:rPr>
          <w:rFonts w:hint="default" w:asciiTheme="minorAscii" w:hAnsiTheme="minorAscii"/>
          <w:i w:val="0"/>
          <w:iCs w:val="0"/>
          <w:lang w:val="en-US" w:eastAsia="zh-CN"/>
        </w:rPr>
        <w:fldChar w:fldCharType="separate"/>
      </w:r>
      <w:r>
        <w:rPr>
          <w:rStyle w:val="5"/>
          <w:rFonts w:hint="default" w:asciiTheme="minorAscii" w:hAnsiTheme="minorAscii"/>
          <w:i w:val="0"/>
          <w:iCs w:val="0"/>
          <w:lang w:val="en-US" w:eastAsia="zh-CN"/>
        </w:rPr>
        <w:t>https://doi.org/10.1207/S15326985EP3801_6</w:t>
      </w:r>
      <w:r>
        <w:rPr>
          <w:rFonts w:hint="default" w:asciiTheme="minorAscii" w:hAnsiTheme="minorAscii"/>
          <w:i w:val="0"/>
          <w:iCs w:val="0"/>
          <w:lang w:val="en-US" w:eastAsia="zh-CN"/>
        </w:rPr>
        <w:fldChar w:fldCharType="end"/>
      </w:r>
    </w:p>
    <w:p w14:paraId="64B3299E">
      <w:pPr>
        <w:numPr>
          <w:ilvl w:val="0"/>
          <w:numId w:val="1"/>
        </w:numPr>
        <w:jc w:val="left"/>
        <w:rPr>
          <w:rFonts w:hint="default" w:asciiTheme="minorAscii" w:hAnsiTheme="minorAscii"/>
          <w:i w:val="0"/>
          <w:iCs w:val="0"/>
        </w:rPr>
      </w:pPr>
      <w:r>
        <w:rPr>
          <w:rFonts w:hint="default" w:asciiTheme="minorAscii" w:hAnsiTheme="minorAscii"/>
          <w:i w:val="0"/>
          <w:iCs w:val="0"/>
        </w:rPr>
        <w:t xml:space="preserve">Roediger, H.L. and Karpicke, J.D. (2006) </w:t>
      </w:r>
      <w:r>
        <w:rPr>
          <w:rFonts w:hint="default" w:asciiTheme="minorAscii" w:hAnsiTheme="minorAscii"/>
          <w:i w:val="0"/>
          <w:iCs w:val="0"/>
          <w:lang w:val="en-US" w:eastAsia="zh-CN"/>
        </w:rPr>
        <w:t>‘</w:t>
      </w:r>
      <w:r>
        <w:rPr>
          <w:rFonts w:hint="default" w:asciiTheme="minorAscii" w:hAnsiTheme="minorAscii"/>
          <w:i w:val="0"/>
          <w:iCs w:val="0"/>
        </w:rPr>
        <w:t>Test-enhanced learning: Taking memory tests improves long-term retention</w:t>
      </w:r>
      <w:r>
        <w:rPr>
          <w:rFonts w:hint="default" w:asciiTheme="minorAscii" w:hAnsiTheme="minorAscii"/>
          <w:i w:val="0"/>
          <w:iCs w:val="0"/>
          <w:lang w:val="en-US" w:eastAsia="zh-CN"/>
        </w:rPr>
        <w:t>’</w:t>
      </w:r>
      <w:r>
        <w:rPr>
          <w:rFonts w:hint="default" w:asciiTheme="minorAscii" w:hAnsiTheme="minorAscii"/>
          <w:i w:val="0"/>
          <w:iCs w:val="0"/>
        </w:rPr>
        <w:t xml:space="preserve">, </w:t>
      </w:r>
      <w:r>
        <w:rPr>
          <w:rFonts w:hint="default" w:asciiTheme="minorAscii" w:hAnsiTheme="minorAscii"/>
          <w:i/>
          <w:iCs/>
        </w:rPr>
        <w:t>Psychological Science</w:t>
      </w:r>
      <w:r>
        <w:rPr>
          <w:rFonts w:hint="default" w:asciiTheme="minorAscii" w:hAnsiTheme="minorAscii"/>
          <w:i w:val="0"/>
          <w:iCs w:val="0"/>
        </w:rPr>
        <w:t>, 17(3), pp. 249–255.</w:t>
      </w:r>
      <w:r>
        <w:rPr>
          <w:rFonts w:hint="default" w:asciiTheme="minorAscii" w:hAnsiTheme="minorAscii"/>
          <w:i w:val="0"/>
          <w:iCs w:val="0"/>
          <w:lang w:val="en-US" w:eastAsia="zh-CN"/>
        </w:rPr>
        <w:t xml:space="preserve"> Available at: </w:t>
      </w:r>
      <w:r>
        <w:rPr>
          <w:rFonts w:hint="default" w:asciiTheme="minorAscii" w:hAnsiTheme="minorAscii"/>
          <w:i w:val="0"/>
          <w:iCs w:val="0"/>
          <w:lang w:val="en-US" w:eastAsia="zh-CN"/>
        </w:rPr>
        <w:fldChar w:fldCharType="begin"/>
      </w:r>
      <w:r>
        <w:rPr>
          <w:rFonts w:hint="default" w:asciiTheme="minorAscii" w:hAnsiTheme="minorAscii"/>
          <w:i w:val="0"/>
          <w:iCs w:val="0"/>
          <w:lang w:val="en-US" w:eastAsia="zh-CN"/>
        </w:rPr>
        <w:instrText xml:space="preserve"> HYPERLINK "https://doi.org/10.1111/j.1467-9280.2006.01693.x" </w:instrText>
      </w:r>
      <w:r>
        <w:rPr>
          <w:rFonts w:hint="default" w:asciiTheme="minorAscii" w:hAnsiTheme="minorAscii"/>
          <w:i w:val="0"/>
          <w:iCs w:val="0"/>
          <w:lang w:val="en-US" w:eastAsia="zh-CN"/>
        </w:rPr>
        <w:fldChar w:fldCharType="separate"/>
      </w:r>
      <w:r>
        <w:rPr>
          <w:rStyle w:val="5"/>
          <w:rFonts w:hint="default" w:asciiTheme="minorAscii" w:hAnsiTheme="minorAscii"/>
          <w:i w:val="0"/>
          <w:iCs w:val="0"/>
          <w:lang w:val="en-US" w:eastAsia="zh-CN"/>
        </w:rPr>
        <w:t>https://doi.org/10.1111/j.1467-9280.2006.01693.x</w:t>
      </w:r>
      <w:r>
        <w:rPr>
          <w:rFonts w:hint="default" w:asciiTheme="minorAscii" w:hAnsiTheme="minorAscii"/>
          <w:i w:val="0"/>
          <w:iCs w:val="0"/>
          <w:lang w:val="en-US" w:eastAsia="zh-CN"/>
        </w:rPr>
        <w:fldChar w:fldCharType="end"/>
      </w:r>
    </w:p>
    <w:p w14:paraId="75EA5444">
      <w:pPr>
        <w:numPr>
          <w:ilvl w:val="0"/>
          <w:numId w:val="1"/>
        </w:numPr>
        <w:jc w:val="left"/>
        <w:rPr>
          <w:rFonts w:hint="default" w:asciiTheme="minorAscii" w:hAnsiTheme="minorAscii"/>
          <w:i w:val="0"/>
          <w:iCs w:val="0"/>
        </w:rPr>
      </w:pPr>
      <w:r>
        <w:rPr>
          <w:rFonts w:hint="default" w:asciiTheme="minorAscii" w:hAnsiTheme="minorAscii"/>
          <w:i w:val="0"/>
          <w:iCs w:val="0"/>
        </w:rPr>
        <w:t>Sweller, J., Ayres, P. and Kalyuga, S. (2011)</w:t>
      </w:r>
      <w:r>
        <w:rPr>
          <w:rFonts w:hint="default" w:asciiTheme="minorAscii" w:hAnsiTheme="minorAscii"/>
          <w:i/>
          <w:iCs/>
        </w:rPr>
        <w:t xml:space="preserve"> Cognitiv</w:t>
      </w:r>
      <w:bookmarkStart w:id="0" w:name="_GoBack"/>
      <w:bookmarkEnd w:id="0"/>
      <w:r>
        <w:rPr>
          <w:rFonts w:hint="default" w:asciiTheme="minorAscii" w:hAnsiTheme="minorAscii"/>
          <w:i/>
          <w:iCs/>
        </w:rPr>
        <w:t>e load theory</w:t>
      </w:r>
      <w:r>
        <w:rPr>
          <w:rFonts w:hint="default" w:asciiTheme="minorAscii" w:hAnsiTheme="minorAscii"/>
          <w:i w:val="0"/>
          <w:iCs w:val="0"/>
        </w:rPr>
        <w:t>. Springer.</w:t>
      </w:r>
    </w:p>
    <w:p w14:paraId="4C245D50">
      <w:pPr>
        <w:numPr>
          <w:ilvl w:val="0"/>
          <w:numId w:val="1"/>
        </w:numPr>
        <w:jc w:val="left"/>
        <w:rPr>
          <w:rFonts w:hint="default" w:asciiTheme="minorAscii" w:hAnsiTheme="minorAscii"/>
          <w:b w:val="0"/>
          <w:bCs w:val="0"/>
          <w:i/>
          <w:iCs/>
        </w:rPr>
      </w:pPr>
      <w:r>
        <w:rPr>
          <w:rFonts w:hint="default" w:asciiTheme="minorAscii" w:hAnsiTheme="minorAscii"/>
          <w:i w:val="0"/>
          <w:iCs w:val="0"/>
        </w:rPr>
        <w:t xml:space="preserve">Willingham, D.T. (2009) </w:t>
      </w:r>
      <w:r>
        <w:rPr>
          <w:rFonts w:hint="default" w:asciiTheme="minorAscii" w:hAnsiTheme="minorAscii"/>
          <w:i/>
          <w:iCs/>
        </w:rPr>
        <w:t>Why don</w:t>
      </w:r>
      <w:r>
        <w:rPr>
          <w:rFonts w:hint="default" w:asciiTheme="minorAscii" w:hAnsiTheme="minorAscii"/>
          <w:i/>
          <w:iCs/>
          <w:lang w:val="en-US" w:eastAsia="zh-CN"/>
        </w:rPr>
        <w:t>’</w:t>
      </w:r>
      <w:r>
        <w:rPr>
          <w:rFonts w:hint="default" w:asciiTheme="minorAscii" w:hAnsiTheme="minorAscii"/>
          <w:i/>
          <w:iCs/>
        </w:rPr>
        <w:t>t students like school? A cognitive scientist answers questions about how the mind works and what it means for the classroom</w:t>
      </w:r>
      <w:r>
        <w:rPr>
          <w:rFonts w:hint="default" w:asciiTheme="minorAscii" w:hAnsiTheme="minorAscii"/>
          <w:i w:val="0"/>
          <w:iCs w:val="0"/>
        </w:rPr>
        <w:t xml:space="preserve">. </w:t>
      </w:r>
      <w:r>
        <w:rPr>
          <w:rFonts w:hint="default" w:asciiTheme="minorAscii" w:hAnsiTheme="minorAscii"/>
          <w:b w:val="0"/>
          <w:bCs w:val="0"/>
          <w:i w:val="0"/>
          <w:iCs w:val="0"/>
        </w:rPr>
        <w:t>Jossey-Bass.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Black">
    <w:panose1 w:val="020B0A04020102020204"/>
    <w:charset w:val="00"/>
    <w:family w:val="swiss"/>
    <w:pitch w:val="default"/>
    <w:sig w:usb0="A00002AF" w:usb1="400078FB" w:usb2="00000000" w:usb3="00000000" w:csb0="6000009F" w:csb1="DFD7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6E48BD1"/>
    <w:multiLevelType w:val="singleLevel"/>
    <w:tmpl w:val="D6E48BD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5AAC3AFB"/>
    <w:rsid w:val="6B6A18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unhideWhenUsed/>
    <w:qFormat/>
    <w:uiPriority w:val="0"/>
    <w:pPr>
      <w:keepNext/>
      <w:keepLines/>
      <w:spacing w:before="340" w:after="330" w:line="578" w:lineRule="auto"/>
      <w:jc w:val="left"/>
      <w:outlineLvl w:val="0"/>
    </w:pPr>
    <w:rPr>
      <w:rFonts w:hint="default" w:ascii="Arial Black" w:hAnsi="Arial Black" w:eastAsia="黑体"/>
      <w:kern w:val="44"/>
      <w:sz w:val="28"/>
      <w:szCs w:val="28"/>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676</Words>
  <Characters>4046</Characters>
  <Lines>0</Lines>
  <Paragraphs>0</Paragraphs>
  <TotalTime>598</TotalTime>
  <ScaleCrop>false</ScaleCrop>
  <LinksUpToDate>false</LinksUpToDate>
  <CharactersWithSpaces>4705</CharactersWithSpaces>
  <Application>WPS Office_12.1.0.24657_F1E327BC-269C-435d-A152-05C5408002CA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2026-01-14T11:23:00Z</dcterms:created>
  <dc:creator>fish in the pool</dc:creator>
  <cp:lastModifiedBy>fish in the pool</cp:lastModifiedBy>
  <dcterms:modified xsi:type="dcterms:W3CDTF">2026-01-15T10:30:53Z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2052-12.1.0.24657</vt:lpwstr>
  </property>
  <property fmtid="{D5CDD505-2E9C-101B-9397-08002B2CF9AE}" pid="3" name="ICV">
    <vt:lpwstr>DC19FEDD41154CEEA5A672BA3E47D479_11</vt:lpwstr>
  </property>
  <property fmtid="{D5CDD505-2E9C-101B-9397-08002B2CF9AE}" pid="4" name="KSOTemplateDocerSaveRecord">
    <vt:lpwstr>eyJoZGlkIjoiZTZhZDUyNTQyNTQxNTM5ZWRmNGQwMDgyYmU3YjIxOTMiLCJ1c2VySWQiOiI4MjI4OTYwOTkifQ==</vt:lpwstr>
  </property>
</Properties>
</file>