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B4616" w14:textId="77777777" w:rsidR="00BD510F" w:rsidRDefault="00BD510F">
      <w:pPr>
        <w:tabs>
          <w:tab w:val="left" w:pos="0"/>
        </w:tabs>
        <w:spacing w:line="480" w:lineRule="auto"/>
        <w:jc w:val="center"/>
        <w:rPr>
          <w:rFonts w:ascii="Times New Roman" w:eastAsia="Times New Roman" w:hAnsi="Times New Roman" w:cs="Times New Roman"/>
          <w:b/>
          <w:sz w:val="24"/>
          <w:szCs w:val="24"/>
        </w:rPr>
      </w:pPr>
    </w:p>
    <w:p w14:paraId="00000001" w14:textId="24E14405" w:rsidR="00A2570B" w:rsidRPr="00BD510F" w:rsidRDefault="00BD510F">
      <w:pPr>
        <w:tabs>
          <w:tab w:val="left" w:pos="0"/>
        </w:tabs>
        <w:spacing w:line="480" w:lineRule="auto"/>
        <w:jc w:val="center"/>
        <w:rPr>
          <w:rFonts w:ascii="Times New Roman" w:eastAsia="Times New Roman" w:hAnsi="Times New Roman" w:cs="Times New Roman"/>
          <w:b/>
          <w:sz w:val="24"/>
          <w:szCs w:val="24"/>
        </w:rPr>
      </w:pPr>
      <w:r w:rsidRPr="00BD510F">
        <w:rPr>
          <w:rFonts w:ascii="Times New Roman" w:eastAsia="Times New Roman" w:hAnsi="Times New Roman" w:cs="Times New Roman"/>
          <w:b/>
          <w:sz w:val="24"/>
          <w:szCs w:val="24"/>
        </w:rPr>
        <w:t>Comment on the significant features of a visual image taken from a medieval book of hours, psalter, bible etc.</w:t>
      </w:r>
    </w:p>
    <w:p w14:paraId="00000002" w14:textId="77777777" w:rsidR="00A2570B" w:rsidRPr="00BD510F" w:rsidRDefault="00A2570B">
      <w:pPr>
        <w:tabs>
          <w:tab w:val="left" w:pos="0"/>
        </w:tabs>
        <w:spacing w:line="240" w:lineRule="auto"/>
        <w:rPr>
          <w:rFonts w:ascii="Times New Roman" w:eastAsia="Times New Roman" w:hAnsi="Times New Roman" w:cs="Times New Roman"/>
          <w:b/>
          <w:sz w:val="24"/>
          <w:szCs w:val="24"/>
        </w:rPr>
      </w:pPr>
    </w:p>
    <w:p w14:paraId="7470927E" w14:textId="77777777" w:rsidR="00BD510F" w:rsidRDefault="00BD510F">
      <w:pPr>
        <w:tabs>
          <w:tab w:val="left" w:pos="0"/>
        </w:tabs>
        <w:spacing w:line="480" w:lineRule="auto"/>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p>
    <w:p w14:paraId="00000003" w14:textId="1DB0DB7E" w:rsidR="00A2570B" w:rsidRPr="00BD510F" w:rsidRDefault="00BD510F">
      <w:pPr>
        <w:tabs>
          <w:tab w:val="left" w:pos="0"/>
        </w:tab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The De Grey Book of Hours (NLW MS 15537C) is a vellum manuscript dating from the mid-15th century. Produced in Flanders, most likely for the de Grey family of Ruthin, it has sixty-seven illustrations accompanying its text, including an image of St George (</w:t>
      </w:r>
      <w:r w:rsidRPr="00BD510F">
        <w:rPr>
          <w:rFonts w:ascii="Times New Roman" w:eastAsia="Times New Roman" w:hAnsi="Times New Roman" w:cs="Times New Roman"/>
          <w:sz w:val="24"/>
          <w:szCs w:val="24"/>
        </w:rPr>
        <w:t>f. 31v). The manuscript measures 8.75x6 inches.</w:t>
      </w:r>
      <w:r w:rsidRPr="00BD510F">
        <w:rPr>
          <w:rFonts w:ascii="Times New Roman" w:eastAsia="Times New Roman" w:hAnsi="Times New Roman" w:cs="Times New Roman"/>
          <w:sz w:val="24"/>
          <w:szCs w:val="24"/>
          <w:vertAlign w:val="superscript"/>
        </w:rPr>
        <w:footnoteReference w:id="1"/>
      </w:r>
    </w:p>
    <w:p w14:paraId="00000004" w14:textId="77777777" w:rsidR="00A2570B" w:rsidRPr="00BD510F" w:rsidRDefault="00A2570B">
      <w:pPr>
        <w:tabs>
          <w:tab w:val="left" w:pos="0"/>
        </w:tabs>
        <w:spacing w:line="480" w:lineRule="auto"/>
        <w:rPr>
          <w:rFonts w:ascii="Times New Roman" w:eastAsia="Times New Roman" w:hAnsi="Times New Roman" w:cs="Times New Roman"/>
          <w:sz w:val="24"/>
          <w:szCs w:val="24"/>
        </w:rPr>
      </w:pPr>
    </w:p>
    <w:p w14:paraId="00000005" w14:textId="77777777" w:rsidR="00A2570B" w:rsidRPr="00BD510F" w:rsidRDefault="00BD510F">
      <w:pPr>
        <w:tabs>
          <w:tab w:val="left" w:pos="0"/>
        </w:tabs>
        <w:spacing w:line="480" w:lineRule="auto"/>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 </w:t>
      </w:r>
      <w:r w:rsidRPr="00BD510F">
        <w:rPr>
          <w:rFonts w:ascii="Times New Roman" w:eastAsia="Times New Roman" w:hAnsi="Times New Roman" w:cs="Times New Roman"/>
          <w:sz w:val="24"/>
          <w:szCs w:val="24"/>
        </w:rPr>
        <w:tab/>
        <w:t xml:space="preserve">The folio’s miniature portrays a mounted knight who, through his associated iconography, is clearly Saint George. He is wearing black </w:t>
      </w:r>
      <w:proofErr w:type="spellStart"/>
      <w:r w:rsidRPr="00BD510F">
        <w:rPr>
          <w:rFonts w:ascii="Times New Roman" w:eastAsia="Times New Roman" w:hAnsi="Times New Roman" w:cs="Times New Roman"/>
          <w:sz w:val="24"/>
          <w:szCs w:val="24"/>
        </w:rPr>
        <w:t>armour</w:t>
      </w:r>
      <w:proofErr w:type="spellEnd"/>
      <w:r w:rsidRPr="00BD510F">
        <w:rPr>
          <w:rFonts w:ascii="Times New Roman" w:eastAsia="Times New Roman" w:hAnsi="Times New Roman" w:cs="Times New Roman"/>
          <w:sz w:val="24"/>
          <w:szCs w:val="24"/>
        </w:rPr>
        <w:t>, golden spurs, and a helmet, from which emerges a halo, making</w:t>
      </w:r>
      <w:r w:rsidRPr="00BD510F">
        <w:rPr>
          <w:rFonts w:ascii="Times New Roman" w:eastAsia="Times New Roman" w:hAnsi="Times New Roman" w:cs="Times New Roman"/>
          <w:sz w:val="24"/>
          <w:szCs w:val="24"/>
        </w:rPr>
        <w:t xml:space="preserve"> his position as a saint clear. His horse is </w:t>
      </w:r>
      <w:proofErr w:type="spellStart"/>
      <w:r w:rsidRPr="00BD510F">
        <w:rPr>
          <w:rFonts w:ascii="Times New Roman" w:eastAsia="Times New Roman" w:hAnsi="Times New Roman" w:cs="Times New Roman"/>
          <w:sz w:val="24"/>
          <w:szCs w:val="24"/>
        </w:rPr>
        <w:t>armoured</w:t>
      </w:r>
      <w:proofErr w:type="spellEnd"/>
      <w:r w:rsidRPr="00BD510F">
        <w:rPr>
          <w:rFonts w:ascii="Times New Roman" w:eastAsia="Times New Roman" w:hAnsi="Times New Roman" w:cs="Times New Roman"/>
          <w:sz w:val="24"/>
          <w:szCs w:val="24"/>
        </w:rPr>
        <w:t xml:space="preserve"> with a gold-decorated blue saddle and similarly gold-decorated bridle, breast collar and barding. The saint carries a spear in his right hand, and protecting his left side is a white shield emblazoned w</w:t>
      </w:r>
      <w:r w:rsidRPr="00BD510F">
        <w:rPr>
          <w:rFonts w:ascii="Times New Roman" w:eastAsia="Times New Roman" w:hAnsi="Times New Roman" w:cs="Times New Roman"/>
          <w:sz w:val="24"/>
          <w:szCs w:val="24"/>
        </w:rPr>
        <w:t>ith a red cross that identifies him as Saint George. To his right kneels a golden-haired princess, identified as such by her crown, dressed in a blue and white gown with red sleeves. She holds a lamb on a leash and her hands are pressed together in prayer.</w:t>
      </w:r>
      <w:r w:rsidRPr="00BD510F">
        <w:rPr>
          <w:rFonts w:ascii="Times New Roman" w:eastAsia="Times New Roman" w:hAnsi="Times New Roman" w:cs="Times New Roman"/>
          <w:sz w:val="24"/>
          <w:szCs w:val="24"/>
        </w:rPr>
        <w:t xml:space="preserve"> A dark-coloured dragon on the bottom right of the image arches its neck upwards, its mouth ready to spit fire or perhaps blood, while its neck is pierced by the saint’s spear. The background is decorated with white flowering trees and bushes; green, rolli</w:t>
      </w:r>
      <w:r w:rsidRPr="00BD510F">
        <w:rPr>
          <w:rFonts w:ascii="Times New Roman" w:eastAsia="Times New Roman" w:hAnsi="Times New Roman" w:cs="Times New Roman"/>
          <w:sz w:val="24"/>
          <w:szCs w:val="24"/>
        </w:rPr>
        <w:t xml:space="preserve">ng hills; and a blue and white castle surrounded by a moat, from </w:t>
      </w:r>
      <w:r w:rsidRPr="00BD510F">
        <w:rPr>
          <w:rFonts w:ascii="Times New Roman" w:eastAsia="Times New Roman" w:hAnsi="Times New Roman" w:cs="Times New Roman"/>
          <w:sz w:val="24"/>
          <w:szCs w:val="24"/>
        </w:rPr>
        <w:lastRenderedPageBreak/>
        <w:t xml:space="preserve">where the king and queen watch the scene unfold. Light and shadow is depicted simplistically and sparingly </w:t>
      </w:r>
      <w:proofErr w:type="gramStart"/>
      <w:r w:rsidRPr="00BD510F">
        <w:rPr>
          <w:rFonts w:ascii="Times New Roman" w:eastAsia="Times New Roman" w:hAnsi="Times New Roman" w:cs="Times New Roman"/>
          <w:sz w:val="24"/>
          <w:szCs w:val="24"/>
        </w:rPr>
        <w:t>through the use of</w:t>
      </w:r>
      <w:proofErr w:type="gramEnd"/>
      <w:r w:rsidRPr="00BD510F">
        <w:rPr>
          <w:rFonts w:ascii="Times New Roman" w:eastAsia="Times New Roman" w:hAnsi="Times New Roman" w:cs="Times New Roman"/>
          <w:sz w:val="24"/>
          <w:szCs w:val="24"/>
        </w:rPr>
        <w:t xml:space="preserve"> paint and parallel hatching.</w:t>
      </w:r>
    </w:p>
    <w:p w14:paraId="00000006" w14:textId="77777777" w:rsidR="00A2570B" w:rsidRPr="00BD510F" w:rsidRDefault="00A2570B">
      <w:pPr>
        <w:tabs>
          <w:tab w:val="left" w:pos="0"/>
        </w:tabs>
        <w:spacing w:line="480" w:lineRule="auto"/>
        <w:rPr>
          <w:rFonts w:ascii="Times New Roman" w:eastAsia="Times New Roman" w:hAnsi="Times New Roman" w:cs="Times New Roman"/>
          <w:sz w:val="24"/>
          <w:szCs w:val="24"/>
        </w:rPr>
      </w:pPr>
    </w:p>
    <w:p w14:paraId="00000007"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The miniature is surrounded by a f</w:t>
      </w:r>
      <w:r w:rsidRPr="00BD510F">
        <w:rPr>
          <w:rFonts w:ascii="Times New Roman" w:eastAsia="Times New Roman" w:hAnsi="Times New Roman" w:cs="Times New Roman"/>
          <w:sz w:val="24"/>
          <w:szCs w:val="24"/>
        </w:rPr>
        <w:t>ull border of red and blue with gold accents, and an intricate foliate border of acanthus motifs in white, blue, red, green, pink and gold, similar to those found in other Flemish manuscripts.</w:t>
      </w:r>
      <w:r w:rsidRPr="00BD510F">
        <w:rPr>
          <w:rFonts w:ascii="Times New Roman" w:eastAsia="Times New Roman" w:hAnsi="Times New Roman" w:cs="Times New Roman"/>
          <w:sz w:val="24"/>
          <w:szCs w:val="24"/>
          <w:vertAlign w:val="superscript"/>
        </w:rPr>
        <w:footnoteReference w:id="2"/>
      </w:r>
      <w:r w:rsidRPr="00BD510F">
        <w:rPr>
          <w:rFonts w:ascii="Times New Roman" w:eastAsia="Times New Roman" w:hAnsi="Times New Roman" w:cs="Times New Roman"/>
          <w:sz w:val="24"/>
          <w:szCs w:val="24"/>
        </w:rPr>
        <w:t xml:space="preserve"> Although the miniature takes up less than 25% of the page, it</w:t>
      </w:r>
      <w:r w:rsidRPr="00BD510F">
        <w:rPr>
          <w:rFonts w:ascii="Times New Roman" w:eastAsia="Times New Roman" w:hAnsi="Times New Roman" w:cs="Times New Roman"/>
          <w:sz w:val="24"/>
          <w:szCs w:val="24"/>
        </w:rPr>
        <w:t xml:space="preserve"> is clearly the focal point, and is the accompanying illustration of the hymn to St George on the page opposite (f. 32r). </w:t>
      </w:r>
    </w:p>
    <w:p w14:paraId="00000008"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 xml:space="preserve">The image serves multiple purposes in the Book of Hours. </w:t>
      </w:r>
      <w:proofErr w:type="gramStart"/>
      <w:r w:rsidRPr="00BD510F">
        <w:rPr>
          <w:rFonts w:ascii="Times New Roman" w:eastAsia="Times New Roman" w:hAnsi="Times New Roman" w:cs="Times New Roman"/>
          <w:sz w:val="24"/>
          <w:szCs w:val="24"/>
        </w:rPr>
        <w:t>At a glance</w:t>
      </w:r>
      <w:proofErr w:type="gramEnd"/>
      <w:r w:rsidRPr="00BD510F">
        <w:rPr>
          <w:rFonts w:ascii="Times New Roman" w:eastAsia="Times New Roman" w:hAnsi="Times New Roman" w:cs="Times New Roman"/>
          <w:sz w:val="24"/>
          <w:szCs w:val="24"/>
        </w:rPr>
        <w:t>, it is an accompaniment to the story on f. 32r of St George and</w:t>
      </w:r>
      <w:r w:rsidRPr="00BD510F">
        <w:rPr>
          <w:rFonts w:ascii="Times New Roman" w:eastAsia="Times New Roman" w:hAnsi="Times New Roman" w:cs="Times New Roman"/>
          <w:sz w:val="24"/>
          <w:szCs w:val="24"/>
        </w:rPr>
        <w:t xml:space="preserve"> the dragon. English ideas of St George were greatly influenced by the popular book, The Golden Legend, composed by the Dominican Archbishop of Genoa, Jacobus de Voragine in the mid-13th century.</w:t>
      </w:r>
      <w:r w:rsidRPr="00BD510F">
        <w:rPr>
          <w:rFonts w:ascii="Times New Roman" w:eastAsia="Times New Roman" w:hAnsi="Times New Roman" w:cs="Times New Roman"/>
          <w:sz w:val="24"/>
          <w:szCs w:val="24"/>
          <w:vertAlign w:val="superscript"/>
        </w:rPr>
        <w:footnoteReference w:id="3"/>
      </w:r>
      <w:r w:rsidRPr="00BD510F">
        <w:rPr>
          <w:rFonts w:ascii="Times New Roman" w:eastAsia="Times New Roman" w:hAnsi="Times New Roman" w:cs="Times New Roman"/>
          <w:sz w:val="24"/>
          <w:szCs w:val="24"/>
        </w:rPr>
        <w:t xml:space="preserve"> The book describes Saint George saving the people of Silen</w:t>
      </w:r>
      <w:r w:rsidRPr="00BD510F">
        <w:rPr>
          <w:rFonts w:ascii="Times New Roman" w:eastAsia="Times New Roman" w:hAnsi="Times New Roman" w:cs="Times New Roman"/>
          <w:sz w:val="24"/>
          <w:szCs w:val="24"/>
        </w:rPr>
        <w:t>e from a dragon, which has forced them to offer their children, alongside a sheep, as a sacrifice. In return for George’s slaying of the dragon, the citizens agree to be baptized.</w:t>
      </w:r>
      <w:r w:rsidRPr="00BD510F">
        <w:rPr>
          <w:rFonts w:ascii="Times New Roman" w:eastAsia="Times New Roman" w:hAnsi="Times New Roman" w:cs="Times New Roman"/>
          <w:sz w:val="24"/>
          <w:szCs w:val="24"/>
          <w:vertAlign w:val="superscript"/>
        </w:rPr>
        <w:footnoteReference w:id="4"/>
      </w:r>
      <w:r w:rsidRPr="00BD510F">
        <w:rPr>
          <w:rFonts w:ascii="Times New Roman" w:eastAsia="Times New Roman" w:hAnsi="Times New Roman" w:cs="Times New Roman"/>
          <w:sz w:val="24"/>
          <w:szCs w:val="24"/>
        </w:rPr>
        <w:t xml:space="preserve"> The image is clearly intended to illustrate this story and therefore acts </w:t>
      </w:r>
      <w:r w:rsidRPr="00BD510F">
        <w:rPr>
          <w:rFonts w:ascii="Times New Roman" w:eastAsia="Times New Roman" w:hAnsi="Times New Roman" w:cs="Times New Roman"/>
          <w:sz w:val="24"/>
          <w:szCs w:val="24"/>
        </w:rPr>
        <w:t>not only as a device for recalling the story but also a prompt to aid the reader in sections of the text with which they may struggle.</w:t>
      </w:r>
    </w:p>
    <w:p w14:paraId="00000009"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 xml:space="preserve">It is evident that the image also has a more allegorical meaning. Since the Book of Hours made religion more accessible </w:t>
      </w:r>
      <w:r w:rsidRPr="00BD510F">
        <w:rPr>
          <w:rFonts w:ascii="Times New Roman" w:eastAsia="Times New Roman" w:hAnsi="Times New Roman" w:cs="Times New Roman"/>
          <w:sz w:val="24"/>
          <w:szCs w:val="24"/>
        </w:rPr>
        <w:t>to the laity, especially women,</w:t>
      </w:r>
      <w:r w:rsidRPr="00BD510F">
        <w:rPr>
          <w:rFonts w:ascii="Times New Roman" w:eastAsia="Times New Roman" w:hAnsi="Times New Roman" w:cs="Times New Roman"/>
          <w:sz w:val="24"/>
          <w:szCs w:val="24"/>
          <w:vertAlign w:val="superscript"/>
        </w:rPr>
        <w:footnoteReference w:id="5"/>
      </w:r>
      <w:r w:rsidRPr="00BD510F">
        <w:rPr>
          <w:rFonts w:ascii="Times New Roman" w:eastAsia="Times New Roman" w:hAnsi="Times New Roman" w:cs="Times New Roman"/>
          <w:sz w:val="24"/>
          <w:szCs w:val="24"/>
        </w:rPr>
        <w:t xml:space="preserve"> it became a device through which </w:t>
      </w:r>
      <w:r w:rsidRPr="00BD510F">
        <w:rPr>
          <w:rFonts w:ascii="Times New Roman" w:eastAsia="Times New Roman" w:hAnsi="Times New Roman" w:cs="Times New Roman"/>
          <w:sz w:val="24"/>
          <w:szCs w:val="24"/>
        </w:rPr>
        <w:lastRenderedPageBreak/>
        <w:t>children were introduced to reading and to prayer.</w:t>
      </w:r>
      <w:r w:rsidRPr="00BD510F">
        <w:rPr>
          <w:rFonts w:ascii="Times New Roman" w:eastAsia="Times New Roman" w:hAnsi="Times New Roman" w:cs="Times New Roman"/>
          <w:sz w:val="24"/>
          <w:szCs w:val="24"/>
          <w:vertAlign w:val="superscript"/>
        </w:rPr>
        <w:footnoteReference w:id="6"/>
      </w:r>
      <w:r w:rsidRPr="00BD510F">
        <w:rPr>
          <w:rFonts w:ascii="Times New Roman" w:eastAsia="Times New Roman" w:hAnsi="Times New Roman" w:cs="Times New Roman"/>
          <w:sz w:val="24"/>
          <w:szCs w:val="24"/>
        </w:rPr>
        <w:t xml:space="preserve"> This ideal of the pious mother teaching her son to read was reinforced in the 15th century by the recurrent image of Virgin Mary with th</w:t>
      </w:r>
      <w:r w:rsidRPr="00BD510F">
        <w:rPr>
          <w:rFonts w:ascii="Times New Roman" w:eastAsia="Times New Roman" w:hAnsi="Times New Roman" w:cs="Times New Roman"/>
          <w:sz w:val="24"/>
          <w:szCs w:val="24"/>
        </w:rPr>
        <w:t>e Child Jesus and a Book of Hours.</w:t>
      </w:r>
      <w:r w:rsidRPr="00BD510F">
        <w:rPr>
          <w:rFonts w:ascii="Times New Roman" w:eastAsia="Times New Roman" w:hAnsi="Times New Roman" w:cs="Times New Roman"/>
          <w:sz w:val="24"/>
          <w:szCs w:val="24"/>
          <w:vertAlign w:val="superscript"/>
        </w:rPr>
        <w:footnoteReference w:id="7"/>
      </w:r>
      <w:r w:rsidRPr="00BD510F">
        <w:rPr>
          <w:rFonts w:ascii="Times New Roman" w:eastAsia="Times New Roman" w:hAnsi="Times New Roman" w:cs="Times New Roman"/>
          <w:sz w:val="24"/>
          <w:szCs w:val="24"/>
        </w:rPr>
        <w:t xml:space="preserve">  The illuminations in Books of Hours were no doubt a focal point for children and likely to encourage discussion, just as illustrations in books today, and therefore Saint George is depicted in such a way not simply to </w:t>
      </w:r>
      <w:r w:rsidRPr="00BD510F">
        <w:rPr>
          <w:rFonts w:ascii="Times New Roman" w:eastAsia="Times New Roman" w:hAnsi="Times New Roman" w:cs="Times New Roman"/>
          <w:sz w:val="24"/>
          <w:szCs w:val="24"/>
        </w:rPr>
        <w:t xml:space="preserve">remind the viewer of the story but to serve a further religious lesson. </w:t>
      </w:r>
    </w:p>
    <w:p w14:paraId="0000000A"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St George developed over time to become a patron saint of crusading and chivalry</w:t>
      </w:r>
      <w:r w:rsidRPr="00BD510F">
        <w:rPr>
          <w:rFonts w:ascii="Times New Roman" w:eastAsia="Times New Roman" w:hAnsi="Times New Roman" w:cs="Times New Roman"/>
          <w:sz w:val="24"/>
          <w:szCs w:val="24"/>
          <w:vertAlign w:val="superscript"/>
        </w:rPr>
        <w:footnoteReference w:id="8"/>
      </w:r>
      <w:r w:rsidRPr="00BD510F">
        <w:rPr>
          <w:rFonts w:ascii="Times New Roman" w:eastAsia="Times New Roman" w:hAnsi="Times New Roman" w:cs="Times New Roman"/>
          <w:sz w:val="24"/>
          <w:szCs w:val="24"/>
        </w:rPr>
        <w:t xml:space="preserve"> and is here clearly depicted in a way meant to evoke this. He is the ideal Christian that the viewe</w:t>
      </w:r>
      <w:r w:rsidRPr="00BD510F">
        <w:rPr>
          <w:rFonts w:ascii="Times New Roman" w:eastAsia="Times New Roman" w:hAnsi="Times New Roman" w:cs="Times New Roman"/>
          <w:sz w:val="24"/>
          <w:szCs w:val="24"/>
        </w:rPr>
        <w:t xml:space="preserve">r should aspire to emulate, defending Christendom against evils that are here represented by the dragon. If this Book of Hours was used to teach young sons to read, </w:t>
      </w:r>
      <w:proofErr w:type="gramStart"/>
      <w:r w:rsidRPr="00BD510F">
        <w:rPr>
          <w:rFonts w:ascii="Times New Roman" w:eastAsia="Times New Roman" w:hAnsi="Times New Roman" w:cs="Times New Roman"/>
          <w:sz w:val="24"/>
          <w:szCs w:val="24"/>
        </w:rPr>
        <w:t>it is clear that they</w:t>
      </w:r>
      <w:proofErr w:type="gramEnd"/>
      <w:r w:rsidRPr="00BD510F">
        <w:rPr>
          <w:rFonts w:ascii="Times New Roman" w:eastAsia="Times New Roman" w:hAnsi="Times New Roman" w:cs="Times New Roman"/>
          <w:sz w:val="24"/>
          <w:szCs w:val="24"/>
        </w:rPr>
        <w:t xml:space="preserve"> should aim to follow the metaphorical example of Saint George. Simila</w:t>
      </w:r>
      <w:r w:rsidRPr="00BD510F">
        <w:rPr>
          <w:rFonts w:ascii="Times New Roman" w:eastAsia="Times New Roman" w:hAnsi="Times New Roman" w:cs="Times New Roman"/>
          <w:sz w:val="24"/>
          <w:szCs w:val="24"/>
        </w:rPr>
        <w:t>rly, the princess has a central position in the miniature and is large enough to draw the eye as much as the saint himself. For women and girls, she provides an allegorical lesson in piety as she accepts her role as the sacrifice for a greater good, alongs</w:t>
      </w:r>
      <w:r w:rsidRPr="00BD510F">
        <w:rPr>
          <w:rFonts w:ascii="Times New Roman" w:eastAsia="Times New Roman" w:hAnsi="Times New Roman" w:cs="Times New Roman"/>
          <w:sz w:val="24"/>
          <w:szCs w:val="24"/>
        </w:rPr>
        <w:t>ide a lamb that symbolises the sacrifice of Jesus. The message of the image is clear: the only way for the reader, and especially children, to symbolically slay the dragon is to lead a good Christian life. Therefore, not only does the image serve to remind</w:t>
      </w:r>
      <w:r w:rsidRPr="00BD510F">
        <w:rPr>
          <w:rFonts w:ascii="Times New Roman" w:eastAsia="Times New Roman" w:hAnsi="Times New Roman" w:cs="Times New Roman"/>
          <w:sz w:val="24"/>
          <w:szCs w:val="24"/>
        </w:rPr>
        <w:t xml:space="preserve"> the reader of this </w:t>
      </w:r>
      <w:proofErr w:type="gramStart"/>
      <w:r w:rsidRPr="00BD510F">
        <w:rPr>
          <w:rFonts w:ascii="Times New Roman" w:eastAsia="Times New Roman" w:hAnsi="Times New Roman" w:cs="Times New Roman"/>
          <w:sz w:val="24"/>
          <w:szCs w:val="24"/>
        </w:rPr>
        <w:t>particular story</w:t>
      </w:r>
      <w:proofErr w:type="gramEnd"/>
      <w:r w:rsidRPr="00BD510F">
        <w:rPr>
          <w:rFonts w:ascii="Times New Roman" w:eastAsia="Times New Roman" w:hAnsi="Times New Roman" w:cs="Times New Roman"/>
          <w:sz w:val="24"/>
          <w:szCs w:val="24"/>
        </w:rPr>
        <w:t xml:space="preserve"> of a saint, but to exemplify and remind them of Christian ideals and values. Similarly, St George was, by this time, a symbol of England and successful English kingship</w:t>
      </w:r>
      <w:r w:rsidRPr="00BD510F">
        <w:rPr>
          <w:rFonts w:ascii="Times New Roman" w:eastAsia="Times New Roman" w:hAnsi="Times New Roman" w:cs="Times New Roman"/>
          <w:sz w:val="24"/>
          <w:szCs w:val="24"/>
          <w:vertAlign w:val="superscript"/>
        </w:rPr>
        <w:footnoteReference w:id="9"/>
      </w:r>
      <w:r w:rsidRPr="00BD510F">
        <w:rPr>
          <w:rFonts w:ascii="Times New Roman" w:eastAsia="Times New Roman" w:hAnsi="Times New Roman" w:cs="Times New Roman"/>
          <w:sz w:val="24"/>
          <w:szCs w:val="24"/>
        </w:rPr>
        <w:t xml:space="preserve"> and there is undoubtedly a patriotic element to </w:t>
      </w:r>
      <w:r w:rsidRPr="00BD510F">
        <w:rPr>
          <w:rFonts w:ascii="Times New Roman" w:eastAsia="Times New Roman" w:hAnsi="Times New Roman" w:cs="Times New Roman"/>
          <w:sz w:val="24"/>
          <w:szCs w:val="24"/>
        </w:rPr>
        <w:t xml:space="preserve">the image. The book seems to have been made for the de Greys of Ruthin </w:t>
      </w:r>
      <w:r w:rsidRPr="00BD510F">
        <w:rPr>
          <w:rFonts w:ascii="Times New Roman" w:eastAsia="Times New Roman" w:hAnsi="Times New Roman" w:cs="Times New Roman"/>
          <w:sz w:val="24"/>
          <w:szCs w:val="24"/>
        </w:rPr>
        <w:lastRenderedPageBreak/>
        <w:t>and the imagery of the dragon as an emblem of Wales</w:t>
      </w:r>
      <w:r w:rsidRPr="00BD510F">
        <w:rPr>
          <w:rFonts w:ascii="Times New Roman" w:eastAsia="Times New Roman" w:hAnsi="Times New Roman" w:cs="Times New Roman"/>
          <w:sz w:val="24"/>
          <w:szCs w:val="24"/>
          <w:vertAlign w:val="superscript"/>
        </w:rPr>
        <w:footnoteReference w:id="10"/>
      </w:r>
      <w:r w:rsidRPr="00BD510F">
        <w:rPr>
          <w:rFonts w:ascii="Times New Roman" w:eastAsia="Times New Roman" w:hAnsi="Times New Roman" w:cs="Times New Roman"/>
          <w:sz w:val="24"/>
          <w:szCs w:val="24"/>
        </w:rPr>
        <w:t xml:space="preserve"> being downtrodden by a symbol of England would not have been lost on them. </w:t>
      </w:r>
    </w:p>
    <w:p w14:paraId="0000000B"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Much can also be said about the frame. In the fifteent</w:t>
      </w:r>
      <w:r w:rsidRPr="00BD510F">
        <w:rPr>
          <w:rFonts w:ascii="Times New Roman" w:eastAsia="Times New Roman" w:hAnsi="Times New Roman" w:cs="Times New Roman"/>
          <w:sz w:val="24"/>
          <w:szCs w:val="24"/>
        </w:rPr>
        <w:t>h century borders in Books of Hours became more prominent, with those from France and Flanders being characterised by the detailed foliate borders which take up considerably more space on the page than the miniature itself.</w:t>
      </w:r>
      <w:r w:rsidRPr="00BD510F">
        <w:rPr>
          <w:rFonts w:ascii="Times New Roman" w:eastAsia="Times New Roman" w:hAnsi="Times New Roman" w:cs="Times New Roman"/>
          <w:sz w:val="24"/>
          <w:szCs w:val="24"/>
          <w:vertAlign w:val="superscript"/>
        </w:rPr>
        <w:footnoteReference w:id="11"/>
      </w:r>
      <w:r w:rsidRPr="00BD510F">
        <w:rPr>
          <w:rFonts w:ascii="Times New Roman" w:eastAsia="Times New Roman" w:hAnsi="Times New Roman" w:cs="Times New Roman"/>
          <w:sz w:val="24"/>
          <w:szCs w:val="24"/>
        </w:rPr>
        <w:t xml:space="preserve"> These borders developed specif</w:t>
      </w:r>
      <w:r w:rsidRPr="00BD510F">
        <w:rPr>
          <w:rFonts w:ascii="Times New Roman" w:eastAsia="Times New Roman" w:hAnsi="Times New Roman" w:cs="Times New Roman"/>
          <w:sz w:val="24"/>
          <w:szCs w:val="24"/>
        </w:rPr>
        <w:t>ically in and for illuminated manuscripts, unlike miniatures which are normally not specific to illuminated manuscripts and can be seen as downsized panel paintings.</w:t>
      </w:r>
      <w:r w:rsidRPr="00BD510F">
        <w:rPr>
          <w:rFonts w:ascii="Times New Roman" w:eastAsia="Times New Roman" w:hAnsi="Times New Roman" w:cs="Times New Roman"/>
          <w:sz w:val="24"/>
          <w:szCs w:val="24"/>
          <w:vertAlign w:val="superscript"/>
        </w:rPr>
        <w:footnoteReference w:id="12"/>
      </w:r>
      <w:r w:rsidRPr="00BD510F">
        <w:rPr>
          <w:rFonts w:ascii="Times New Roman" w:eastAsia="Times New Roman" w:hAnsi="Times New Roman" w:cs="Times New Roman"/>
          <w:sz w:val="24"/>
          <w:szCs w:val="24"/>
        </w:rPr>
        <w:t xml:space="preserve">  Borders served many functions, such a simple embellishment or providing additional narr</w:t>
      </w:r>
      <w:r w:rsidRPr="00BD510F">
        <w:rPr>
          <w:rFonts w:ascii="Times New Roman" w:eastAsia="Times New Roman" w:hAnsi="Times New Roman" w:cs="Times New Roman"/>
          <w:sz w:val="24"/>
          <w:szCs w:val="24"/>
        </w:rPr>
        <w:t>ative information.</w:t>
      </w:r>
      <w:r w:rsidRPr="00BD510F">
        <w:rPr>
          <w:rFonts w:ascii="Times New Roman" w:eastAsia="Times New Roman" w:hAnsi="Times New Roman" w:cs="Times New Roman"/>
          <w:sz w:val="24"/>
          <w:szCs w:val="24"/>
          <w:vertAlign w:val="superscript"/>
        </w:rPr>
        <w:footnoteReference w:id="13"/>
      </w:r>
      <w:r w:rsidRPr="00BD510F">
        <w:rPr>
          <w:rFonts w:ascii="Times New Roman" w:eastAsia="Times New Roman" w:hAnsi="Times New Roman" w:cs="Times New Roman"/>
          <w:sz w:val="24"/>
          <w:szCs w:val="24"/>
        </w:rPr>
        <w:t xml:space="preserve"> In this example, the foliate border, although much simpler and cruder, has similarities with work by Willem Vrelant. This foliate border extends to the opposite page and helps reinforce the narrative continuity between the miniature and the text it illust</w:t>
      </w:r>
      <w:r w:rsidRPr="00BD510F">
        <w:rPr>
          <w:rFonts w:ascii="Times New Roman" w:eastAsia="Times New Roman" w:hAnsi="Times New Roman" w:cs="Times New Roman"/>
          <w:sz w:val="24"/>
          <w:szCs w:val="24"/>
        </w:rPr>
        <w:t>rates. The detailed decoration of the border also no doubt portrays an element of wealth and prestige. Produced in their thousands, Books of Hours varied in decoration, originality, and quality depending on the budget of the patron, from extensively and in</w:t>
      </w:r>
      <w:r w:rsidRPr="00BD510F">
        <w:rPr>
          <w:rFonts w:ascii="Times New Roman" w:eastAsia="Times New Roman" w:hAnsi="Times New Roman" w:cs="Times New Roman"/>
          <w:sz w:val="24"/>
          <w:szCs w:val="24"/>
        </w:rPr>
        <w:t>tricately illuminated manuscripts to modestly written volumes with scant decoration.</w:t>
      </w:r>
      <w:r w:rsidRPr="00BD510F">
        <w:rPr>
          <w:rFonts w:ascii="Times New Roman" w:eastAsia="Times New Roman" w:hAnsi="Times New Roman" w:cs="Times New Roman"/>
          <w:sz w:val="24"/>
          <w:szCs w:val="24"/>
          <w:vertAlign w:val="superscript"/>
        </w:rPr>
        <w:footnoteReference w:id="14"/>
      </w:r>
      <w:r w:rsidRPr="00BD510F">
        <w:rPr>
          <w:rFonts w:ascii="Times New Roman" w:eastAsia="Times New Roman" w:hAnsi="Times New Roman" w:cs="Times New Roman"/>
          <w:sz w:val="24"/>
          <w:szCs w:val="24"/>
        </w:rPr>
        <w:t xml:space="preserve"> Therefore, the elaborate border, alongside the detailed miniature and use of gold, suggests a more prestigious patron.</w:t>
      </w:r>
    </w:p>
    <w:p w14:paraId="0000000C"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 xml:space="preserve">Comparison with similar sources can also reveal more about this </w:t>
      </w:r>
      <w:proofErr w:type="gramStart"/>
      <w:r w:rsidRPr="00BD510F">
        <w:rPr>
          <w:rFonts w:ascii="Times New Roman" w:eastAsia="Times New Roman" w:hAnsi="Times New Roman" w:cs="Times New Roman"/>
          <w:sz w:val="24"/>
          <w:szCs w:val="24"/>
        </w:rPr>
        <w:t>particular folio</w:t>
      </w:r>
      <w:proofErr w:type="gramEnd"/>
      <w:r w:rsidRPr="00BD510F">
        <w:rPr>
          <w:rFonts w:ascii="Times New Roman" w:eastAsia="Times New Roman" w:hAnsi="Times New Roman" w:cs="Times New Roman"/>
          <w:sz w:val="24"/>
          <w:szCs w:val="24"/>
        </w:rPr>
        <w:t>. By the end of the 15th century, the market was domina</w:t>
      </w:r>
      <w:r w:rsidRPr="00BD510F">
        <w:rPr>
          <w:rFonts w:ascii="Times New Roman" w:eastAsia="Times New Roman" w:hAnsi="Times New Roman" w:cs="Times New Roman"/>
          <w:sz w:val="24"/>
          <w:szCs w:val="24"/>
        </w:rPr>
        <w:t xml:space="preserve">ted by Flemish workshops who produced in mass </w:t>
      </w:r>
      <w:r w:rsidRPr="00BD510F">
        <w:rPr>
          <w:rFonts w:ascii="Times New Roman" w:eastAsia="Times New Roman" w:hAnsi="Times New Roman" w:cs="Times New Roman"/>
          <w:sz w:val="24"/>
          <w:szCs w:val="24"/>
        </w:rPr>
        <w:lastRenderedPageBreak/>
        <w:t>a considerable number of books for the English market</w:t>
      </w:r>
      <w:r w:rsidRPr="00BD510F">
        <w:rPr>
          <w:rFonts w:ascii="Times New Roman" w:eastAsia="Times New Roman" w:hAnsi="Times New Roman" w:cs="Times New Roman"/>
          <w:sz w:val="24"/>
          <w:szCs w:val="24"/>
          <w:vertAlign w:val="superscript"/>
        </w:rPr>
        <w:footnoteReference w:id="15"/>
      </w:r>
      <w:r w:rsidRPr="00BD510F">
        <w:rPr>
          <w:rFonts w:ascii="Times New Roman" w:eastAsia="Times New Roman" w:hAnsi="Times New Roman" w:cs="Times New Roman"/>
          <w:sz w:val="24"/>
          <w:szCs w:val="24"/>
        </w:rPr>
        <w:t xml:space="preserve"> which would then be customised by their owners.</w:t>
      </w:r>
      <w:r w:rsidRPr="00BD510F">
        <w:rPr>
          <w:rFonts w:ascii="Times New Roman" w:eastAsia="Times New Roman" w:hAnsi="Times New Roman" w:cs="Times New Roman"/>
          <w:sz w:val="24"/>
          <w:szCs w:val="24"/>
          <w:vertAlign w:val="superscript"/>
        </w:rPr>
        <w:footnoteReference w:id="16"/>
      </w:r>
      <w:r w:rsidRPr="00BD510F">
        <w:rPr>
          <w:rFonts w:ascii="Times New Roman" w:eastAsia="Times New Roman" w:hAnsi="Times New Roman" w:cs="Times New Roman"/>
          <w:sz w:val="24"/>
          <w:szCs w:val="24"/>
        </w:rPr>
        <w:t xml:space="preserve"> The presence of St George in the de Grey Hours, as well as Thomas Becket (f 28.v) suggest a desire of th</w:t>
      </w:r>
      <w:r w:rsidRPr="00BD510F">
        <w:rPr>
          <w:rFonts w:ascii="Times New Roman" w:eastAsia="Times New Roman" w:hAnsi="Times New Roman" w:cs="Times New Roman"/>
          <w:sz w:val="24"/>
          <w:szCs w:val="24"/>
        </w:rPr>
        <w:t>e bookmaker to appeal to such a market. Because of this mass production, many Books of Hours feature similar miniatures and it seems that pattern books</w:t>
      </w:r>
      <w:r w:rsidRPr="00BD510F">
        <w:rPr>
          <w:rFonts w:ascii="Times New Roman" w:eastAsia="Times New Roman" w:hAnsi="Times New Roman" w:cs="Times New Roman"/>
          <w:sz w:val="24"/>
          <w:szCs w:val="24"/>
          <w:vertAlign w:val="superscript"/>
        </w:rPr>
        <w:footnoteReference w:id="17"/>
      </w:r>
      <w:r w:rsidRPr="00BD510F">
        <w:rPr>
          <w:rFonts w:ascii="Times New Roman" w:eastAsia="Times New Roman" w:hAnsi="Times New Roman" w:cs="Times New Roman"/>
          <w:sz w:val="24"/>
          <w:szCs w:val="24"/>
        </w:rPr>
        <w:t xml:space="preserve"> and tracing paper</w:t>
      </w:r>
      <w:r w:rsidRPr="00BD510F">
        <w:rPr>
          <w:rFonts w:ascii="Times New Roman" w:eastAsia="Times New Roman" w:hAnsi="Times New Roman" w:cs="Times New Roman"/>
          <w:sz w:val="24"/>
          <w:szCs w:val="24"/>
          <w:vertAlign w:val="superscript"/>
        </w:rPr>
        <w:footnoteReference w:id="18"/>
      </w:r>
      <w:r w:rsidRPr="00BD510F">
        <w:rPr>
          <w:rFonts w:ascii="Times New Roman" w:eastAsia="Times New Roman" w:hAnsi="Times New Roman" w:cs="Times New Roman"/>
          <w:sz w:val="24"/>
          <w:szCs w:val="24"/>
        </w:rPr>
        <w:t xml:space="preserve"> were used to create this huge and repetitive corpus of work. </w:t>
      </w:r>
      <w:proofErr w:type="gramStart"/>
      <w:r w:rsidRPr="00BD510F">
        <w:rPr>
          <w:rFonts w:ascii="Times New Roman" w:eastAsia="Times New Roman" w:hAnsi="Times New Roman" w:cs="Times New Roman"/>
          <w:sz w:val="24"/>
          <w:szCs w:val="24"/>
        </w:rPr>
        <w:t>In order to</w:t>
      </w:r>
      <w:proofErr w:type="gramEnd"/>
      <w:r w:rsidRPr="00BD510F">
        <w:rPr>
          <w:rFonts w:ascii="Times New Roman" w:eastAsia="Times New Roman" w:hAnsi="Times New Roman" w:cs="Times New Roman"/>
          <w:sz w:val="24"/>
          <w:szCs w:val="24"/>
        </w:rPr>
        <w:t xml:space="preserve"> meet incr</w:t>
      </w:r>
      <w:r w:rsidRPr="00BD510F">
        <w:rPr>
          <w:rFonts w:ascii="Times New Roman" w:eastAsia="Times New Roman" w:hAnsi="Times New Roman" w:cs="Times New Roman"/>
          <w:sz w:val="24"/>
          <w:szCs w:val="24"/>
        </w:rPr>
        <w:t>eased demand, mass duplication of miniatures was a necessity.</w:t>
      </w:r>
      <w:r w:rsidRPr="00BD510F">
        <w:rPr>
          <w:rFonts w:ascii="Times New Roman" w:eastAsia="Times New Roman" w:hAnsi="Times New Roman" w:cs="Times New Roman"/>
          <w:sz w:val="24"/>
          <w:szCs w:val="24"/>
          <w:vertAlign w:val="superscript"/>
        </w:rPr>
        <w:footnoteReference w:id="19"/>
      </w:r>
      <w:r w:rsidRPr="00BD510F">
        <w:rPr>
          <w:rFonts w:ascii="Times New Roman" w:eastAsia="Times New Roman" w:hAnsi="Times New Roman" w:cs="Times New Roman"/>
          <w:sz w:val="24"/>
          <w:szCs w:val="24"/>
        </w:rPr>
        <w:t xml:space="preserve"> This particular composition of Saint George and the dragon can be found in various other manuscripts and paintings</w:t>
      </w:r>
      <w:r w:rsidRPr="00BD510F">
        <w:rPr>
          <w:rFonts w:ascii="Times New Roman" w:eastAsia="Times New Roman" w:hAnsi="Times New Roman" w:cs="Times New Roman"/>
          <w:sz w:val="24"/>
          <w:szCs w:val="24"/>
          <w:vertAlign w:val="superscript"/>
        </w:rPr>
        <w:footnoteReference w:id="20"/>
      </w:r>
      <w:r w:rsidRPr="00BD510F">
        <w:rPr>
          <w:rFonts w:ascii="Times New Roman" w:eastAsia="Times New Roman" w:hAnsi="Times New Roman" w:cs="Times New Roman"/>
          <w:sz w:val="24"/>
          <w:szCs w:val="24"/>
        </w:rPr>
        <w:t xml:space="preserve">. One such example is a painting attributed to Rogier van der Weyden in the </w:t>
      </w:r>
      <w:r w:rsidRPr="00BD510F">
        <w:rPr>
          <w:rFonts w:ascii="Times New Roman" w:eastAsia="Times New Roman" w:hAnsi="Times New Roman" w:cs="Times New Roman"/>
          <w:sz w:val="24"/>
          <w:szCs w:val="24"/>
        </w:rPr>
        <w:t>1430s</w:t>
      </w:r>
      <w:r w:rsidRPr="00BD510F">
        <w:rPr>
          <w:rFonts w:ascii="Times New Roman" w:eastAsia="Times New Roman" w:hAnsi="Times New Roman" w:cs="Times New Roman"/>
          <w:sz w:val="24"/>
          <w:szCs w:val="24"/>
          <w:vertAlign w:val="superscript"/>
        </w:rPr>
        <w:footnoteReference w:id="21"/>
      </w:r>
      <w:r w:rsidRPr="00BD510F">
        <w:rPr>
          <w:rFonts w:ascii="Times New Roman" w:eastAsia="Times New Roman" w:hAnsi="Times New Roman" w:cs="Times New Roman"/>
          <w:sz w:val="24"/>
          <w:szCs w:val="24"/>
        </w:rPr>
        <w:t xml:space="preserve"> as well as a similar image in the Hours of Anne of Cleves.</w:t>
      </w:r>
    </w:p>
    <w:p w14:paraId="0000000D"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In terms of Books of Hours, very similar, albeit mirrored, is the miniature of St George and the dragon from the John Browne Hours.</w:t>
      </w:r>
      <w:r w:rsidRPr="00BD510F">
        <w:rPr>
          <w:rFonts w:ascii="Times New Roman" w:eastAsia="Times New Roman" w:hAnsi="Times New Roman" w:cs="Times New Roman"/>
          <w:sz w:val="24"/>
          <w:szCs w:val="24"/>
          <w:vertAlign w:val="superscript"/>
        </w:rPr>
        <w:footnoteReference w:id="22"/>
      </w:r>
      <w:r w:rsidRPr="00BD510F">
        <w:rPr>
          <w:rFonts w:ascii="Times New Roman" w:eastAsia="Times New Roman" w:hAnsi="Times New Roman" w:cs="Times New Roman"/>
          <w:sz w:val="24"/>
          <w:szCs w:val="24"/>
        </w:rPr>
        <w:t xml:space="preserve"> This manuscript is of a very similar style and size to</w:t>
      </w:r>
      <w:r w:rsidRPr="00BD510F">
        <w:rPr>
          <w:rFonts w:ascii="Times New Roman" w:eastAsia="Times New Roman" w:hAnsi="Times New Roman" w:cs="Times New Roman"/>
          <w:sz w:val="24"/>
          <w:szCs w:val="24"/>
        </w:rPr>
        <w:t xml:space="preserve"> the de Grey hours, suggesting it may have been created in the same workshop at the same time. The miniature from the John Browne hours is more detailed than the de Grey hours miniature: the dragon’s scales and folds of the princesses’ dress are rendered i</w:t>
      </w:r>
      <w:r w:rsidRPr="00BD510F">
        <w:rPr>
          <w:rFonts w:ascii="Times New Roman" w:eastAsia="Times New Roman" w:hAnsi="Times New Roman" w:cs="Times New Roman"/>
          <w:sz w:val="24"/>
          <w:szCs w:val="24"/>
        </w:rPr>
        <w:t>n detail, and decoration and shadow is added with both cross-hatching and parallel hatching. The foliate border is also more finely drawn, making it easier to distinguish different types of flowers, such what appear to be thistles, daisies, and strawberrie</w:t>
      </w:r>
      <w:r w:rsidRPr="00BD510F">
        <w:rPr>
          <w:rFonts w:ascii="Times New Roman" w:eastAsia="Times New Roman" w:hAnsi="Times New Roman" w:cs="Times New Roman"/>
          <w:sz w:val="24"/>
          <w:szCs w:val="24"/>
        </w:rPr>
        <w:t>s.</w:t>
      </w:r>
    </w:p>
    <w:p w14:paraId="0000000E"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lastRenderedPageBreak/>
        <w:tab/>
      </w:r>
      <w:r w:rsidRPr="00BD510F">
        <w:rPr>
          <w:rFonts w:ascii="Times New Roman" w:eastAsia="Times New Roman" w:hAnsi="Times New Roman" w:cs="Times New Roman"/>
          <w:sz w:val="24"/>
          <w:szCs w:val="24"/>
        </w:rPr>
        <w:t>That said, both the John Browne and de Grey Hours are relatively unrefined in comparison to other more elaborate Books of Hours. Many mass-produced Books of Hours from Flemish workshops at this time were superficially ostentatious and sometimes gaudy</w:t>
      </w:r>
      <w:r w:rsidRPr="00BD510F">
        <w:rPr>
          <w:rFonts w:ascii="Times New Roman" w:eastAsia="Times New Roman" w:hAnsi="Times New Roman" w:cs="Times New Roman"/>
          <w:sz w:val="24"/>
          <w:szCs w:val="24"/>
          <w:vertAlign w:val="superscript"/>
        </w:rPr>
        <w:footnoteReference w:id="23"/>
      </w:r>
      <w:r w:rsidRPr="00BD510F">
        <w:rPr>
          <w:rFonts w:ascii="Times New Roman" w:eastAsia="Times New Roman" w:hAnsi="Times New Roman" w:cs="Times New Roman"/>
          <w:sz w:val="24"/>
          <w:szCs w:val="24"/>
        </w:rPr>
        <w:t xml:space="preserve"> with stiff drawings, crude use of colour, and an otherwise aesthetically poor quality.</w:t>
      </w:r>
      <w:r w:rsidRPr="00BD510F">
        <w:rPr>
          <w:rFonts w:ascii="Times New Roman" w:eastAsia="Times New Roman" w:hAnsi="Times New Roman" w:cs="Times New Roman"/>
          <w:sz w:val="24"/>
          <w:szCs w:val="24"/>
          <w:vertAlign w:val="superscript"/>
        </w:rPr>
        <w:footnoteReference w:id="24"/>
      </w:r>
      <w:r w:rsidRPr="00BD510F">
        <w:rPr>
          <w:rFonts w:ascii="Times New Roman" w:eastAsia="Times New Roman" w:hAnsi="Times New Roman" w:cs="Times New Roman"/>
          <w:sz w:val="24"/>
          <w:szCs w:val="24"/>
        </w:rPr>
        <w:t xml:space="preserve"> The de Grey Hours make use of gold leaf, bright colours, and a detailed border to emphasise the opulence of the manuscript but closer inspection reveals the clumsines</w:t>
      </w:r>
      <w:r w:rsidRPr="00BD510F">
        <w:rPr>
          <w:rFonts w:ascii="Times New Roman" w:eastAsia="Times New Roman" w:hAnsi="Times New Roman" w:cs="Times New Roman"/>
          <w:sz w:val="24"/>
          <w:szCs w:val="24"/>
        </w:rPr>
        <w:t>s of the border and stiffness of the figures. The horse’s mane, for example, appears to be rendered in the same quick and simple manner as the shadows on its legs and the awkward position and pose of the princess perhaps suggests she was copied or traced f</w:t>
      </w:r>
      <w:r w:rsidRPr="00BD510F">
        <w:rPr>
          <w:rFonts w:ascii="Times New Roman" w:eastAsia="Times New Roman" w:hAnsi="Times New Roman" w:cs="Times New Roman"/>
          <w:sz w:val="24"/>
          <w:szCs w:val="24"/>
        </w:rPr>
        <w:t>rom a pattern book without much care given to properly portraying the folds of her dress. Therefore, it seems clear that the de Grey Hours were part of a corpus of work mass-produced for an English audience. Despite this, the skill involved in the creation</w:t>
      </w:r>
      <w:r w:rsidRPr="00BD510F">
        <w:rPr>
          <w:rFonts w:ascii="Times New Roman" w:eastAsia="Times New Roman" w:hAnsi="Times New Roman" w:cs="Times New Roman"/>
          <w:sz w:val="24"/>
          <w:szCs w:val="24"/>
        </w:rPr>
        <w:t xml:space="preserve"> of these manuscripts must not be overlooked and one must be wary of assigning modern notions of mass-production on these medieval works. It is clear that the de Grey Book of Hours is the work of a highly skilled workshop: like other similar works, it was </w:t>
      </w:r>
      <w:r w:rsidRPr="00BD510F">
        <w:rPr>
          <w:rFonts w:ascii="Times New Roman" w:eastAsia="Times New Roman" w:hAnsi="Times New Roman" w:cs="Times New Roman"/>
          <w:sz w:val="24"/>
          <w:szCs w:val="24"/>
        </w:rPr>
        <w:t xml:space="preserve">created by hand, tailored to a particular audience, and is a beautiful work of art in its own right. </w:t>
      </w:r>
    </w:p>
    <w:p w14:paraId="0000000F"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To conclude, much can be learned from examining the image of St George and the dragon from the De Grey Book of Hours. Not only is the image a device to h</w:t>
      </w:r>
      <w:r w:rsidRPr="00BD510F">
        <w:rPr>
          <w:rFonts w:ascii="Times New Roman" w:eastAsia="Times New Roman" w:hAnsi="Times New Roman" w:cs="Times New Roman"/>
          <w:sz w:val="24"/>
          <w:szCs w:val="24"/>
        </w:rPr>
        <w:t>elp the reader remember the story and assist with reading the hymn on the opposite page, the religious symbolism also provides a further lesson, especially when it is considered that Books of Hours were often used by women and children. Furthermore, by exa</w:t>
      </w:r>
      <w:r w:rsidRPr="00BD510F">
        <w:rPr>
          <w:rFonts w:ascii="Times New Roman" w:eastAsia="Times New Roman" w:hAnsi="Times New Roman" w:cs="Times New Roman"/>
          <w:sz w:val="24"/>
          <w:szCs w:val="24"/>
        </w:rPr>
        <w:t xml:space="preserve">mining this visual image in connection with other similar images, it becomes clear that the manuscript was most likely mass-produced in a Flemish </w:t>
      </w:r>
      <w:r w:rsidRPr="00BD510F">
        <w:rPr>
          <w:rFonts w:ascii="Times New Roman" w:eastAsia="Times New Roman" w:hAnsi="Times New Roman" w:cs="Times New Roman"/>
          <w:sz w:val="24"/>
          <w:szCs w:val="24"/>
        </w:rPr>
        <w:lastRenderedPageBreak/>
        <w:t xml:space="preserve">workshop. That said, one must be wary of assigning modern ideas and values to the concept of mass-production. </w:t>
      </w:r>
      <w:r w:rsidRPr="00BD510F">
        <w:rPr>
          <w:rFonts w:ascii="Times New Roman" w:eastAsia="Times New Roman" w:hAnsi="Times New Roman" w:cs="Times New Roman"/>
          <w:sz w:val="24"/>
          <w:szCs w:val="24"/>
        </w:rPr>
        <w:t>The de Grey Book of Hours is not only a beautiful work of art in its own right but also a valuable source in understanding perceptions of St George, the Flemish illumination workshops and their connection with the English market at this time, and the de Gr</w:t>
      </w:r>
      <w:r w:rsidRPr="00BD510F">
        <w:rPr>
          <w:rFonts w:ascii="Times New Roman" w:eastAsia="Times New Roman" w:hAnsi="Times New Roman" w:cs="Times New Roman"/>
          <w:sz w:val="24"/>
          <w:szCs w:val="24"/>
        </w:rPr>
        <w:t xml:space="preserve">ey family to whom this book belonged. </w:t>
      </w:r>
      <w:r w:rsidRPr="00BD510F">
        <w:br w:type="page"/>
      </w:r>
    </w:p>
    <w:p w14:paraId="00000010" w14:textId="77777777" w:rsidR="00A2570B" w:rsidRPr="00BD510F" w:rsidRDefault="00BD510F">
      <w:pPr>
        <w:shd w:val="clear" w:color="auto" w:fill="FFFFFF"/>
        <w:tabs>
          <w:tab w:val="left" w:pos="0"/>
        </w:tabs>
        <w:spacing w:after="200" w:line="480" w:lineRule="auto"/>
        <w:jc w:val="both"/>
        <w:rPr>
          <w:rFonts w:ascii="Times New Roman" w:eastAsia="Times New Roman" w:hAnsi="Times New Roman" w:cs="Times New Roman"/>
          <w:b/>
          <w:sz w:val="24"/>
          <w:szCs w:val="24"/>
        </w:rPr>
      </w:pPr>
      <w:r w:rsidRPr="00BD510F">
        <w:rPr>
          <w:rFonts w:ascii="Times New Roman" w:eastAsia="Times New Roman" w:hAnsi="Times New Roman" w:cs="Times New Roman"/>
          <w:b/>
          <w:sz w:val="24"/>
          <w:szCs w:val="24"/>
        </w:rPr>
        <w:lastRenderedPageBreak/>
        <w:t>Bibliography</w:t>
      </w:r>
    </w:p>
    <w:p w14:paraId="43B195DB" w14:textId="77777777" w:rsidR="00BD510F" w:rsidRDefault="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Backhouse, Janet, </w:t>
      </w:r>
      <w:r w:rsidRPr="00BD510F">
        <w:rPr>
          <w:rFonts w:ascii="Times New Roman" w:eastAsia="Times New Roman" w:hAnsi="Times New Roman" w:cs="Times New Roman"/>
          <w:i/>
          <w:sz w:val="24"/>
          <w:szCs w:val="24"/>
        </w:rPr>
        <w:t>Books of Hours</w:t>
      </w:r>
      <w:r w:rsidRPr="00BD510F">
        <w:rPr>
          <w:rFonts w:ascii="Times New Roman" w:eastAsia="Times New Roman" w:hAnsi="Times New Roman" w:cs="Times New Roman"/>
          <w:sz w:val="24"/>
          <w:szCs w:val="24"/>
        </w:rPr>
        <w:t xml:space="preserve"> (British Library, 1985) </w:t>
      </w:r>
    </w:p>
    <w:p w14:paraId="07A0F663"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Backhouse, Janet, </w:t>
      </w:r>
      <w:r w:rsidRPr="00BD510F">
        <w:rPr>
          <w:rFonts w:ascii="Times New Roman" w:eastAsia="Times New Roman" w:hAnsi="Times New Roman" w:cs="Times New Roman"/>
          <w:i/>
          <w:sz w:val="24"/>
          <w:szCs w:val="24"/>
        </w:rPr>
        <w:t xml:space="preserve">The Illuminated Manuscript </w:t>
      </w:r>
      <w:r w:rsidRPr="00BD510F">
        <w:rPr>
          <w:rFonts w:ascii="Times New Roman" w:eastAsia="Times New Roman" w:hAnsi="Times New Roman" w:cs="Times New Roman"/>
          <w:sz w:val="24"/>
          <w:szCs w:val="24"/>
        </w:rPr>
        <w:t>(</w:t>
      </w:r>
      <w:proofErr w:type="spellStart"/>
      <w:r w:rsidRPr="00BD510F">
        <w:rPr>
          <w:rFonts w:ascii="Times New Roman" w:eastAsia="Times New Roman" w:hAnsi="Times New Roman" w:cs="Times New Roman"/>
          <w:sz w:val="24"/>
          <w:szCs w:val="24"/>
        </w:rPr>
        <w:t>Phaidon</w:t>
      </w:r>
      <w:proofErr w:type="spellEnd"/>
      <w:r w:rsidRPr="00BD510F">
        <w:rPr>
          <w:rFonts w:ascii="Times New Roman" w:eastAsia="Times New Roman" w:hAnsi="Times New Roman" w:cs="Times New Roman"/>
          <w:sz w:val="24"/>
          <w:szCs w:val="24"/>
        </w:rPr>
        <w:t>, 2006)</w:t>
      </w:r>
    </w:p>
    <w:p w14:paraId="5D081C32"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proofErr w:type="spellStart"/>
      <w:r w:rsidRPr="00BD510F">
        <w:rPr>
          <w:rFonts w:ascii="Times New Roman" w:eastAsia="Times New Roman" w:hAnsi="Times New Roman" w:cs="Times New Roman"/>
          <w:sz w:val="24"/>
          <w:szCs w:val="24"/>
        </w:rPr>
        <w:t>Clanchy</w:t>
      </w:r>
      <w:proofErr w:type="spellEnd"/>
      <w:r w:rsidRPr="00BD510F">
        <w:rPr>
          <w:rFonts w:ascii="Times New Roman" w:eastAsia="Times New Roman" w:hAnsi="Times New Roman" w:cs="Times New Roman"/>
          <w:sz w:val="24"/>
          <w:szCs w:val="24"/>
        </w:rPr>
        <w:t xml:space="preserve">, M.T., </w:t>
      </w:r>
      <w:r w:rsidRPr="00BD510F">
        <w:rPr>
          <w:rFonts w:ascii="Times New Roman" w:eastAsia="Times New Roman" w:hAnsi="Times New Roman" w:cs="Times New Roman"/>
          <w:i/>
          <w:sz w:val="24"/>
          <w:szCs w:val="24"/>
        </w:rPr>
        <w:t>From Memory to Written Record: England 1066-1307</w:t>
      </w:r>
      <w:r w:rsidRPr="00BD510F">
        <w:rPr>
          <w:rFonts w:ascii="Times New Roman" w:eastAsia="Times New Roman" w:hAnsi="Times New Roman" w:cs="Times New Roman"/>
          <w:sz w:val="24"/>
          <w:szCs w:val="24"/>
        </w:rPr>
        <w:t xml:space="preserve"> (Blackwell Publishing, 2008)</w:t>
      </w:r>
    </w:p>
    <w:p w14:paraId="1369B644"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de Hamel, Christopher, “Chapter 6: Books for Everyone” in </w:t>
      </w:r>
      <w:r w:rsidRPr="00BD510F">
        <w:rPr>
          <w:rFonts w:ascii="Times New Roman" w:eastAsia="Times New Roman" w:hAnsi="Times New Roman" w:cs="Times New Roman"/>
          <w:i/>
          <w:sz w:val="24"/>
          <w:szCs w:val="24"/>
        </w:rPr>
        <w:t>A History of Illuminated Manuscripts</w:t>
      </w:r>
      <w:r w:rsidRPr="00BD510F">
        <w:rPr>
          <w:rFonts w:ascii="Times New Roman" w:eastAsia="Times New Roman" w:hAnsi="Times New Roman" w:cs="Times New Roman"/>
          <w:sz w:val="24"/>
          <w:szCs w:val="24"/>
        </w:rPr>
        <w:t xml:space="preserve"> (D.R. </w:t>
      </w:r>
      <w:proofErr w:type="spellStart"/>
      <w:r w:rsidRPr="00BD510F">
        <w:rPr>
          <w:rFonts w:ascii="Times New Roman" w:eastAsia="Times New Roman" w:hAnsi="Times New Roman" w:cs="Times New Roman"/>
          <w:sz w:val="24"/>
          <w:szCs w:val="24"/>
        </w:rPr>
        <w:t>Godine</w:t>
      </w:r>
      <w:proofErr w:type="spellEnd"/>
      <w:r w:rsidRPr="00BD510F">
        <w:rPr>
          <w:rFonts w:ascii="Times New Roman" w:eastAsia="Times New Roman" w:hAnsi="Times New Roman" w:cs="Times New Roman"/>
          <w:sz w:val="24"/>
          <w:szCs w:val="24"/>
        </w:rPr>
        <w:t>, 1986)</w:t>
      </w:r>
    </w:p>
    <w:p w14:paraId="5C0B0AD0"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Duffy, Eamon, </w:t>
      </w:r>
      <w:r w:rsidRPr="00BD510F">
        <w:rPr>
          <w:rFonts w:ascii="Times New Roman" w:eastAsia="Times New Roman" w:hAnsi="Times New Roman" w:cs="Times New Roman"/>
          <w:i/>
          <w:sz w:val="24"/>
          <w:szCs w:val="24"/>
        </w:rPr>
        <w:t>Marking the Hours: English People and Their Pra</w:t>
      </w:r>
      <w:r w:rsidRPr="00BD510F">
        <w:rPr>
          <w:rFonts w:ascii="Times New Roman" w:eastAsia="Times New Roman" w:hAnsi="Times New Roman" w:cs="Times New Roman"/>
          <w:i/>
          <w:sz w:val="24"/>
          <w:szCs w:val="24"/>
        </w:rPr>
        <w:t xml:space="preserve">yers 1240-1570 </w:t>
      </w:r>
      <w:r w:rsidRPr="00BD510F">
        <w:rPr>
          <w:rFonts w:ascii="Times New Roman" w:eastAsia="Times New Roman" w:hAnsi="Times New Roman" w:cs="Times New Roman"/>
          <w:sz w:val="24"/>
          <w:szCs w:val="24"/>
        </w:rPr>
        <w:t>(Yale University Press, 2006)</w:t>
      </w:r>
    </w:p>
    <w:p w14:paraId="4A5A3702"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Good, Jonathan, </w:t>
      </w:r>
      <w:r w:rsidRPr="00BD510F">
        <w:rPr>
          <w:rFonts w:ascii="Times New Roman" w:eastAsia="Times New Roman" w:hAnsi="Times New Roman" w:cs="Times New Roman"/>
          <w:i/>
          <w:sz w:val="24"/>
          <w:szCs w:val="24"/>
        </w:rPr>
        <w:t>The Cult of Saint George in Medieval England</w:t>
      </w:r>
      <w:r w:rsidRPr="00BD510F">
        <w:rPr>
          <w:rFonts w:ascii="Times New Roman" w:eastAsia="Times New Roman" w:hAnsi="Times New Roman" w:cs="Times New Roman"/>
          <w:sz w:val="24"/>
          <w:szCs w:val="24"/>
        </w:rPr>
        <w:t xml:space="preserve"> (</w:t>
      </w:r>
      <w:r w:rsidRPr="00BD510F">
        <w:rPr>
          <w:rFonts w:ascii="Times New Roman" w:eastAsia="Times New Roman" w:hAnsi="Times New Roman" w:cs="Times New Roman"/>
          <w:sz w:val="24"/>
          <w:szCs w:val="24"/>
        </w:rPr>
        <w:t>Boydell Press, 2009)</w:t>
      </w:r>
    </w:p>
    <w:p w14:paraId="5EBE0E99"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Grebe, Anja, “Frames and Illusion: </w:t>
      </w:r>
      <w:proofErr w:type="gramStart"/>
      <w:r w:rsidRPr="00BD510F">
        <w:rPr>
          <w:rFonts w:ascii="Times New Roman" w:eastAsia="Times New Roman" w:hAnsi="Times New Roman" w:cs="Times New Roman"/>
          <w:sz w:val="24"/>
          <w:szCs w:val="24"/>
        </w:rPr>
        <w:t>the</w:t>
      </w:r>
      <w:proofErr w:type="gramEnd"/>
      <w:r w:rsidRPr="00BD510F">
        <w:rPr>
          <w:rFonts w:ascii="Times New Roman" w:eastAsia="Times New Roman" w:hAnsi="Times New Roman" w:cs="Times New Roman"/>
          <w:sz w:val="24"/>
          <w:szCs w:val="24"/>
        </w:rPr>
        <w:t xml:space="preserve"> Function of Borders in Late Medieval Book Illumination” in </w:t>
      </w:r>
      <w:r w:rsidRPr="00BD510F">
        <w:rPr>
          <w:rFonts w:ascii="Times New Roman" w:eastAsia="Times New Roman" w:hAnsi="Times New Roman" w:cs="Times New Roman"/>
          <w:i/>
          <w:sz w:val="24"/>
          <w:szCs w:val="24"/>
        </w:rPr>
        <w:t>Framing Borders in Literature and Other Media</w:t>
      </w:r>
      <w:r w:rsidRPr="00BD510F">
        <w:rPr>
          <w:rFonts w:ascii="Times New Roman" w:eastAsia="Times New Roman" w:hAnsi="Times New Roman" w:cs="Times New Roman"/>
          <w:sz w:val="24"/>
          <w:szCs w:val="24"/>
        </w:rPr>
        <w:t xml:space="preserve">, ed. by Werner Wolf and Walter </w:t>
      </w:r>
      <w:proofErr w:type="spellStart"/>
      <w:r w:rsidRPr="00BD510F">
        <w:rPr>
          <w:rFonts w:ascii="Times New Roman" w:eastAsia="Times New Roman" w:hAnsi="Times New Roman" w:cs="Times New Roman"/>
          <w:sz w:val="24"/>
          <w:szCs w:val="24"/>
        </w:rPr>
        <w:t>Bernhart</w:t>
      </w:r>
      <w:proofErr w:type="spellEnd"/>
      <w:r w:rsidRPr="00BD510F">
        <w:rPr>
          <w:rFonts w:ascii="Times New Roman" w:eastAsia="Times New Roman" w:hAnsi="Times New Roman" w:cs="Times New Roman"/>
          <w:sz w:val="24"/>
          <w:szCs w:val="24"/>
        </w:rPr>
        <w:t xml:space="preserve"> (</w:t>
      </w:r>
      <w:proofErr w:type="spellStart"/>
      <w:r w:rsidRPr="00BD510F">
        <w:rPr>
          <w:rFonts w:ascii="Times New Roman" w:eastAsia="Times New Roman" w:hAnsi="Times New Roman" w:cs="Times New Roman"/>
          <w:sz w:val="24"/>
          <w:szCs w:val="24"/>
        </w:rPr>
        <w:t>Rodopi</w:t>
      </w:r>
      <w:proofErr w:type="spellEnd"/>
      <w:r w:rsidRPr="00BD510F">
        <w:rPr>
          <w:rFonts w:ascii="Times New Roman" w:eastAsia="Times New Roman" w:hAnsi="Times New Roman" w:cs="Times New Roman"/>
          <w:sz w:val="24"/>
          <w:szCs w:val="24"/>
        </w:rPr>
        <w:t>, 2006), p. 43-68</w:t>
      </w:r>
    </w:p>
    <w:p w14:paraId="132DC339" w14:textId="6DED1D5B"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Hand, John Oliver. </w:t>
      </w:r>
      <w:r w:rsidRPr="00BD510F">
        <w:rPr>
          <w:rFonts w:ascii="Times New Roman" w:eastAsia="Times New Roman" w:hAnsi="Times New Roman" w:cs="Times New Roman"/>
          <w:i/>
          <w:sz w:val="24"/>
          <w:szCs w:val="24"/>
        </w:rPr>
        <w:t>Early Netherlandish Paintin</w:t>
      </w:r>
      <w:r w:rsidRPr="00BD510F">
        <w:rPr>
          <w:rFonts w:ascii="Times New Roman" w:eastAsia="Times New Roman" w:hAnsi="Times New Roman" w:cs="Times New Roman"/>
          <w:i/>
          <w:sz w:val="24"/>
          <w:szCs w:val="24"/>
        </w:rPr>
        <w:t>g</w:t>
      </w:r>
      <w:r w:rsidRPr="00BD510F">
        <w:rPr>
          <w:rFonts w:ascii="Times New Roman" w:eastAsia="Times New Roman" w:hAnsi="Times New Roman" w:cs="Times New Roman"/>
          <w:sz w:val="24"/>
          <w:szCs w:val="24"/>
        </w:rPr>
        <w:t xml:space="preserve"> (Cambridge University Press, 1986)</w:t>
      </w:r>
    </w:p>
    <w:p w14:paraId="72BDDE3C" w14:textId="77777777" w:rsidR="00BD510F" w:rsidRDefault="00BD510F"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Hayman, Richard, </w:t>
      </w:r>
      <w:r w:rsidRPr="00BD510F">
        <w:rPr>
          <w:rFonts w:ascii="Times New Roman" w:eastAsia="Times New Roman" w:hAnsi="Times New Roman" w:cs="Times New Roman"/>
          <w:i/>
          <w:sz w:val="24"/>
          <w:szCs w:val="24"/>
        </w:rPr>
        <w:t>Illuminated Manuscripts</w:t>
      </w:r>
      <w:r w:rsidRPr="00BD510F">
        <w:rPr>
          <w:rFonts w:ascii="Times New Roman" w:eastAsia="Times New Roman" w:hAnsi="Times New Roman" w:cs="Times New Roman"/>
          <w:sz w:val="24"/>
          <w:szCs w:val="24"/>
        </w:rPr>
        <w:t xml:space="preserve"> (Bloomsbury Publishing, 2017)</w:t>
      </w:r>
    </w:p>
    <w:p w14:paraId="00000028" w14:textId="700F0D05" w:rsidR="00A2570B" w:rsidRDefault="00BD510F" w:rsidP="00BD510F">
      <w:pPr>
        <w:spacing w:line="480" w:lineRule="auto"/>
        <w:rPr>
          <w:sz w:val="24"/>
          <w:szCs w:val="24"/>
        </w:rPr>
      </w:pPr>
      <w:r w:rsidRPr="00BD510F">
        <w:rPr>
          <w:rFonts w:ascii="Times New Roman" w:eastAsia="Times New Roman" w:hAnsi="Times New Roman" w:cs="Times New Roman"/>
          <w:sz w:val="24"/>
          <w:szCs w:val="24"/>
        </w:rPr>
        <w:t xml:space="preserve">Nash, Susie, </w:t>
      </w:r>
      <w:r w:rsidRPr="00BD510F">
        <w:rPr>
          <w:rFonts w:ascii="Times New Roman" w:eastAsia="Times New Roman" w:hAnsi="Times New Roman" w:cs="Times New Roman"/>
          <w:i/>
          <w:sz w:val="24"/>
          <w:szCs w:val="24"/>
        </w:rPr>
        <w:t>Between France and Flanders: Manuscript Illumination in Amiens in the Fifteenth Century</w:t>
      </w:r>
      <w:r w:rsidRPr="00BD510F">
        <w:rPr>
          <w:rFonts w:ascii="Times New Roman" w:eastAsia="Times New Roman" w:hAnsi="Times New Roman" w:cs="Times New Roman"/>
          <w:sz w:val="24"/>
          <w:szCs w:val="24"/>
        </w:rPr>
        <w:t xml:space="preserve"> (University of Toronto Press, 1999)  </w:t>
      </w:r>
    </w:p>
    <w:p w14:paraId="00000029" w14:textId="77777777" w:rsidR="00A2570B" w:rsidRDefault="00A2570B">
      <w:pPr>
        <w:shd w:val="clear" w:color="auto" w:fill="FFFFFF"/>
        <w:tabs>
          <w:tab w:val="left" w:pos="0"/>
        </w:tabs>
        <w:spacing w:after="200" w:line="240" w:lineRule="auto"/>
        <w:rPr>
          <w:sz w:val="24"/>
          <w:szCs w:val="24"/>
        </w:rPr>
      </w:pPr>
    </w:p>
    <w:sectPr w:rsidR="00A2570B">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DFF29" w14:textId="77777777" w:rsidR="00000000" w:rsidRDefault="00BD510F">
      <w:pPr>
        <w:spacing w:line="240" w:lineRule="auto"/>
      </w:pPr>
      <w:r>
        <w:separator/>
      </w:r>
    </w:p>
  </w:endnote>
  <w:endnote w:type="continuationSeparator" w:id="0">
    <w:p w14:paraId="6A08D697" w14:textId="77777777" w:rsidR="00000000" w:rsidRDefault="00BD51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2" w14:textId="72740BC5" w:rsidR="00A2570B" w:rsidRDefault="00BD510F">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EC09D" w14:textId="77777777" w:rsidR="00000000" w:rsidRDefault="00BD510F">
      <w:pPr>
        <w:spacing w:line="240" w:lineRule="auto"/>
      </w:pPr>
      <w:r>
        <w:separator/>
      </w:r>
    </w:p>
  </w:footnote>
  <w:footnote w:type="continuationSeparator" w:id="0">
    <w:p w14:paraId="04EDDA3F" w14:textId="77777777" w:rsidR="00000000" w:rsidRDefault="00BD510F">
      <w:pPr>
        <w:spacing w:line="240" w:lineRule="auto"/>
      </w:pPr>
      <w:r>
        <w:continuationSeparator/>
      </w:r>
    </w:p>
  </w:footnote>
  <w:footnote w:id="1">
    <w:p w14:paraId="0000002A" w14:textId="77777777" w:rsidR="00A2570B" w:rsidRDefault="00BD510F">
      <w:pPr>
        <w:spacing w:line="240" w:lineRule="auto"/>
        <w:rPr>
          <w:sz w:val="20"/>
          <w:szCs w:val="20"/>
        </w:rPr>
      </w:pPr>
      <w:r>
        <w:rPr>
          <w:vertAlign w:val="superscript"/>
        </w:rPr>
        <w:footnoteRef/>
      </w:r>
      <w:r>
        <w:rPr>
          <w:sz w:val="20"/>
          <w:szCs w:val="20"/>
        </w:rPr>
        <w:t xml:space="preserve"> Montague Rhodes James, "MS 27. Horae (De Grey)" in </w:t>
      </w:r>
      <w:r>
        <w:rPr>
          <w:i/>
          <w:sz w:val="20"/>
          <w:szCs w:val="20"/>
        </w:rPr>
        <w:t>A Descriptive Catalogue of Fifty Manuscripts from the Collection of Henry Yates Thompson</w:t>
      </w:r>
      <w:r>
        <w:rPr>
          <w:sz w:val="20"/>
          <w:szCs w:val="20"/>
        </w:rPr>
        <w:t xml:space="preserve"> (Cambridge University Press, 1898) p. 126</w:t>
      </w:r>
    </w:p>
  </w:footnote>
  <w:footnote w:id="2">
    <w:p w14:paraId="00000033" w14:textId="77777777" w:rsidR="00A2570B" w:rsidRDefault="00BD510F">
      <w:pPr>
        <w:spacing w:line="240" w:lineRule="auto"/>
        <w:rPr>
          <w:sz w:val="20"/>
          <w:szCs w:val="20"/>
          <w:highlight w:val="yellow"/>
        </w:rPr>
      </w:pPr>
      <w:r>
        <w:rPr>
          <w:vertAlign w:val="superscript"/>
        </w:rPr>
        <w:footnoteRef/>
      </w:r>
      <w:r>
        <w:rPr>
          <w:sz w:val="20"/>
          <w:szCs w:val="20"/>
        </w:rPr>
        <w:t xml:space="preserve"> </w:t>
      </w:r>
      <w:r>
        <w:rPr>
          <w:sz w:val="20"/>
          <w:szCs w:val="20"/>
          <w:highlight w:val="white"/>
        </w:rPr>
        <w:t xml:space="preserve">Susie Nash, </w:t>
      </w:r>
      <w:r>
        <w:rPr>
          <w:i/>
          <w:sz w:val="20"/>
          <w:szCs w:val="20"/>
          <w:highlight w:val="white"/>
        </w:rPr>
        <w:t>Between France and Flanders: Manuscript Illumination in Amiens in the Fifteenth Century</w:t>
      </w:r>
      <w:r>
        <w:rPr>
          <w:sz w:val="20"/>
          <w:szCs w:val="20"/>
          <w:highlight w:val="white"/>
        </w:rPr>
        <w:t xml:space="preserve"> (University of Toronto Press, 1999</w:t>
      </w:r>
      <w:proofErr w:type="gramStart"/>
      <w:r>
        <w:rPr>
          <w:sz w:val="20"/>
          <w:szCs w:val="20"/>
          <w:highlight w:val="white"/>
        </w:rPr>
        <w:t>)  p.</w:t>
      </w:r>
      <w:proofErr w:type="gramEnd"/>
      <w:r>
        <w:rPr>
          <w:sz w:val="20"/>
          <w:szCs w:val="20"/>
          <w:highlight w:val="white"/>
        </w:rPr>
        <w:t xml:space="preserve"> 223.</w:t>
      </w:r>
    </w:p>
  </w:footnote>
  <w:footnote w:id="3">
    <w:p w14:paraId="0000002B" w14:textId="77777777" w:rsidR="00A2570B" w:rsidRDefault="00BD510F">
      <w:pPr>
        <w:spacing w:line="240" w:lineRule="auto"/>
        <w:rPr>
          <w:sz w:val="20"/>
          <w:szCs w:val="20"/>
          <w:highlight w:val="white"/>
        </w:rPr>
      </w:pPr>
      <w:r>
        <w:rPr>
          <w:vertAlign w:val="superscript"/>
        </w:rPr>
        <w:footnoteRef/>
      </w:r>
      <w:r>
        <w:rPr>
          <w:sz w:val="20"/>
          <w:szCs w:val="20"/>
        </w:rPr>
        <w:t xml:space="preserve"> </w:t>
      </w:r>
      <w:r>
        <w:rPr>
          <w:sz w:val="20"/>
          <w:szCs w:val="20"/>
          <w:highlight w:val="white"/>
        </w:rPr>
        <w:t xml:space="preserve">Jonathan Good. </w:t>
      </w:r>
      <w:r>
        <w:rPr>
          <w:i/>
          <w:sz w:val="20"/>
          <w:szCs w:val="20"/>
          <w:highlight w:val="white"/>
        </w:rPr>
        <w:t>The Cult of Saint George in Medieval England</w:t>
      </w:r>
      <w:r>
        <w:rPr>
          <w:sz w:val="20"/>
          <w:szCs w:val="20"/>
          <w:highlight w:val="white"/>
        </w:rPr>
        <w:t xml:space="preserve"> (Boydell Pr</w:t>
      </w:r>
      <w:r>
        <w:rPr>
          <w:sz w:val="20"/>
          <w:szCs w:val="20"/>
          <w:highlight w:val="white"/>
        </w:rPr>
        <w:t>ess, 2009) p. 39</w:t>
      </w:r>
    </w:p>
  </w:footnote>
  <w:footnote w:id="4">
    <w:p w14:paraId="0000002C" w14:textId="77777777" w:rsidR="00A2570B" w:rsidRDefault="00BD510F">
      <w:pPr>
        <w:spacing w:line="240" w:lineRule="auto"/>
        <w:rPr>
          <w:sz w:val="20"/>
          <w:szCs w:val="20"/>
        </w:rPr>
      </w:pPr>
      <w:r>
        <w:rPr>
          <w:vertAlign w:val="superscript"/>
        </w:rPr>
        <w:footnoteRef/>
      </w:r>
      <w:r>
        <w:rPr>
          <w:sz w:val="20"/>
          <w:szCs w:val="20"/>
        </w:rPr>
        <w:t xml:space="preserve"> Jacobus de </w:t>
      </w:r>
      <w:proofErr w:type="spellStart"/>
      <w:r>
        <w:rPr>
          <w:sz w:val="20"/>
          <w:szCs w:val="20"/>
        </w:rPr>
        <w:t>Varagine</w:t>
      </w:r>
      <w:proofErr w:type="spellEnd"/>
      <w:r>
        <w:rPr>
          <w:sz w:val="20"/>
          <w:szCs w:val="20"/>
        </w:rPr>
        <w:t>, The Golden Legend or Lives of the Saints: Volume III, ed. by F. S. Ellis, trans. by William Caxton (Temple Classics, 1900)</w:t>
      </w:r>
    </w:p>
  </w:footnote>
  <w:footnote w:id="5">
    <w:p w14:paraId="0000002F" w14:textId="77777777" w:rsidR="00A2570B" w:rsidRDefault="00BD510F">
      <w:pPr>
        <w:spacing w:line="240" w:lineRule="auto"/>
        <w:rPr>
          <w:sz w:val="20"/>
          <w:szCs w:val="20"/>
        </w:rPr>
      </w:pPr>
      <w:r>
        <w:rPr>
          <w:vertAlign w:val="superscript"/>
        </w:rPr>
        <w:footnoteRef/>
      </w:r>
      <w:r>
        <w:rPr>
          <w:sz w:val="20"/>
          <w:szCs w:val="20"/>
        </w:rPr>
        <w:t xml:space="preserve"> M.T. </w:t>
      </w:r>
      <w:proofErr w:type="spellStart"/>
      <w:r>
        <w:rPr>
          <w:sz w:val="20"/>
          <w:szCs w:val="20"/>
        </w:rPr>
        <w:t>Clanchy</w:t>
      </w:r>
      <w:proofErr w:type="spellEnd"/>
      <w:r>
        <w:rPr>
          <w:sz w:val="20"/>
          <w:szCs w:val="20"/>
        </w:rPr>
        <w:t xml:space="preserve">, </w:t>
      </w:r>
      <w:r>
        <w:rPr>
          <w:i/>
          <w:sz w:val="20"/>
          <w:szCs w:val="20"/>
        </w:rPr>
        <w:t>From Memory to Written Record: England 1066-1307</w:t>
      </w:r>
      <w:r>
        <w:rPr>
          <w:sz w:val="20"/>
          <w:szCs w:val="20"/>
        </w:rPr>
        <w:t xml:space="preserve"> (Blackwell Publishing, 2008) p. 112-113</w:t>
      </w:r>
    </w:p>
  </w:footnote>
  <w:footnote w:id="6">
    <w:p w14:paraId="00000030" w14:textId="77777777" w:rsidR="00A2570B" w:rsidRDefault="00BD510F">
      <w:pPr>
        <w:spacing w:line="240" w:lineRule="auto"/>
        <w:rPr>
          <w:sz w:val="20"/>
          <w:szCs w:val="20"/>
        </w:rPr>
      </w:pPr>
      <w:r>
        <w:rPr>
          <w:vertAlign w:val="superscript"/>
        </w:rPr>
        <w:footnoteRef/>
      </w:r>
      <w:r>
        <w:rPr>
          <w:sz w:val="20"/>
          <w:szCs w:val="20"/>
        </w:rPr>
        <w:t xml:space="preserve"> Ibid., p. 112-113</w:t>
      </w:r>
    </w:p>
  </w:footnote>
  <w:footnote w:id="7">
    <w:p w14:paraId="00000031" w14:textId="77777777" w:rsidR="00A2570B" w:rsidRDefault="00BD510F">
      <w:pPr>
        <w:spacing w:line="240" w:lineRule="auto"/>
        <w:rPr>
          <w:sz w:val="20"/>
          <w:szCs w:val="20"/>
        </w:rPr>
      </w:pPr>
      <w:r>
        <w:rPr>
          <w:vertAlign w:val="superscript"/>
        </w:rPr>
        <w:footnoteRef/>
      </w:r>
      <w:r>
        <w:rPr>
          <w:sz w:val="20"/>
          <w:szCs w:val="20"/>
        </w:rPr>
        <w:t xml:space="preserve"> Ibid.,</w:t>
      </w:r>
      <w:r>
        <w:rPr>
          <w:sz w:val="20"/>
          <w:szCs w:val="20"/>
        </w:rPr>
        <w:t xml:space="preserve"> p. 13 </w:t>
      </w:r>
    </w:p>
  </w:footnote>
  <w:footnote w:id="8">
    <w:p w14:paraId="00000032" w14:textId="77777777" w:rsidR="00A2570B" w:rsidRDefault="00BD510F">
      <w:pPr>
        <w:spacing w:line="240" w:lineRule="auto"/>
        <w:rPr>
          <w:sz w:val="20"/>
          <w:szCs w:val="20"/>
        </w:rPr>
      </w:pPr>
      <w:r>
        <w:rPr>
          <w:vertAlign w:val="superscript"/>
        </w:rPr>
        <w:footnoteRef/>
      </w:r>
      <w:r>
        <w:rPr>
          <w:sz w:val="20"/>
          <w:szCs w:val="20"/>
        </w:rPr>
        <w:t xml:space="preserve"> </w:t>
      </w:r>
      <w:r>
        <w:rPr>
          <w:sz w:val="20"/>
          <w:szCs w:val="20"/>
          <w:highlight w:val="white"/>
        </w:rPr>
        <w:t xml:space="preserve">Good, </w:t>
      </w:r>
      <w:r>
        <w:rPr>
          <w:i/>
          <w:sz w:val="20"/>
          <w:szCs w:val="20"/>
          <w:highlight w:val="white"/>
        </w:rPr>
        <w:t>The Cult of Saint George,</w:t>
      </w:r>
      <w:r>
        <w:rPr>
          <w:sz w:val="20"/>
          <w:szCs w:val="20"/>
          <w:highlight w:val="white"/>
        </w:rPr>
        <w:t xml:space="preserve"> p. 51</w:t>
      </w:r>
    </w:p>
  </w:footnote>
  <w:footnote w:id="9">
    <w:p w14:paraId="00000037" w14:textId="77777777" w:rsidR="00A2570B" w:rsidRDefault="00BD510F">
      <w:pPr>
        <w:spacing w:line="240" w:lineRule="auto"/>
        <w:rPr>
          <w:sz w:val="20"/>
          <w:szCs w:val="20"/>
        </w:rPr>
      </w:pPr>
      <w:r>
        <w:rPr>
          <w:vertAlign w:val="superscript"/>
        </w:rPr>
        <w:footnoteRef/>
      </w:r>
      <w:r>
        <w:rPr>
          <w:sz w:val="20"/>
          <w:szCs w:val="20"/>
        </w:rPr>
        <w:t xml:space="preserve">  Ibid., </w:t>
      </w:r>
      <w:r>
        <w:rPr>
          <w:sz w:val="20"/>
          <w:szCs w:val="20"/>
          <w:highlight w:val="white"/>
        </w:rPr>
        <w:t xml:space="preserve">p. </w:t>
      </w:r>
      <w:r>
        <w:rPr>
          <w:sz w:val="20"/>
          <w:szCs w:val="20"/>
        </w:rPr>
        <w:t xml:space="preserve">54 </w:t>
      </w:r>
    </w:p>
  </w:footnote>
  <w:footnote w:id="10">
    <w:p w14:paraId="00000038" w14:textId="77777777" w:rsidR="00A2570B" w:rsidRDefault="00BD510F">
      <w:pPr>
        <w:spacing w:line="240" w:lineRule="auto"/>
        <w:rPr>
          <w:sz w:val="20"/>
          <w:szCs w:val="20"/>
          <w:highlight w:val="yellow"/>
        </w:rPr>
      </w:pPr>
      <w:r>
        <w:rPr>
          <w:vertAlign w:val="superscript"/>
        </w:rPr>
        <w:footnoteRef/>
      </w:r>
      <w:r>
        <w:rPr>
          <w:sz w:val="20"/>
          <w:szCs w:val="20"/>
        </w:rPr>
        <w:t xml:space="preserve"> Ibid., </w:t>
      </w:r>
      <w:r>
        <w:rPr>
          <w:sz w:val="20"/>
          <w:szCs w:val="20"/>
          <w:highlight w:val="white"/>
        </w:rPr>
        <w:t xml:space="preserve">p. </w:t>
      </w:r>
      <w:r>
        <w:rPr>
          <w:sz w:val="20"/>
          <w:szCs w:val="20"/>
        </w:rPr>
        <w:t xml:space="preserve">54 </w:t>
      </w:r>
    </w:p>
  </w:footnote>
  <w:footnote w:id="11">
    <w:p w14:paraId="00000036" w14:textId="77777777" w:rsidR="00A2570B" w:rsidRDefault="00BD510F">
      <w:pPr>
        <w:spacing w:line="240" w:lineRule="auto"/>
        <w:rPr>
          <w:sz w:val="20"/>
          <w:szCs w:val="20"/>
        </w:rPr>
      </w:pPr>
      <w:r>
        <w:rPr>
          <w:vertAlign w:val="superscript"/>
        </w:rPr>
        <w:footnoteRef/>
      </w:r>
      <w:r>
        <w:rPr>
          <w:sz w:val="20"/>
          <w:szCs w:val="20"/>
        </w:rPr>
        <w:t xml:space="preserve"> Richard Hayman. </w:t>
      </w:r>
      <w:r>
        <w:rPr>
          <w:i/>
          <w:sz w:val="20"/>
          <w:szCs w:val="20"/>
        </w:rPr>
        <w:t>Illuminated Manuscripts</w:t>
      </w:r>
      <w:r>
        <w:rPr>
          <w:sz w:val="20"/>
          <w:szCs w:val="20"/>
        </w:rPr>
        <w:t xml:space="preserve"> (Bloomsbury Publishing, 2017) p.19</w:t>
      </w:r>
    </w:p>
  </w:footnote>
  <w:footnote w:id="12">
    <w:p w14:paraId="00000035" w14:textId="77777777" w:rsidR="00A2570B" w:rsidRDefault="00BD510F">
      <w:pPr>
        <w:spacing w:line="240" w:lineRule="auto"/>
        <w:rPr>
          <w:sz w:val="20"/>
          <w:szCs w:val="20"/>
        </w:rPr>
      </w:pPr>
      <w:r>
        <w:rPr>
          <w:vertAlign w:val="superscript"/>
        </w:rPr>
        <w:footnoteRef/>
      </w:r>
      <w:r>
        <w:rPr>
          <w:sz w:val="20"/>
          <w:szCs w:val="20"/>
        </w:rPr>
        <w:t xml:space="preserve"> Anja Grebe, “Frames and Illusion: </w:t>
      </w:r>
      <w:proofErr w:type="gramStart"/>
      <w:r>
        <w:rPr>
          <w:sz w:val="20"/>
          <w:szCs w:val="20"/>
        </w:rPr>
        <w:t>the</w:t>
      </w:r>
      <w:proofErr w:type="gramEnd"/>
      <w:r>
        <w:rPr>
          <w:sz w:val="20"/>
          <w:szCs w:val="20"/>
        </w:rPr>
        <w:t xml:space="preserve"> Function of Borders in Late Medieval Book Illumination” in </w:t>
      </w:r>
      <w:r>
        <w:rPr>
          <w:i/>
          <w:sz w:val="20"/>
          <w:szCs w:val="20"/>
        </w:rPr>
        <w:t>Framing Borders in Literature and Other Media</w:t>
      </w:r>
      <w:r>
        <w:rPr>
          <w:sz w:val="20"/>
          <w:szCs w:val="20"/>
        </w:rPr>
        <w:t xml:space="preserve">, ed. by Werner Wolf and Walter </w:t>
      </w:r>
      <w:proofErr w:type="spellStart"/>
      <w:r>
        <w:rPr>
          <w:sz w:val="20"/>
          <w:szCs w:val="20"/>
        </w:rPr>
        <w:t>Bernhart</w:t>
      </w:r>
      <w:proofErr w:type="spellEnd"/>
      <w:r>
        <w:rPr>
          <w:sz w:val="20"/>
          <w:szCs w:val="20"/>
        </w:rPr>
        <w:t xml:space="preserve"> (</w:t>
      </w:r>
      <w:proofErr w:type="spellStart"/>
      <w:r>
        <w:rPr>
          <w:sz w:val="20"/>
          <w:szCs w:val="20"/>
        </w:rPr>
        <w:t>Rodopi</w:t>
      </w:r>
      <w:proofErr w:type="spellEnd"/>
      <w:r>
        <w:rPr>
          <w:sz w:val="20"/>
          <w:szCs w:val="20"/>
        </w:rPr>
        <w:t>, 2006) p. 46</w:t>
      </w:r>
    </w:p>
  </w:footnote>
  <w:footnote w:id="13">
    <w:p w14:paraId="00000039" w14:textId="77777777" w:rsidR="00A2570B" w:rsidRDefault="00BD510F">
      <w:pPr>
        <w:spacing w:line="240" w:lineRule="auto"/>
        <w:rPr>
          <w:sz w:val="20"/>
          <w:szCs w:val="20"/>
        </w:rPr>
      </w:pPr>
      <w:r>
        <w:rPr>
          <w:vertAlign w:val="superscript"/>
        </w:rPr>
        <w:footnoteRef/>
      </w:r>
      <w:r>
        <w:rPr>
          <w:sz w:val="20"/>
          <w:szCs w:val="20"/>
        </w:rPr>
        <w:t xml:space="preserve"> Ibid., p. 46 </w:t>
      </w:r>
    </w:p>
  </w:footnote>
  <w:footnote w:id="14">
    <w:p w14:paraId="00000034" w14:textId="77777777" w:rsidR="00A2570B" w:rsidRDefault="00BD510F">
      <w:pPr>
        <w:spacing w:line="240" w:lineRule="auto"/>
        <w:rPr>
          <w:sz w:val="20"/>
          <w:szCs w:val="20"/>
        </w:rPr>
      </w:pPr>
      <w:r>
        <w:rPr>
          <w:vertAlign w:val="superscript"/>
        </w:rPr>
        <w:footnoteRef/>
      </w:r>
      <w:r>
        <w:rPr>
          <w:sz w:val="20"/>
          <w:szCs w:val="20"/>
        </w:rPr>
        <w:t xml:space="preserve"> Janet Backhouse, </w:t>
      </w:r>
      <w:r>
        <w:rPr>
          <w:i/>
          <w:sz w:val="20"/>
          <w:szCs w:val="20"/>
        </w:rPr>
        <w:t>Books of Hours</w:t>
      </w:r>
      <w:r>
        <w:rPr>
          <w:sz w:val="20"/>
          <w:szCs w:val="20"/>
        </w:rPr>
        <w:t xml:space="preserve"> (British Library, 1985) p.3</w:t>
      </w:r>
    </w:p>
  </w:footnote>
  <w:footnote w:id="15">
    <w:p w14:paraId="0000002E" w14:textId="77777777" w:rsidR="00A2570B" w:rsidRDefault="00BD510F">
      <w:pPr>
        <w:spacing w:line="240" w:lineRule="auto"/>
        <w:rPr>
          <w:sz w:val="20"/>
          <w:szCs w:val="20"/>
        </w:rPr>
      </w:pPr>
      <w:r>
        <w:rPr>
          <w:vertAlign w:val="superscript"/>
        </w:rPr>
        <w:footnoteRef/>
      </w:r>
      <w:r>
        <w:rPr>
          <w:sz w:val="20"/>
          <w:szCs w:val="20"/>
        </w:rPr>
        <w:t xml:space="preserve"> Christopher de Hamel, “Chapter 6: Books for Everyone” in </w:t>
      </w:r>
      <w:r>
        <w:rPr>
          <w:i/>
          <w:sz w:val="20"/>
          <w:szCs w:val="20"/>
        </w:rPr>
        <w:t>A History of Illuminated Manuscripts</w:t>
      </w:r>
      <w:r>
        <w:rPr>
          <w:sz w:val="20"/>
          <w:szCs w:val="20"/>
        </w:rPr>
        <w:t xml:space="preserve"> (D.R. </w:t>
      </w:r>
      <w:proofErr w:type="spellStart"/>
      <w:r>
        <w:rPr>
          <w:sz w:val="20"/>
          <w:szCs w:val="20"/>
        </w:rPr>
        <w:t>Godine</w:t>
      </w:r>
      <w:proofErr w:type="spellEnd"/>
      <w:r>
        <w:rPr>
          <w:sz w:val="20"/>
          <w:szCs w:val="20"/>
        </w:rPr>
        <w:t>, 1986) p. 165</w:t>
      </w:r>
    </w:p>
  </w:footnote>
  <w:footnote w:id="16">
    <w:p w14:paraId="00000041" w14:textId="77777777" w:rsidR="00A2570B" w:rsidRDefault="00BD510F">
      <w:pPr>
        <w:spacing w:line="240" w:lineRule="auto"/>
        <w:rPr>
          <w:sz w:val="20"/>
          <w:szCs w:val="20"/>
        </w:rPr>
      </w:pPr>
      <w:r>
        <w:rPr>
          <w:vertAlign w:val="superscript"/>
        </w:rPr>
        <w:footnoteRef/>
      </w:r>
      <w:r>
        <w:rPr>
          <w:sz w:val="20"/>
          <w:szCs w:val="20"/>
        </w:rPr>
        <w:t xml:space="preserve"> Eamon Duffy, </w:t>
      </w:r>
      <w:r>
        <w:rPr>
          <w:i/>
          <w:sz w:val="20"/>
          <w:szCs w:val="20"/>
        </w:rPr>
        <w:t>Marking the Hours: English People and Their Prayers 1240-1570</w:t>
      </w:r>
      <w:r>
        <w:rPr>
          <w:sz w:val="20"/>
          <w:szCs w:val="20"/>
        </w:rPr>
        <w:t xml:space="preserve"> (Yale University Press, 2006) p. 21</w:t>
      </w:r>
    </w:p>
  </w:footnote>
  <w:footnote w:id="17">
    <w:p w14:paraId="0000003B" w14:textId="77777777" w:rsidR="00A2570B" w:rsidRDefault="00BD510F">
      <w:pPr>
        <w:spacing w:line="240" w:lineRule="auto"/>
        <w:rPr>
          <w:sz w:val="20"/>
          <w:szCs w:val="20"/>
        </w:rPr>
      </w:pPr>
      <w:r>
        <w:rPr>
          <w:vertAlign w:val="superscript"/>
        </w:rPr>
        <w:footnoteRef/>
      </w:r>
      <w:r>
        <w:rPr>
          <w:sz w:val="20"/>
          <w:szCs w:val="20"/>
        </w:rPr>
        <w:t xml:space="preserve"> Janet Backhouse, </w:t>
      </w:r>
      <w:r>
        <w:rPr>
          <w:i/>
          <w:sz w:val="20"/>
          <w:szCs w:val="20"/>
        </w:rPr>
        <w:t xml:space="preserve">The Illuminated Manuscript </w:t>
      </w:r>
      <w:r>
        <w:rPr>
          <w:sz w:val="20"/>
          <w:szCs w:val="20"/>
        </w:rPr>
        <w:t>(</w:t>
      </w:r>
      <w:proofErr w:type="spellStart"/>
      <w:r>
        <w:rPr>
          <w:sz w:val="20"/>
          <w:szCs w:val="20"/>
        </w:rPr>
        <w:t>Phaidon</w:t>
      </w:r>
      <w:proofErr w:type="spellEnd"/>
      <w:r>
        <w:rPr>
          <w:sz w:val="20"/>
          <w:szCs w:val="20"/>
        </w:rPr>
        <w:t>, 2006) p.9</w:t>
      </w:r>
    </w:p>
  </w:footnote>
  <w:footnote w:id="18">
    <w:p w14:paraId="0000003C" w14:textId="77777777" w:rsidR="00A2570B" w:rsidRDefault="00BD510F">
      <w:pPr>
        <w:spacing w:line="240" w:lineRule="auto"/>
        <w:rPr>
          <w:sz w:val="20"/>
          <w:szCs w:val="20"/>
        </w:rPr>
      </w:pPr>
      <w:r>
        <w:rPr>
          <w:vertAlign w:val="superscript"/>
        </w:rPr>
        <w:footnoteRef/>
      </w:r>
      <w:r>
        <w:rPr>
          <w:sz w:val="20"/>
          <w:szCs w:val="20"/>
        </w:rPr>
        <w:t xml:space="preserve"> de Hamel, “Books for Everyone” p. 179.</w:t>
      </w:r>
    </w:p>
  </w:footnote>
  <w:footnote w:id="19">
    <w:p w14:paraId="0000003A" w14:textId="77777777" w:rsidR="00A2570B" w:rsidRDefault="00BD510F">
      <w:pPr>
        <w:spacing w:line="240" w:lineRule="auto"/>
        <w:rPr>
          <w:sz w:val="20"/>
          <w:szCs w:val="20"/>
        </w:rPr>
      </w:pPr>
      <w:r>
        <w:rPr>
          <w:vertAlign w:val="superscript"/>
        </w:rPr>
        <w:footnoteRef/>
      </w:r>
      <w:r>
        <w:rPr>
          <w:sz w:val="20"/>
          <w:szCs w:val="20"/>
        </w:rPr>
        <w:t xml:space="preserve"> Ibid., p. 183 </w:t>
      </w:r>
    </w:p>
  </w:footnote>
  <w:footnote w:id="20">
    <w:p w14:paraId="0000003D" w14:textId="77777777" w:rsidR="00A2570B" w:rsidRDefault="00BD510F">
      <w:pPr>
        <w:spacing w:line="240" w:lineRule="auto"/>
        <w:rPr>
          <w:sz w:val="20"/>
          <w:szCs w:val="20"/>
        </w:rPr>
      </w:pPr>
      <w:r>
        <w:rPr>
          <w:vertAlign w:val="superscript"/>
        </w:rPr>
        <w:footnoteRef/>
      </w:r>
      <w:r>
        <w:rPr>
          <w:sz w:val="20"/>
          <w:szCs w:val="20"/>
        </w:rPr>
        <w:t xml:space="preserve"> Ibid., p. 179 </w:t>
      </w:r>
    </w:p>
  </w:footnote>
  <w:footnote w:id="21">
    <w:p w14:paraId="0000002D" w14:textId="77777777" w:rsidR="00A2570B" w:rsidRDefault="00BD510F">
      <w:pPr>
        <w:spacing w:line="240" w:lineRule="auto"/>
        <w:rPr>
          <w:sz w:val="20"/>
          <w:szCs w:val="20"/>
        </w:rPr>
      </w:pPr>
      <w:r>
        <w:rPr>
          <w:vertAlign w:val="superscript"/>
        </w:rPr>
        <w:footnoteRef/>
      </w:r>
      <w:r>
        <w:rPr>
          <w:sz w:val="20"/>
          <w:szCs w:val="20"/>
        </w:rPr>
        <w:t xml:space="preserve"> John Oliver Hand, </w:t>
      </w:r>
      <w:r>
        <w:rPr>
          <w:i/>
          <w:sz w:val="20"/>
          <w:szCs w:val="20"/>
        </w:rPr>
        <w:t>Early Netherlandish Painting</w:t>
      </w:r>
      <w:r>
        <w:rPr>
          <w:sz w:val="20"/>
          <w:szCs w:val="20"/>
        </w:rPr>
        <w:t xml:space="preserve"> (Cambridge University Press, 1986), p. 246.</w:t>
      </w:r>
    </w:p>
  </w:footnote>
  <w:footnote w:id="22">
    <w:p w14:paraId="0000003E" w14:textId="77777777" w:rsidR="00A2570B" w:rsidRDefault="00BD510F">
      <w:pPr>
        <w:spacing w:line="240" w:lineRule="auto"/>
        <w:rPr>
          <w:sz w:val="20"/>
          <w:szCs w:val="20"/>
        </w:rPr>
      </w:pPr>
      <w:r>
        <w:rPr>
          <w:vertAlign w:val="superscript"/>
        </w:rPr>
        <w:footnoteRef/>
      </w:r>
      <w:r>
        <w:rPr>
          <w:sz w:val="20"/>
          <w:szCs w:val="20"/>
        </w:rPr>
        <w:t xml:space="preserve"> </w:t>
      </w:r>
      <w:proofErr w:type="spellStart"/>
      <w:r>
        <w:rPr>
          <w:sz w:val="20"/>
          <w:szCs w:val="20"/>
        </w:rPr>
        <w:t>Phila</w:t>
      </w:r>
      <w:r>
        <w:rPr>
          <w:sz w:val="20"/>
          <w:szCs w:val="20"/>
        </w:rPr>
        <w:t>dephia</w:t>
      </w:r>
      <w:proofErr w:type="spellEnd"/>
      <w:r>
        <w:rPr>
          <w:sz w:val="20"/>
          <w:szCs w:val="20"/>
        </w:rPr>
        <w:t>, Free Library, MS Widener 3, Book of Hours (fol. 22r)</w:t>
      </w:r>
    </w:p>
  </w:footnote>
  <w:footnote w:id="23">
    <w:p w14:paraId="00000040" w14:textId="77777777" w:rsidR="00A2570B" w:rsidRDefault="00BD510F">
      <w:pPr>
        <w:spacing w:line="240" w:lineRule="auto"/>
        <w:rPr>
          <w:sz w:val="20"/>
          <w:szCs w:val="20"/>
        </w:rPr>
      </w:pPr>
      <w:r>
        <w:rPr>
          <w:vertAlign w:val="superscript"/>
        </w:rPr>
        <w:footnoteRef/>
      </w:r>
      <w:r>
        <w:rPr>
          <w:sz w:val="20"/>
          <w:szCs w:val="20"/>
        </w:rPr>
        <w:t xml:space="preserve"> Duffy, </w:t>
      </w:r>
      <w:r>
        <w:rPr>
          <w:i/>
          <w:sz w:val="20"/>
          <w:szCs w:val="20"/>
        </w:rPr>
        <w:t>Marking the Hours</w:t>
      </w:r>
      <w:r>
        <w:rPr>
          <w:sz w:val="20"/>
          <w:szCs w:val="20"/>
        </w:rPr>
        <w:t>, p. 25</w:t>
      </w:r>
    </w:p>
  </w:footnote>
  <w:footnote w:id="24">
    <w:p w14:paraId="0000003F" w14:textId="77777777" w:rsidR="00A2570B" w:rsidRDefault="00BD510F">
      <w:pPr>
        <w:spacing w:line="240" w:lineRule="auto"/>
        <w:rPr>
          <w:sz w:val="20"/>
          <w:szCs w:val="20"/>
        </w:rPr>
      </w:pPr>
      <w:r>
        <w:rPr>
          <w:vertAlign w:val="superscript"/>
        </w:rPr>
        <w:footnoteRef/>
      </w:r>
      <w:r>
        <w:rPr>
          <w:sz w:val="20"/>
          <w:szCs w:val="20"/>
        </w:rPr>
        <w:t xml:space="preserve"> Ibid., p. 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70B"/>
    <w:rsid w:val="00A2570B"/>
    <w:rsid w:val="00BD51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C5121"/>
  <w15:docId w15:val="{3BD66DD6-BCB0-470B-B76B-C404D3577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1891</Words>
  <Characters>9363</Characters>
  <Application>Microsoft Office Word</Application>
  <DocSecurity>0</DocSecurity>
  <Lines>148</Lines>
  <Paragraphs>28</Paragraphs>
  <ScaleCrop>false</ScaleCrop>
  <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denize jacques</cp:lastModifiedBy>
  <cp:revision>2</cp:revision>
  <dcterms:created xsi:type="dcterms:W3CDTF">2020-06-12T20:38:00Z</dcterms:created>
  <dcterms:modified xsi:type="dcterms:W3CDTF">2020-06-12T20:38:00Z</dcterms:modified>
</cp:coreProperties>
</file>