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529D984C" w:rsidR="5A453747" w:rsidRDefault="00787E3C">
      <w:sdt>
        <w:sdtPr>
          <w:id w:val="998230944"/>
          <w:citation/>
        </w:sdtPr>
        <w:sdtContent>
          <w:r>
            <w:fldChar w:fldCharType="begin"/>
          </w:r>
          <w:r>
            <w:instrText xml:space="preserve"> CITATION HMG05 \l 2057 </w:instrText>
          </w:r>
          <w:r>
            <w:fldChar w:fldCharType="separate"/>
          </w:r>
          <w:r>
            <w:rPr>
              <w:noProof/>
            </w:rPr>
            <w:t>(HM Government, 2005)</w:t>
          </w:r>
          <w:r>
            <w:fldChar w:fldCharType="end"/>
          </w:r>
        </w:sdtContent>
      </w:sdt>
      <w:sdt>
        <w:sdtPr>
          <w:id w:val="1738733982"/>
          <w:citation/>
        </w:sdtPr>
        <w:sdtContent>
          <w:r>
            <w:fldChar w:fldCharType="begin"/>
          </w:r>
          <w:r>
            <w:instrText xml:space="preserve"> CITATION HMG08 \l 2057 </w:instrText>
          </w:r>
          <w:r>
            <w:fldChar w:fldCharType="separate"/>
          </w:r>
          <w:r>
            <w:rPr>
              <w:noProof/>
            </w:rPr>
            <w:t xml:space="preserve"> (HM Government, 2008)</w:t>
          </w:r>
          <w:r>
            <w:fldChar w:fldCharType="end"/>
          </w:r>
        </w:sdtContent>
      </w:sdt>
      <w:r w:rsidR="00012B16">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386C96CC" w:rsidR="008B28E7" w:rsidRDefault="00BB7FD2" w:rsidP="00FF7EBB">
            <w:pPr>
              <w:jc w:val="both"/>
              <w:rPr>
                <w:sz w:val="24"/>
                <w:szCs w:val="24"/>
              </w:rPr>
            </w:pPr>
            <w:r>
              <w:rPr>
                <w:sz w:val="24"/>
                <w:szCs w:val="24"/>
              </w:rPr>
              <w:t xml:space="preserve">In an </w:t>
            </w:r>
            <w:r w:rsidR="00007636">
              <w:rPr>
                <w:sz w:val="24"/>
                <w:szCs w:val="24"/>
              </w:rPr>
              <w:t>adult social</w:t>
            </w:r>
            <w:r w:rsidRPr="00AE1868">
              <w:rPr>
                <w:b/>
                <w:sz w:val="24"/>
                <w:szCs w:val="24"/>
              </w:rPr>
              <w:t xml:space="preserve"> work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sidR="00007636">
              <w:rPr>
                <w:sz w:val="24"/>
                <w:szCs w:val="24"/>
              </w:rPr>
              <w:t xml:space="preserve"> for safeguarding in wales</w:t>
            </w:r>
          </w:p>
          <w:p w14:paraId="49641ACD" w14:textId="3D745173" w:rsidR="00FC0334" w:rsidRDefault="00FC0334" w:rsidP="00FF7EBB">
            <w:pPr>
              <w:jc w:val="both"/>
              <w:rPr>
                <w:sz w:val="24"/>
                <w:szCs w:val="24"/>
              </w:rPr>
            </w:pPr>
          </w:p>
          <w:p w14:paraId="65966BFA" w14:textId="77777777"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u w:val="single"/>
              </w:rPr>
              <w:t>Relevant legislation</w:t>
            </w:r>
            <w:r>
              <w:rPr>
                <w:rStyle w:val="normaltextrun"/>
                <w:rFonts w:ascii="Calibri" w:hAnsi="Calibri" w:cs="Calibri"/>
                <w:color w:val="000000"/>
              </w:rPr>
              <w:t> </w:t>
            </w:r>
            <w:r>
              <w:rPr>
                <w:rStyle w:val="eop"/>
                <w:rFonts w:ascii="Calibri" w:hAnsi="Calibri" w:cs="Calibri"/>
                <w:color w:val="000000"/>
              </w:rPr>
              <w:t> </w:t>
            </w:r>
          </w:p>
          <w:p w14:paraId="56B94C6E" w14:textId="77777777"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w:t>
            </w:r>
            <w:r>
              <w:rPr>
                <w:rStyle w:val="eop"/>
                <w:rFonts w:ascii="Calibri" w:hAnsi="Calibri" w:cs="Calibri"/>
                <w:color w:val="000000"/>
              </w:rPr>
              <w:t> </w:t>
            </w:r>
          </w:p>
          <w:p w14:paraId="1DB60668" w14:textId="6A00040C"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xml:space="preserve">The primary legislation is the Social Services and Well-being (Wales) Act 2014 (SSWBA). The act provides an overarching framework that aims to promote the well-being of individuals who need care and support. The act places a duty on local authorities to protect adults that are at risk of abuse. Key aspects in this act are, the Well-being principle, it puts focus on the well-being of all individuals </w:t>
            </w:r>
            <w:r w:rsidR="00D06CC8">
              <w:rPr>
                <w:rStyle w:val="normaltextrun"/>
                <w:rFonts w:ascii="Calibri" w:hAnsi="Calibri" w:cs="Calibri"/>
                <w:color w:val="000000"/>
              </w:rPr>
              <w:t>and their</w:t>
            </w:r>
            <w:r>
              <w:rPr>
                <w:rStyle w:val="normaltextrun"/>
                <w:rFonts w:ascii="Calibri" w:hAnsi="Calibri" w:cs="Calibri"/>
                <w:color w:val="000000"/>
              </w:rPr>
              <w:t xml:space="preserve"> protection from abuse and neglect. Another principle is voice and control. This principle aims to ensure that people are involved in decisions about their care and support. Individual rights are enshrined in the act and individuals’ voice and control must be at the forefront of any</w:t>
            </w:r>
            <w:r w:rsidR="00D06CC8">
              <w:rPr>
                <w:rStyle w:val="normaltextrun"/>
                <w:rFonts w:ascii="Calibri" w:hAnsi="Calibri" w:cs="Calibri"/>
                <w:color w:val="000000"/>
              </w:rPr>
              <w:t> planning</w:t>
            </w:r>
            <w:r>
              <w:rPr>
                <w:rStyle w:val="normaltextrun"/>
                <w:rFonts w:ascii="Calibri" w:hAnsi="Calibri" w:cs="Calibri"/>
                <w:color w:val="000000"/>
              </w:rPr>
              <w:t>. The act puts an onus on preventative services, the act mandates that there should be a provision of services that meets people’s needs to prevent them needing more costly and intrusive care and support. </w:t>
            </w:r>
            <w:r>
              <w:rPr>
                <w:rStyle w:val="eop"/>
                <w:rFonts w:ascii="Calibri" w:hAnsi="Calibri" w:cs="Calibri"/>
                <w:color w:val="000000"/>
              </w:rPr>
              <w:t> </w:t>
            </w:r>
          </w:p>
          <w:p w14:paraId="6B209394" w14:textId="77777777"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w:t>
            </w:r>
            <w:r>
              <w:rPr>
                <w:rStyle w:val="eop"/>
                <w:rFonts w:ascii="Calibri" w:hAnsi="Calibri" w:cs="Calibri"/>
                <w:color w:val="000000"/>
              </w:rPr>
              <w:t> </w:t>
            </w:r>
          </w:p>
          <w:p w14:paraId="5BCA7FC3" w14:textId="77777777"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xml:space="preserve">The SSWBA is the overarching legislation in adult social work in Wales however there is other legislation, the Mental Capacity Act 2005 (MCA), is vital in ensuring that people’s right to have a voice is respected. Capacity is a significant factor in adult social work. Understanding capacity and ensuring that best interest assessments are conducted thoroughly and fairly are vital as the MCA protects individuals who may lack capacity to make decisions about their life or whether a person has capacity to make decisions. The MCA safeguards people’s rights and dignity as individuals as set out in the Human Rights Act 1998.  </w:t>
            </w:r>
            <w:r>
              <w:rPr>
                <w:rStyle w:val="eop"/>
                <w:rFonts w:ascii="Calibri" w:hAnsi="Calibri" w:cs="Calibri"/>
                <w:color w:val="000000"/>
              </w:rPr>
              <w:t> </w:t>
            </w:r>
          </w:p>
          <w:p w14:paraId="0294445E" w14:textId="77777777" w:rsidR="001A0141" w:rsidRDefault="001A0141" w:rsidP="001A0141">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rPr>
              <w:t> </w:t>
            </w:r>
            <w:r>
              <w:rPr>
                <w:rStyle w:val="eop"/>
                <w:rFonts w:ascii="Calibri" w:hAnsi="Calibri" w:cs="Calibri"/>
                <w:color w:val="000000"/>
                <w:lang w:val="en-US"/>
              </w:rPr>
              <w:t> </w:t>
            </w:r>
          </w:p>
          <w:p w14:paraId="0D0F8C8A" w14:textId="77777777"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u w:val="single"/>
              </w:rPr>
              <w:t>National Policies</w:t>
            </w:r>
            <w:r>
              <w:rPr>
                <w:rStyle w:val="eop"/>
                <w:rFonts w:ascii="Calibri" w:hAnsi="Calibri" w:cs="Calibri"/>
                <w:color w:val="000000"/>
              </w:rPr>
              <w:t> </w:t>
            </w:r>
          </w:p>
          <w:p w14:paraId="288F3B11" w14:textId="77777777"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w:t>
            </w:r>
            <w:r>
              <w:rPr>
                <w:rStyle w:val="eop"/>
                <w:rFonts w:ascii="Calibri" w:hAnsi="Calibri" w:cs="Calibri"/>
                <w:color w:val="000000"/>
              </w:rPr>
              <w:t> </w:t>
            </w:r>
          </w:p>
          <w:p w14:paraId="19D9B6BD" w14:textId="77777777"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In Wales, the SSWBA informs policies and procedures. Safeguarding guidance in Wales is provided in detail in The Wales Safeguarding Procedures. These procedures are an invaluable resource for social workers who work with adults. They provide an outline of the roles and responsibilities of social workers when safeguarding adults who are at risk. These procedures put an emphasis on a multi-</w:t>
            </w:r>
            <w:r>
              <w:rPr>
                <w:rStyle w:val="normaltextrun"/>
                <w:rFonts w:ascii="Calibri" w:hAnsi="Calibri" w:cs="Calibri"/>
                <w:color w:val="000000"/>
              </w:rPr>
              <w:lastRenderedPageBreak/>
              <w:t>disciplinary approach. This is vital in NHS led teams such as the community drug and alcohol team, where social workers work alongside arrange of health professionals including, consultants, GP’s, Nurses and third sector agencies. </w:t>
            </w:r>
            <w:r>
              <w:rPr>
                <w:rStyle w:val="eop"/>
                <w:rFonts w:ascii="Calibri" w:hAnsi="Calibri" w:cs="Calibri"/>
                <w:color w:val="000000"/>
              </w:rPr>
              <w:t> </w:t>
            </w:r>
          </w:p>
          <w:p w14:paraId="50442466" w14:textId="77777777"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w:t>
            </w:r>
            <w:r>
              <w:rPr>
                <w:rStyle w:val="eop"/>
                <w:rFonts w:ascii="Calibri" w:hAnsi="Calibri" w:cs="Calibri"/>
                <w:color w:val="000000"/>
              </w:rPr>
              <w:t> </w:t>
            </w:r>
          </w:p>
          <w:p w14:paraId="613533EF" w14:textId="77777777"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u w:val="single"/>
              </w:rPr>
              <w:t>Organisational Policies</w:t>
            </w:r>
            <w:r>
              <w:rPr>
                <w:rStyle w:val="eop"/>
                <w:rFonts w:ascii="Calibri" w:hAnsi="Calibri" w:cs="Calibri"/>
                <w:color w:val="000000"/>
              </w:rPr>
              <w:t> </w:t>
            </w:r>
          </w:p>
          <w:p w14:paraId="511635EF" w14:textId="77777777"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w:t>
            </w:r>
            <w:r>
              <w:rPr>
                <w:rStyle w:val="eop"/>
                <w:rFonts w:ascii="Calibri" w:hAnsi="Calibri" w:cs="Calibri"/>
                <w:color w:val="000000"/>
              </w:rPr>
              <w:t> </w:t>
            </w:r>
          </w:p>
          <w:p w14:paraId="5C1FF10F" w14:textId="77777777"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Localised policies underline how important community involvement and local resources are in supporting vulnerable adults. Local safeguarding boards can coordinate safeguarding and ensure that professionals comply with national standards. It is also important to note that many social workers who work with adults work in NHS led teams. Work with Local health boards that have their own safeguarding guidelines to ensure that staff recognise and respond to abuse and neglect. </w:t>
            </w:r>
            <w:r>
              <w:rPr>
                <w:rStyle w:val="eop"/>
                <w:rFonts w:ascii="Calibri" w:hAnsi="Calibri" w:cs="Calibri"/>
                <w:color w:val="000000"/>
              </w:rPr>
              <w:t> </w:t>
            </w:r>
          </w:p>
          <w:p w14:paraId="506FA11E" w14:textId="77777777"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w:t>
            </w:r>
            <w:r>
              <w:rPr>
                <w:rStyle w:val="eop"/>
                <w:rFonts w:ascii="Calibri" w:hAnsi="Calibri" w:cs="Calibri"/>
                <w:color w:val="000000"/>
              </w:rPr>
              <w:t> </w:t>
            </w:r>
          </w:p>
          <w:p w14:paraId="6584DF7A" w14:textId="77777777"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w:t>
            </w:r>
            <w:r>
              <w:rPr>
                <w:rStyle w:val="normaltextrun"/>
                <w:rFonts w:ascii="Calibri" w:hAnsi="Calibri" w:cs="Calibri"/>
                <w:color w:val="000000"/>
                <w:u w:val="single"/>
              </w:rPr>
              <w:t>Recognising abuse and neglect</w:t>
            </w:r>
            <w:r>
              <w:rPr>
                <w:rStyle w:val="eop"/>
                <w:rFonts w:ascii="Calibri" w:hAnsi="Calibri" w:cs="Calibri"/>
                <w:color w:val="000000"/>
              </w:rPr>
              <w:t> </w:t>
            </w:r>
          </w:p>
          <w:p w14:paraId="357E3485" w14:textId="77777777" w:rsidR="001A0141" w:rsidRDefault="001A0141" w:rsidP="001A0141">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color w:val="000000"/>
                <w:lang w:val="en-US"/>
              </w:rPr>
              <w:t> </w:t>
            </w:r>
          </w:p>
          <w:p w14:paraId="45B1AD0E" w14:textId="251C4549"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xml:space="preserve">There are several varied factors that can indicate abuse, neglect, </w:t>
            </w:r>
            <w:r w:rsidR="00787E3C">
              <w:rPr>
                <w:rStyle w:val="normaltextrun"/>
                <w:rFonts w:ascii="Calibri" w:hAnsi="Calibri" w:cs="Calibri"/>
                <w:color w:val="000000"/>
              </w:rPr>
              <w:t>and risk</w:t>
            </w:r>
            <w:r>
              <w:rPr>
                <w:rStyle w:val="normaltextrun"/>
                <w:rFonts w:ascii="Calibri" w:hAnsi="Calibri" w:cs="Calibri"/>
                <w:color w:val="000000"/>
              </w:rPr>
              <w:t xml:space="preserve"> of harm in adults. They can be complex and are often complicated due to adults being able to make decisions about their own welfare. Vulnerable adults can be at risk of abuse, social workers need to be mindful of indicators of abuse. There are many forms of abuse such as financial, sexual, neglect or physical abuse. If a person is deemed to not have capacity to make their own decisions, then they may need to be protected from harm and a social worker may need to act on their behalf. However, if a person has capacity, then if they refuse any interventions or support then their wishes must be respected. </w:t>
            </w:r>
            <w:r>
              <w:rPr>
                <w:rStyle w:val="eop"/>
                <w:rFonts w:ascii="Calibri" w:hAnsi="Calibri" w:cs="Calibri"/>
                <w:color w:val="000000"/>
              </w:rPr>
              <w:t> </w:t>
            </w:r>
          </w:p>
          <w:p w14:paraId="4C48CAA7" w14:textId="77777777" w:rsidR="001A0141" w:rsidRDefault="001A0141" w:rsidP="001A014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w:t>
            </w:r>
            <w:r>
              <w:rPr>
                <w:rStyle w:val="eop"/>
                <w:rFonts w:ascii="Calibri" w:hAnsi="Calibri" w:cs="Calibri"/>
                <w:color w:val="000000"/>
              </w:rPr>
              <w:t> </w:t>
            </w:r>
          </w:p>
          <w:p w14:paraId="32658A1C" w14:textId="61939D0C" w:rsidR="001A0141" w:rsidRDefault="001A0141" w:rsidP="00FF7EBB">
            <w:pPr>
              <w:jc w:val="both"/>
              <w:rPr>
                <w:sz w:val="24"/>
                <w:szCs w:val="24"/>
              </w:rPr>
            </w:pPr>
            <w:r>
              <w:rPr>
                <w:sz w:val="24"/>
                <w:szCs w:val="24"/>
              </w:rPr>
              <w:t>Word count 547</w:t>
            </w: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490661CD"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14E2C08E" w14:textId="489C1F45" w:rsidR="001A0141" w:rsidRDefault="001A0141" w:rsidP="00FC0334">
            <w:pPr>
              <w:jc w:val="both"/>
              <w:rPr>
                <w:sz w:val="24"/>
                <w:szCs w:val="24"/>
              </w:rPr>
            </w:pPr>
          </w:p>
          <w:p w14:paraId="466CF28C"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Safeguarding is a critical part of both adult and children’s social work, it aims to protect people from abuse, neglect, and harm. Social work approaches differ significantly between adults and children, this is due to varying legal frameworks and developmental stages and rights. </w:t>
            </w:r>
            <w:r>
              <w:rPr>
                <w:rStyle w:val="eop"/>
                <w:rFonts w:ascii="Arial" w:hAnsi="Arial" w:cs="Arial"/>
                <w:color w:val="000000"/>
                <w:lang w:val="en-US"/>
              </w:rPr>
              <w:t> </w:t>
            </w:r>
          </w:p>
          <w:p w14:paraId="5CA1CF7B"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46A18DBB"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u w:val="single"/>
              </w:rPr>
              <w:t>Legal Frameworks</w:t>
            </w:r>
            <w:r>
              <w:rPr>
                <w:rStyle w:val="eop"/>
                <w:rFonts w:ascii="Arial" w:hAnsi="Arial" w:cs="Arial"/>
                <w:color w:val="000000"/>
                <w:lang w:val="en-US"/>
              </w:rPr>
              <w:t> </w:t>
            </w:r>
          </w:p>
          <w:p w14:paraId="3EC715ED"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76A0FA83"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In Wales, the overarching safeguarding legislation is the Social Services and Well-being (Wales) Act 2014 (SSWBA). The act covers individuals in need of care and support but has distinct parts for each. In Adults an important part of safeguarding legislation is the mental capacity Act 2005 (MCA). The MCA does not apply to children. The SSWBA provides the </w:t>
            </w:r>
            <w:r>
              <w:rPr>
                <w:rStyle w:val="normaltextrun"/>
                <w:rFonts w:ascii="Arial" w:hAnsi="Arial" w:cs="Arial"/>
                <w:color w:val="000000"/>
              </w:rPr>
              <w:lastRenderedPageBreak/>
              <w:t>framework for safeguarding adults who are at risk of. The Act puts a duty onto local authorities, so they must investigate concerns.</w:t>
            </w:r>
            <w:r>
              <w:rPr>
                <w:rStyle w:val="eop"/>
                <w:rFonts w:ascii="Arial" w:hAnsi="Arial" w:cs="Arial"/>
                <w:color w:val="000000"/>
                <w:lang w:val="en-US"/>
              </w:rPr>
              <w:t> </w:t>
            </w:r>
          </w:p>
          <w:p w14:paraId="18B7767E"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eop"/>
                <w:rFonts w:ascii="Arial" w:hAnsi="Arial" w:cs="Arial"/>
                <w:color w:val="000000"/>
                <w:lang w:val="en-US"/>
              </w:rPr>
              <w:t> </w:t>
            </w:r>
          </w:p>
          <w:p w14:paraId="51497FD6"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0BBA1A33"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u w:val="single"/>
              </w:rPr>
              <w:t>Developmental consideration</w:t>
            </w:r>
            <w:r>
              <w:rPr>
                <w:rStyle w:val="eop"/>
                <w:rFonts w:ascii="Arial" w:hAnsi="Arial" w:cs="Arial"/>
                <w:color w:val="000000"/>
                <w:lang w:val="en-US"/>
              </w:rPr>
              <w:t> </w:t>
            </w:r>
          </w:p>
          <w:p w14:paraId="7D8BC7C0"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767B1DE9"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As children are at the start of their developmental life course, emotionally and physically. They are more vulnerable to abuse neglect and harm, usually they rely on their parents to provide for them and meet their basic needs. Childrens social workers must ensure that all interventions support growth, positive attachments, and well-being. They must be at the centre of all decisions made for them by social workers. </w:t>
            </w:r>
            <w:r>
              <w:rPr>
                <w:rStyle w:val="eop"/>
                <w:rFonts w:ascii="Arial" w:hAnsi="Arial" w:cs="Arial"/>
                <w:color w:val="000000"/>
                <w:lang w:val="en-US"/>
              </w:rPr>
              <w:t> </w:t>
            </w:r>
          </w:p>
          <w:p w14:paraId="6C377BF0"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279A8F9D"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Adult safeguarding differs as social workers are required to respect autonomy and capacity in the decision-making process. As the MCA says adults that have capacity have the right to make decisions about their lives. Adults can male unwise decisions. Children, however, do not have this autonomy and are not seen to be mature enough to understand or make decisions about their safety. On reflection in my role in children’s social work I work with parent’s lot. The difference is that I am the child’s advocate and while I provide a lot of support to the parents my focus when working with them is safeguarding the child. </w:t>
            </w:r>
            <w:r>
              <w:rPr>
                <w:rStyle w:val="eop"/>
                <w:rFonts w:ascii="Arial" w:hAnsi="Arial" w:cs="Arial"/>
                <w:color w:val="000000"/>
                <w:lang w:val="en-US"/>
              </w:rPr>
              <w:t> </w:t>
            </w:r>
          </w:p>
          <w:p w14:paraId="6F844363"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eop"/>
                <w:rFonts w:ascii="Arial" w:hAnsi="Arial" w:cs="Arial"/>
                <w:color w:val="000000"/>
                <w:lang w:val="en-US"/>
              </w:rPr>
              <w:t> </w:t>
            </w:r>
          </w:p>
          <w:p w14:paraId="401A2680"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u w:val="single"/>
              </w:rPr>
              <w:t xml:space="preserve">Multi-agency </w:t>
            </w:r>
            <w:r>
              <w:rPr>
                <w:rStyle w:val="eop"/>
                <w:rFonts w:ascii="Arial" w:hAnsi="Arial" w:cs="Arial"/>
                <w:color w:val="000000"/>
                <w:lang w:val="en-US"/>
              </w:rPr>
              <w:t> </w:t>
            </w:r>
          </w:p>
          <w:p w14:paraId="4643C7F4"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315AB21C"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Safeguarding children and adults require collaboration from social workers and other professionals, but this co-operation can differ. In the safeguarding of children, agencies such as schools, health visitors and social services are all required to work together to monitor a child’s progress and ensure they are safeguarded. For adults it differs because although collaboration with health is prominent, adults have the right to make their own decisions unless they have been deemed to lack capacity in certain areas then others such as social workers or carers make decisions on their behalf. Although there are differences in the way agencies work together the principles of safeguarding remain the same across adults and children’s social work. It is just that adults have the right of self-determination and can refuse to work with professionals if they choose.</w:t>
            </w:r>
            <w:r>
              <w:rPr>
                <w:rStyle w:val="eop"/>
                <w:rFonts w:ascii="Arial" w:hAnsi="Arial" w:cs="Arial"/>
                <w:color w:val="000000"/>
                <w:lang w:val="en-US"/>
              </w:rPr>
              <w:t> </w:t>
            </w:r>
          </w:p>
          <w:p w14:paraId="7F6FA72C" w14:textId="77777777" w:rsidR="00D06CC8" w:rsidRDefault="00D06CC8" w:rsidP="00D06CC8">
            <w:pPr>
              <w:pStyle w:val="paragraph"/>
              <w:spacing w:before="0" w:beforeAutospacing="0" w:after="0" w:afterAutospacing="0"/>
              <w:jc w:val="both"/>
              <w:textAlignment w:val="baseline"/>
              <w:rPr>
                <w:rFonts w:ascii="Segoe UI" w:hAnsi="Segoe UI" w:cs="Segoe UI"/>
                <w:sz w:val="18"/>
                <w:szCs w:val="18"/>
                <w:lang w:val="en-US"/>
              </w:rPr>
            </w:pPr>
            <w:r>
              <w:rPr>
                <w:rStyle w:val="eop"/>
                <w:rFonts w:ascii="Calibri" w:hAnsi="Calibri" w:cs="Calibri"/>
                <w:sz w:val="22"/>
                <w:szCs w:val="22"/>
                <w:lang w:val="en-US"/>
              </w:rPr>
              <w:t> </w:t>
            </w:r>
          </w:p>
          <w:p w14:paraId="2868679E" w14:textId="2A6B755C" w:rsidR="00D06CC8" w:rsidRDefault="00787E3C" w:rsidP="00FC0334">
            <w:pPr>
              <w:jc w:val="both"/>
              <w:rPr>
                <w:sz w:val="24"/>
                <w:szCs w:val="24"/>
              </w:rPr>
            </w:pPr>
            <w:r>
              <w:rPr>
                <w:sz w:val="24"/>
                <w:szCs w:val="24"/>
              </w:rPr>
              <w:t>Word count 435</w:t>
            </w:r>
          </w:p>
          <w:p w14:paraId="7743E730" w14:textId="77777777" w:rsidR="001A0141" w:rsidRDefault="001A0141" w:rsidP="00FC0334">
            <w:pPr>
              <w:jc w:val="both"/>
              <w:rPr>
                <w:sz w:val="24"/>
                <w:szCs w:val="24"/>
              </w:rPr>
            </w:pP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D8452EB" w:rsidR="00FC0334" w:rsidRPr="006108C9" w:rsidRDefault="00FC0334" w:rsidP="00FC0334">
            <w:pPr>
              <w:jc w:val="both"/>
              <w:rPr>
                <w:sz w:val="24"/>
                <w:szCs w:val="24"/>
              </w:rPr>
            </w:pPr>
            <w:bookmarkStart w:id="0" w:name="_GoBack"/>
            <w:bookmarkEnd w:id="0"/>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3EF1FF" w14:textId="77777777" w:rsidR="00594756" w:rsidRDefault="00594756">
      <w:r>
        <w:separator/>
      </w:r>
    </w:p>
  </w:endnote>
  <w:endnote w:type="continuationSeparator" w:id="0">
    <w:p w14:paraId="5B33F33B" w14:textId="77777777" w:rsidR="00594756" w:rsidRDefault="00594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CF3A7A2" w:rsidR="00A5656A" w:rsidRDefault="00A5656A">
    <w:pPr>
      <w:pStyle w:val="Footer"/>
      <w:jc w:val="right"/>
    </w:pPr>
    <w:r>
      <w:fldChar w:fldCharType="begin"/>
    </w:r>
    <w:r>
      <w:instrText xml:space="preserve"> PAGE   \* MERGEFORMAT </w:instrText>
    </w:r>
    <w:r>
      <w:fldChar w:fldCharType="separate"/>
    </w:r>
    <w:r w:rsidR="00413199">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915BB" w14:textId="77777777" w:rsidR="00594756" w:rsidRDefault="00594756">
      <w:r>
        <w:separator/>
      </w:r>
    </w:p>
  </w:footnote>
  <w:footnote w:type="continuationSeparator" w:id="0">
    <w:p w14:paraId="30E1E8F8" w14:textId="77777777" w:rsidR="00594756" w:rsidRDefault="005947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07636"/>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67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0141"/>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3199"/>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756"/>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2AB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87E3C"/>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6CC8"/>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7125"/>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884C9B8B-9CCA-4835-9F7B-C9576FDC4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aragraph">
    <w:name w:val="paragraph"/>
    <w:basedOn w:val="Normal"/>
    <w:rsid w:val="001A014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1A0141"/>
  </w:style>
  <w:style w:type="character" w:customStyle="1" w:styleId="eop">
    <w:name w:val="eop"/>
    <w:basedOn w:val="DefaultParagraphFont"/>
    <w:rsid w:val="001A0141"/>
  </w:style>
  <w:style w:type="character" w:customStyle="1" w:styleId="Heading1Char">
    <w:name w:val="Heading 1 Char"/>
    <w:basedOn w:val="DefaultParagraphFont"/>
    <w:link w:val="Heading1"/>
    <w:uiPriority w:val="9"/>
    <w:rsid w:val="00413199"/>
    <w:rPr>
      <w:rFonts w:ascii="Arial" w:hAnsi="Arial" w:cs="Arial"/>
      <w:b/>
      <w:color w:val="000000"/>
      <w:kern w:val="28"/>
      <w:sz w:val="28"/>
    </w:rPr>
  </w:style>
  <w:style w:type="paragraph" w:styleId="Bibliography">
    <w:name w:val="Bibliography"/>
    <w:basedOn w:val="Normal"/>
    <w:next w:val="Normal"/>
    <w:uiPriority w:val="37"/>
    <w:unhideWhenUsed/>
    <w:rsid w:val="004131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729177">
      <w:bodyDiv w:val="1"/>
      <w:marLeft w:val="0"/>
      <w:marRight w:val="0"/>
      <w:marTop w:val="0"/>
      <w:marBottom w:val="0"/>
      <w:divBdr>
        <w:top w:val="none" w:sz="0" w:space="0" w:color="auto"/>
        <w:left w:val="none" w:sz="0" w:space="0" w:color="auto"/>
        <w:bottom w:val="none" w:sz="0" w:space="0" w:color="auto"/>
        <w:right w:val="none" w:sz="0" w:space="0" w:color="auto"/>
      </w:divBdr>
    </w:div>
    <w:div w:id="839471550">
      <w:bodyDiv w:val="1"/>
      <w:marLeft w:val="0"/>
      <w:marRight w:val="0"/>
      <w:marTop w:val="0"/>
      <w:marBottom w:val="0"/>
      <w:divBdr>
        <w:top w:val="none" w:sz="0" w:space="0" w:color="auto"/>
        <w:left w:val="none" w:sz="0" w:space="0" w:color="auto"/>
        <w:bottom w:val="none" w:sz="0" w:space="0" w:color="auto"/>
        <w:right w:val="none" w:sz="0" w:space="0" w:color="auto"/>
      </w:divBdr>
    </w:div>
    <w:div w:id="943154014">
      <w:bodyDiv w:val="1"/>
      <w:marLeft w:val="0"/>
      <w:marRight w:val="0"/>
      <w:marTop w:val="0"/>
      <w:marBottom w:val="0"/>
      <w:divBdr>
        <w:top w:val="none" w:sz="0" w:space="0" w:color="auto"/>
        <w:left w:val="none" w:sz="0" w:space="0" w:color="auto"/>
        <w:bottom w:val="none" w:sz="0" w:space="0" w:color="auto"/>
        <w:right w:val="none" w:sz="0" w:space="0" w:color="auto"/>
      </w:divBdr>
      <w:divsChild>
        <w:div w:id="87629261">
          <w:marLeft w:val="0"/>
          <w:marRight w:val="0"/>
          <w:marTop w:val="0"/>
          <w:marBottom w:val="0"/>
          <w:divBdr>
            <w:top w:val="none" w:sz="0" w:space="0" w:color="auto"/>
            <w:left w:val="none" w:sz="0" w:space="0" w:color="auto"/>
            <w:bottom w:val="none" w:sz="0" w:space="0" w:color="auto"/>
            <w:right w:val="none" w:sz="0" w:space="0" w:color="auto"/>
          </w:divBdr>
        </w:div>
        <w:div w:id="275453345">
          <w:marLeft w:val="0"/>
          <w:marRight w:val="0"/>
          <w:marTop w:val="0"/>
          <w:marBottom w:val="0"/>
          <w:divBdr>
            <w:top w:val="none" w:sz="0" w:space="0" w:color="auto"/>
            <w:left w:val="none" w:sz="0" w:space="0" w:color="auto"/>
            <w:bottom w:val="none" w:sz="0" w:space="0" w:color="auto"/>
            <w:right w:val="none" w:sz="0" w:space="0" w:color="auto"/>
          </w:divBdr>
        </w:div>
        <w:div w:id="409037712">
          <w:marLeft w:val="0"/>
          <w:marRight w:val="0"/>
          <w:marTop w:val="0"/>
          <w:marBottom w:val="0"/>
          <w:divBdr>
            <w:top w:val="none" w:sz="0" w:space="0" w:color="auto"/>
            <w:left w:val="none" w:sz="0" w:space="0" w:color="auto"/>
            <w:bottom w:val="none" w:sz="0" w:space="0" w:color="auto"/>
            <w:right w:val="none" w:sz="0" w:space="0" w:color="auto"/>
          </w:divBdr>
        </w:div>
        <w:div w:id="535972197">
          <w:marLeft w:val="0"/>
          <w:marRight w:val="0"/>
          <w:marTop w:val="0"/>
          <w:marBottom w:val="0"/>
          <w:divBdr>
            <w:top w:val="none" w:sz="0" w:space="0" w:color="auto"/>
            <w:left w:val="none" w:sz="0" w:space="0" w:color="auto"/>
            <w:bottom w:val="none" w:sz="0" w:space="0" w:color="auto"/>
            <w:right w:val="none" w:sz="0" w:space="0" w:color="auto"/>
          </w:divBdr>
        </w:div>
        <w:div w:id="600988781">
          <w:marLeft w:val="0"/>
          <w:marRight w:val="0"/>
          <w:marTop w:val="0"/>
          <w:marBottom w:val="0"/>
          <w:divBdr>
            <w:top w:val="none" w:sz="0" w:space="0" w:color="auto"/>
            <w:left w:val="none" w:sz="0" w:space="0" w:color="auto"/>
            <w:bottom w:val="none" w:sz="0" w:space="0" w:color="auto"/>
            <w:right w:val="none" w:sz="0" w:space="0" w:color="auto"/>
          </w:divBdr>
        </w:div>
        <w:div w:id="822769259">
          <w:marLeft w:val="0"/>
          <w:marRight w:val="0"/>
          <w:marTop w:val="0"/>
          <w:marBottom w:val="0"/>
          <w:divBdr>
            <w:top w:val="none" w:sz="0" w:space="0" w:color="auto"/>
            <w:left w:val="none" w:sz="0" w:space="0" w:color="auto"/>
            <w:bottom w:val="none" w:sz="0" w:space="0" w:color="auto"/>
            <w:right w:val="none" w:sz="0" w:space="0" w:color="auto"/>
          </w:divBdr>
        </w:div>
        <w:div w:id="1063068479">
          <w:marLeft w:val="0"/>
          <w:marRight w:val="0"/>
          <w:marTop w:val="0"/>
          <w:marBottom w:val="0"/>
          <w:divBdr>
            <w:top w:val="none" w:sz="0" w:space="0" w:color="auto"/>
            <w:left w:val="none" w:sz="0" w:space="0" w:color="auto"/>
            <w:bottom w:val="none" w:sz="0" w:space="0" w:color="auto"/>
            <w:right w:val="none" w:sz="0" w:space="0" w:color="auto"/>
          </w:divBdr>
        </w:div>
        <w:div w:id="1115565788">
          <w:marLeft w:val="0"/>
          <w:marRight w:val="0"/>
          <w:marTop w:val="0"/>
          <w:marBottom w:val="0"/>
          <w:divBdr>
            <w:top w:val="none" w:sz="0" w:space="0" w:color="auto"/>
            <w:left w:val="none" w:sz="0" w:space="0" w:color="auto"/>
            <w:bottom w:val="none" w:sz="0" w:space="0" w:color="auto"/>
            <w:right w:val="none" w:sz="0" w:space="0" w:color="auto"/>
          </w:divBdr>
        </w:div>
        <w:div w:id="1332217074">
          <w:marLeft w:val="0"/>
          <w:marRight w:val="0"/>
          <w:marTop w:val="0"/>
          <w:marBottom w:val="0"/>
          <w:divBdr>
            <w:top w:val="none" w:sz="0" w:space="0" w:color="auto"/>
            <w:left w:val="none" w:sz="0" w:space="0" w:color="auto"/>
            <w:bottom w:val="none" w:sz="0" w:space="0" w:color="auto"/>
            <w:right w:val="none" w:sz="0" w:space="0" w:color="auto"/>
          </w:divBdr>
        </w:div>
        <w:div w:id="1348171398">
          <w:marLeft w:val="0"/>
          <w:marRight w:val="0"/>
          <w:marTop w:val="0"/>
          <w:marBottom w:val="0"/>
          <w:divBdr>
            <w:top w:val="none" w:sz="0" w:space="0" w:color="auto"/>
            <w:left w:val="none" w:sz="0" w:space="0" w:color="auto"/>
            <w:bottom w:val="none" w:sz="0" w:space="0" w:color="auto"/>
            <w:right w:val="none" w:sz="0" w:space="0" w:color="auto"/>
          </w:divBdr>
        </w:div>
        <w:div w:id="1382361434">
          <w:marLeft w:val="0"/>
          <w:marRight w:val="0"/>
          <w:marTop w:val="0"/>
          <w:marBottom w:val="0"/>
          <w:divBdr>
            <w:top w:val="none" w:sz="0" w:space="0" w:color="auto"/>
            <w:left w:val="none" w:sz="0" w:space="0" w:color="auto"/>
            <w:bottom w:val="none" w:sz="0" w:space="0" w:color="auto"/>
            <w:right w:val="none" w:sz="0" w:space="0" w:color="auto"/>
          </w:divBdr>
        </w:div>
        <w:div w:id="1409619885">
          <w:marLeft w:val="0"/>
          <w:marRight w:val="0"/>
          <w:marTop w:val="0"/>
          <w:marBottom w:val="0"/>
          <w:divBdr>
            <w:top w:val="none" w:sz="0" w:space="0" w:color="auto"/>
            <w:left w:val="none" w:sz="0" w:space="0" w:color="auto"/>
            <w:bottom w:val="none" w:sz="0" w:space="0" w:color="auto"/>
            <w:right w:val="none" w:sz="0" w:space="0" w:color="auto"/>
          </w:divBdr>
        </w:div>
        <w:div w:id="1454976883">
          <w:marLeft w:val="0"/>
          <w:marRight w:val="0"/>
          <w:marTop w:val="0"/>
          <w:marBottom w:val="0"/>
          <w:divBdr>
            <w:top w:val="none" w:sz="0" w:space="0" w:color="auto"/>
            <w:left w:val="none" w:sz="0" w:space="0" w:color="auto"/>
            <w:bottom w:val="none" w:sz="0" w:space="0" w:color="auto"/>
            <w:right w:val="none" w:sz="0" w:space="0" w:color="auto"/>
          </w:divBdr>
        </w:div>
        <w:div w:id="1503661143">
          <w:marLeft w:val="0"/>
          <w:marRight w:val="0"/>
          <w:marTop w:val="0"/>
          <w:marBottom w:val="0"/>
          <w:divBdr>
            <w:top w:val="none" w:sz="0" w:space="0" w:color="auto"/>
            <w:left w:val="none" w:sz="0" w:space="0" w:color="auto"/>
            <w:bottom w:val="none" w:sz="0" w:space="0" w:color="auto"/>
            <w:right w:val="none" w:sz="0" w:space="0" w:color="auto"/>
          </w:divBdr>
        </w:div>
        <w:div w:id="1560634603">
          <w:marLeft w:val="0"/>
          <w:marRight w:val="0"/>
          <w:marTop w:val="0"/>
          <w:marBottom w:val="0"/>
          <w:divBdr>
            <w:top w:val="none" w:sz="0" w:space="0" w:color="auto"/>
            <w:left w:val="none" w:sz="0" w:space="0" w:color="auto"/>
            <w:bottom w:val="none" w:sz="0" w:space="0" w:color="auto"/>
            <w:right w:val="none" w:sz="0" w:space="0" w:color="auto"/>
          </w:divBdr>
        </w:div>
        <w:div w:id="1592927384">
          <w:marLeft w:val="0"/>
          <w:marRight w:val="0"/>
          <w:marTop w:val="0"/>
          <w:marBottom w:val="0"/>
          <w:divBdr>
            <w:top w:val="none" w:sz="0" w:space="0" w:color="auto"/>
            <w:left w:val="none" w:sz="0" w:space="0" w:color="auto"/>
            <w:bottom w:val="none" w:sz="0" w:space="0" w:color="auto"/>
            <w:right w:val="none" w:sz="0" w:space="0" w:color="auto"/>
          </w:divBdr>
        </w:div>
        <w:div w:id="1600945533">
          <w:marLeft w:val="0"/>
          <w:marRight w:val="0"/>
          <w:marTop w:val="0"/>
          <w:marBottom w:val="0"/>
          <w:divBdr>
            <w:top w:val="none" w:sz="0" w:space="0" w:color="auto"/>
            <w:left w:val="none" w:sz="0" w:space="0" w:color="auto"/>
            <w:bottom w:val="none" w:sz="0" w:space="0" w:color="auto"/>
            <w:right w:val="none" w:sz="0" w:space="0" w:color="auto"/>
          </w:divBdr>
        </w:div>
        <w:div w:id="1764643338">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10162171">
      <w:bodyDiv w:val="1"/>
      <w:marLeft w:val="0"/>
      <w:marRight w:val="0"/>
      <w:marTop w:val="0"/>
      <w:marBottom w:val="0"/>
      <w:divBdr>
        <w:top w:val="none" w:sz="0" w:space="0" w:color="auto"/>
        <w:left w:val="none" w:sz="0" w:space="0" w:color="auto"/>
        <w:bottom w:val="none" w:sz="0" w:space="0" w:color="auto"/>
        <w:right w:val="none" w:sz="0" w:space="0" w:color="auto"/>
      </w:divBdr>
      <w:divsChild>
        <w:div w:id="394281081">
          <w:marLeft w:val="0"/>
          <w:marRight w:val="0"/>
          <w:marTop w:val="0"/>
          <w:marBottom w:val="0"/>
          <w:divBdr>
            <w:top w:val="none" w:sz="0" w:space="0" w:color="auto"/>
            <w:left w:val="none" w:sz="0" w:space="0" w:color="auto"/>
            <w:bottom w:val="none" w:sz="0" w:space="0" w:color="auto"/>
            <w:right w:val="none" w:sz="0" w:space="0" w:color="auto"/>
          </w:divBdr>
        </w:div>
        <w:div w:id="2045253129">
          <w:marLeft w:val="0"/>
          <w:marRight w:val="0"/>
          <w:marTop w:val="0"/>
          <w:marBottom w:val="0"/>
          <w:divBdr>
            <w:top w:val="none" w:sz="0" w:space="0" w:color="auto"/>
            <w:left w:val="none" w:sz="0" w:space="0" w:color="auto"/>
            <w:bottom w:val="none" w:sz="0" w:space="0" w:color="auto"/>
            <w:right w:val="none" w:sz="0" w:space="0" w:color="auto"/>
          </w:divBdr>
        </w:div>
        <w:div w:id="1658650902">
          <w:marLeft w:val="0"/>
          <w:marRight w:val="0"/>
          <w:marTop w:val="0"/>
          <w:marBottom w:val="0"/>
          <w:divBdr>
            <w:top w:val="none" w:sz="0" w:space="0" w:color="auto"/>
            <w:left w:val="none" w:sz="0" w:space="0" w:color="auto"/>
            <w:bottom w:val="none" w:sz="0" w:space="0" w:color="auto"/>
            <w:right w:val="none" w:sz="0" w:space="0" w:color="auto"/>
          </w:divBdr>
        </w:div>
        <w:div w:id="702706571">
          <w:marLeft w:val="0"/>
          <w:marRight w:val="0"/>
          <w:marTop w:val="0"/>
          <w:marBottom w:val="0"/>
          <w:divBdr>
            <w:top w:val="none" w:sz="0" w:space="0" w:color="auto"/>
            <w:left w:val="none" w:sz="0" w:space="0" w:color="auto"/>
            <w:bottom w:val="none" w:sz="0" w:space="0" w:color="auto"/>
            <w:right w:val="none" w:sz="0" w:space="0" w:color="auto"/>
          </w:divBdr>
        </w:div>
        <w:div w:id="1166820835">
          <w:marLeft w:val="0"/>
          <w:marRight w:val="0"/>
          <w:marTop w:val="0"/>
          <w:marBottom w:val="0"/>
          <w:divBdr>
            <w:top w:val="none" w:sz="0" w:space="0" w:color="auto"/>
            <w:left w:val="none" w:sz="0" w:space="0" w:color="auto"/>
            <w:bottom w:val="none" w:sz="0" w:space="0" w:color="auto"/>
            <w:right w:val="none" w:sz="0" w:space="0" w:color="auto"/>
          </w:divBdr>
        </w:div>
        <w:div w:id="949162433">
          <w:marLeft w:val="0"/>
          <w:marRight w:val="0"/>
          <w:marTop w:val="0"/>
          <w:marBottom w:val="0"/>
          <w:divBdr>
            <w:top w:val="none" w:sz="0" w:space="0" w:color="auto"/>
            <w:left w:val="none" w:sz="0" w:space="0" w:color="auto"/>
            <w:bottom w:val="none" w:sz="0" w:space="0" w:color="auto"/>
            <w:right w:val="none" w:sz="0" w:space="0" w:color="auto"/>
          </w:divBdr>
        </w:div>
        <w:div w:id="850149377">
          <w:marLeft w:val="0"/>
          <w:marRight w:val="0"/>
          <w:marTop w:val="0"/>
          <w:marBottom w:val="0"/>
          <w:divBdr>
            <w:top w:val="none" w:sz="0" w:space="0" w:color="auto"/>
            <w:left w:val="none" w:sz="0" w:space="0" w:color="auto"/>
            <w:bottom w:val="none" w:sz="0" w:space="0" w:color="auto"/>
            <w:right w:val="none" w:sz="0" w:space="0" w:color="auto"/>
          </w:divBdr>
        </w:div>
        <w:div w:id="318114861">
          <w:marLeft w:val="0"/>
          <w:marRight w:val="0"/>
          <w:marTop w:val="0"/>
          <w:marBottom w:val="0"/>
          <w:divBdr>
            <w:top w:val="none" w:sz="0" w:space="0" w:color="auto"/>
            <w:left w:val="none" w:sz="0" w:space="0" w:color="auto"/>
            <w:bottom w:val="none" w:sz="0" w:space="0" w:color="auto"/>
            <w:right w:val="none" w:sz="0" w:space="0" w:color="auto"/>
          </w:divBdr>
        </w:div>
        <w:div w:id="656417704">
          <w:marLeft w:val="0"/>
          <w:marRight w:val="0"/>
          <w:marTop w:val="0"/>
          <w:marBottom w:val="0"/>
          <w:divBdr>
            <w:top w:val="none" w:sz="0" w:space="0" w:color="auto"/>
            <w:left w:val="none" w:sz="0" w:space="0" w:color="auto"/>
            <w:bottom w:val="none" w:sz="0" w:space="0" w:color="auto"/>
            <w:right w:val="none" w:sz="0" w:space="0" w:color="auto"/>
          </w:divBdr>
        </w:div>
        <w:div w:id="2110003598">
          <w:marLeft w:val="0"/>
          <w:marRight w:val="0"/>
          <w:marTop w:val="0"/>
          <w:marBottom w:val="0"/>
          <w:divBdr>
            <w:top w:val="none" w:sz="0" w:space="0" w:color="auto"/>
            <w:left w:val="none" w:sz="0" w:space="0" w:color="auto"/>
            <w:bottom w:val="none" w:sz="0" w:space="0" w:color="auto"/>
            <w:right w:val="none" w:sz="0" w:space="0" w:color="auto"/>
          </w:divBdr>
        </w:div>
        <w:div w:id="1978299689">
          <w:marLeft w:val="0"/>
          <w:marRight w:val="0"/>
          <w:marTop w:val="0"/>
          <w:marBottom w:val="0"/>
          <w:divBdr>
            <w:top w:val="none" w:sz="0" w:space="0" w:color="auto"/>
            <w:left w:val="none" w:sz="0" w:space="0" w:color="auto"/>
            <w:bottom w:val="none" w:sz="0" w:space="0" w:color="auto"/>
            <w:right w:val="none" w:sz="0" w:space="0" w:color="auto"/>
          </w:divBdr>
        </w:div>
        <w:div w:id="1271623464">
          <w:marLeft w:val="0"/>
          <w:marRight w:val="0"/>
          <w:marTop w:val="0"/>
          <w:marBottom w:val="0"/>
          <w:divBdr>
            <w:top w:val="none" w:sz="0" w:space="0" w:color="auto"/>
            <w:left w:val="none" w:sz="0" w:space="0" w:color="auto"/>
            <w:bottom w:val="none" w:sz="0" w:space="0" w:color="auto"/>
            <w:right w:val="none" w:sz="0" w:space="0" w:color="auto"/>
          </w:divBdr>
        </w:div>
        <w:div w:id="1926765767">
          <w:marLeft w:val="0"/>
          <w:marRight w:val="0"/>
          <w:marTop w:val="0"/>
          <w:marBottom w:val="0"/>
          <w:divBdr>
            <w:top w:val="none" w:sz="0" w:space="0" w:color="auto"/>
            <w:left w:val="none" w:sz="0" w:space="0" w:color="auto"/>
            <w:bottom w:val="none" w:sz="0" w:space="0" w:color="auto"/>
            <w:right w:val="none" w:sz="0" w:space="0" w:color="auto"/>
          </w:divBdr>
        </w:div>
        <w:div w:id="355619724">
          <w:marLeft w:val="0"/>
          <w:marRight w:val="0"/>
          <w:marTop w:val="0"/>
          <w:marBottom w:val="0"/>
          <w:divBdr>
            <w:top w:val="none" w:sz="0" w:space="0" w:color="auto"/>
            <w:left w:val="none" w:sz="0" w:space="0" w:color="auto"/>
            <w:bottom w:val="none" w:sz="0" w:space="0" w:color="auto"/>
            <w:right w:val="none" w:sz="0" w:space="0" w:color="auto"/>
          </w:divBdr>
        </w:div>
        <w:div w:id="1330868533">
          <w:marLeft w:val="0"/>
          <w:marRight w:val="0"/>
          <w:marTop w:val="0"/>
          <w:marBottom w:val="0"/>
          <w:divBdr>
            <w:top w:val="none" w:sz="0" w:space="0" w:color="auto"/>
            <w:left w:val="none" w:sz="0" w:space="0" w:color="auto"/>
            <w:bottom w:val="none" w:sz="0" w:space="0" w:color="auto"/>
            <w:right w:val="none" w:sz="0" w:space="0" w:color="auto"/>
          </w:divBdr>
        </w:div>
        <w:div w:id="891818194">
          <w:marLeft w:val="0"/>
          <w:marRight w:val="0"/>
          <w:marTop w:val="0"/>
          <w:marBottom w:val="0"/>
          <w:divBdr>
            <w:top w:val="none" w:sz="0" w:space="0" w:color="auto"/>
            <w:left w:val="none" w:sz="0" w:space="0" w:color="auto"/>
            <w:bottom w:val="none" w:sz="0" w:space="0" w:color="auto"/>
            <w:right w:val="none" w:sz="0" w:space="0" w:color="auto"/>
          </w:divBdr>
        </w:div>
        <w:div w:id="1233083194">
          <w:marLeft w:val="0"/>
          <w:marRight w:val="0"/>
          <w:marTop w:val="0"/>
          <w:marBottom w:val="0"/>
          <w:divBdr>
            <w:top w:val="none" w:sz="0" w:space="0" w:color="auto"/>
            <w:left w:val="none" w:sz="0" w:space="0" w:color="auto"/>
            <w:bottom w:val="none" w:sz="0" w:space="0" w:color="auto"/>
            <w:right w:val="none" w:sz="0" w:space="0" w:color="auto"/>
          </w:divBdr>
        </w:div>
      </w:divsChild>
    </w:div>
    <w:div w:id="171692780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HMG05</b:Tag>
    <b:SourceType>DocumentFromInternetSite</b:SourceType>
    <b:Guid>{CF05897C-0036-459D-BCCE-37705C11EEE5}</b:Guid>
    <b:Title>Mental Capacity Act (2005)</b:Title>
    <b:Year>2005</b:Year>
    <b:Author>
      <b:Author>
        <b:Corporate>HM Government</b:Corporate>
      </b:Author>
    </b:Author>
    <b:YearAccessed>2024</b:YearAccessed>
    <b:MonthAccessed>September</b:MonthAccessed>
    <b:DayAccessed>23</b:DayAccessed>
    <b:URL>: https://www.legislation.gov.uk/ukpga/2005/9/contents/enacted</b:URL>
    <b:RefOrder>1</b:RefOrder>
  </b:Source>
  <b:Source>
    <b:Tag>HMG08</b:Tag>
    <b:SourceType>DocumentFromInternetSite</b:SourceType>
    <b:Guid>{1896F068-0597-42B2-8197-6018A41974EE}</b:Guid>
    <b:Author>
      <b:Author>
        <b:Corporate>HM Government</b:Corporate>
      </b:Author>
    </b:Author>
    <b:Title>Human Rights Act 2008</b:Title>
    <b:Year>2008</b:Year>
    <b:YearAccessed>2024</b:YearAccessed>
    <b:MonthAccessed>September</b:MonthAccessed>
    <b:DayAccessed>23</b:DayAccessed>
    <b:URL>https://www.legislation.gov.uk/ukpga/1998/42</b:URL>
    <b:RefOrder>2</b:RefOrder>
  </b:Source>
  <b:Source>
    <b:Tag>Chi24</b:Tag>
    <b:SourceType>InternetSite</b:SourceType>
    <b:Guid>{BB79344F-DB60-47EB-9F32-C9F065C79894}</b:Guid>
    <b:Title>Child Poverty</b:Title>
    <b:Year>2024</b:Year>
    <b:Author>
      <b:Author>
        <b:Corporate>Children's Commissioner for Wales</b:Corporate>
      </b:Author>
    </b:Author>
    <b:YearAccessed>2024</b:YearAccessed>
    <b:MonthAccessed>September</b:MonthAccessed>
    <b:DayAccessed>22</b:DayAccessed>
    <b:URL>https://www.childcomwales.org.uk/our-work/policy-positions/child-poverty/#:~:text=How%20many%20children%20live%20in,working%20households%20live%20in%20poverty.</b:URL>
    <b:RefOrder>3</b:RefOrder>
  </b:Source>
  <b:Source>
    <b:Tag>Fou23</b:Tag>
    <b:SourceType>Report</b:SourceType>
    <b:Guid>{5470E6BA-70FC-49A5-978A-629FFF524F2C}</b:Guid>
    <b:Title>Family Group Conferencing at Pre proceedings stage</b:Title>
    <b:Year>2023</b:Year>
    <b:Author>
      <b:Author>
        <b:Corporate>Foundations, What works centre for families and children</b:Corporate>
      </b:Author>
    </b:Author>
    <b:Publisher>Foundations </b:Publisher>
    <b:City>London</b:City>
    <b:RefOrder>4</b:RefOrder>
  </b:Source>
  <b:Source>
    <b:Tag>Wal20</b:Tag>
    <b:SourceType>InternetSite</b:SourceType>
    <b:Guid>{8306CEDB-B3C4-4D70-AB7D-850B08BCAE2D}</b:Guid>
    <b:Title>Wales Safeguarding Procedures</b:Title>
    <b:Year>2020</b:Year>
    <b:Author>
      <b:Author>
        <b:Corporate>Wales Safeguarding Procedures</b:Corporate>
      </b:Author>
    </b:Author>
    <b:YearAccessed>2024</b:YearAccessed>
    <b:MonthAccessed>September </b:MonthAccessed>
    <b:DayAccessed>23rd</b:DayAccessed>
    <b:URL>https://www.safeguarding.wales/en/chi-i/chi-i-c3pt1/c3pt1-p7/#:~:text=Police%20Powers%20of%20Protection,-The%20police%20have&amp;text=Remove%20a%20child%20to%20suitable,likely%20to%20suffer%20significant%20harm.</b:URL>
    <b:RefOrder>5</b:RefOrder>
  </b:Source>
  <b:Source>
    <b:Tag>DrK23</b:Tag>
    <b:SourceType>JournalArticle</b:SourceType>
    <b:Guid>{14C5D5CF-E46F-4983-869E-396153D061F0}</b:Guid>
    <b:Title>Determinants Of The Impact Of Time Management On Work-Life Balance</b:Title>
    <b:Year>2023</b:Year>
    <b:Author>
      <b:Author>
        <b:NameList>
          <b:Person>
            <b:Last>Bella</b:Last>
            <b:First>Dr.K.</b:First>
            <b:Middle>Majini Jes</b:Middle>
          </b:Person>
        </b:NameList>
      </b:Author>
    </b:Author>
    <b:JournalName>IUJ Journal of Management</b:JournalName>
    <b:Volume>11</b:Volume>
    <b:Issue>No.2</b:Issue>
    <b:RefOrder>6</b:RefOrder>
  </b:Source>
  <b:Source>
    <b:Tag>Bor70</b:Tag>
    <b:SourceType>Book</b:SourceType>
    <b:Guid>{78A1845B-A1F3-47CB-BCC0-3029EB9C2531}</b:Guid>
    <b:Title>Reach touch and teach</b:Title>
    <b:Year>1970</b:Year>
    <b:Author>
      <b:Author>
        <b:NameList>
          <b:Person>
            <b:Last>Borton</b:Last>
            <b:First>T</b:First>
          </b:Person>
        </b:NameList>
      </b:Author>
    </b:Author>
    <b:City>London</b:City>
    <b:Publisher>Hutchinson</b:Publisher>
    <b:RefOrder>7</b:RefOrder>
  </b:Source>
  <b:Source>
    <b:Tag>Bro79</b:Tag>
    <b:SourceType>Book</b:SourceType>
    <b:Guid>{035F88FB-284B-4691-A468-802DB430E783}</b:Guid>
    <b:Author>
      <b:Author>
        <b:NameList>
          <b:Person>
            <b:Last>Bronfenbrenner</b:Last>
            <b:First>U.</b:First>
          </b:Person>
        </b:NameList>
      </b:Author>
    </b:Author>
    <b:Title> The ecology of human development: Experiments by nature and design.</b:Title>
    <b:Year>1979</b:Year>
    <b:City>Cambridge MA</b:City>
    <b:Publisher>Harvard University Press</b:Publisher>
    <b:RefOrder>8</b:RefOrder>
  </b:Source>
  <b:Source>
    <b:Tag>Gib88</b:Tag>
    <b:SourceType>Book</b:SourceType>
    <b:Guid>{E241CCFD-1B02-45B9-B773-D144FA8FE4DB}</b:Guid>
    <b:Author>
      <b:Author>
        <b:NameList>
          <b:Person>
            <b:Last>Gibbs G</b:Last>
          </b:Person>
        </b:NameList>
      </b:Author>
    </b:Author>
    <b:Title>Learning by doing: A guide to teaching and learning</b:Title>
    <b:Year>1988</b:Year>
    <b:City>London</b:City>
    <b:Publisher>Further Education Unit</b:Publisher>
    <b:RefOrder>9</b:RefOrder>
  </b:Source>
  <b:Source>
    <b:Tag>Sch83</b:Tag>
    <b:SourceType>Book</b:SourceType>
    <b:Guid>{DE40CDC4-C2F1-487C-8CC9-4F1B3F6D2502}</b:Guid>
    <b:Author>
      <b:Author>
        <b:NameList>
          <b:Person>
            <b:Last>Schön</b:Last>
            <b:First>D</b:First>
          </b:Person>
        </b:NameList>
      </b:Author>
    </b:Author>
    <b:Title>The Reflective Practitioner: How Professionals Think in Action,</b:Title>
    <b:Year>1983</b:Year>
    <b:City>New York</b:City>
    <b:Publisher>Basic Books</b:Publisher>
    <b:RefOrder>10</b:RefOrder>
  </b:Source>
  <b:Source>
    <b:Tag>SSW14</b:Tag>
    <b:SourceType>InternetSite</b:SourceType>
    <b:Guid>{61C1E7C5-7242-4A85-A856-BF56DBB0CBBE}</b:Guid>
    <b:Title>Social Services and Well-being (Wales) Act 2014</b:Title>
    <b:Year>2014</b:Year>
    <b:Author>
      <b:Author>
        <b:NameList>
          <b:Person>
            <b:Last>SSWB</b:Last>
          </b:Person>
        </b:NameList>
      </b:Author>
    </b:Author>
    <b:YearAccessed>2024</b:YearAccessed>
    <b:MonthAccessed>September</b:MonthAccessed>
    <b:DayAccessed>22</b:DayAccessed>
    <b:URL>https://www.legislation.gov.uk/anaw/2014/4/enacted</b:URL>
    <b:RefOrder>11</b:RefOrder>
  </b:Source>
</b:Sourc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1594E1-E9CA-4662-A2F9-80B281C73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5</Pages>
  <Words>1135</Words>
  <Characters>6470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Dafydd Ball</cp:lastModifiedBy>
  <cp:revision>3</cp:revision>
  <cp:lastPrinted>2020-02-11T19:20:00Z</cp:lastPrinted>
  <dcterms:created xsi:type="dcterms:W3CDTF">2022-09-29T11:35:00Z</dcterms:created>
  <dcterms:modified xsi:type="dcterms:W3CDTF">2024-10-07T16:44:00Z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