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9903A" w14:textId="343388B0" w:rsidR="00A67792" w:rsidRPr="00A67792" w:rsidRDefault="00A67792" w:rsidP="00A67792">
      <w:pPr>
        <w:spacing w:after="0"/>
        <w:rPr>
          <w:rFonts w:ascii="Times New Roman" w:hAnsi="Times New Roman" w:cs="Times New Roman"/>
        </w:rPr>
      </w:pPr>
      <w:r w:rsidRPr="00A67792">
        <w:rPr>
          <w:rFonts w:ascii="Times New Roman" w:hAnsi="Times New Roman" w:cs="Times New Roman"/>
        </w:rPr>
        <w:t xml:space="preserve">Clare Thomas </w:t>
      </w:r>
      <w:r w:rsidRPr="00A67792">
        <w:rPr>
          <w:rFonts w:ascii="Times New Roman" w:hAnsi="Times New Roman" w:cs="Times New Roman"/>
        </w:rPr>
        <w:br/>
      </w:r>
      <w:r w:rsidR="00354B7B">
        <w:rPr>
          <w:rFonts w:ascii="Times New Roman" w:hAnsi="Times New Roman" w:cs="Times New Roman"/>
        </w:rPr>
        <w:t>Science</w:t>
      </w:r>
      <w:r w:rsidRPr="00A67792">
        <w:rPr>
          <w:rFonts w:ascii="Times New Roman" w:hAnsi="Times New Roman" w:cs="Times New Roman"/>
        </w:rPr>
        <w:t xml:space="preserve"> of Human Nutrition</w:t>
      </w:r>
    </w:p>
    <w:p w14:paraId="364690C6" w14:textId="77777777" w:rsidR="00A67792" w:rsidRPr="00A67792" w:rsidRDefault="00A67792" w:rsidP="00A67792">
      <w:pPr>
        <w:spacing w:after="0"/>
        <w:rPr>
          <w:rFonts w:ascii="Times New Roman" w:hAnsi="Times New Roman" w:cs="Times New Roman"/>
        </w:rPr>
      </w:pPr>
      <w:r w:rsidRPr="00A67792">
        <w:rPr>
          <w:rFonts w:ascii="Times New Roman" w:hAnsi="Times New Roman" w:cs="Times New Roman"/>
        </w:rPr>
        <w:t>2514560</w:t>
      </w:r>
    </w:p>
    <w:p w14:paraId="29B49A32" w14:textId="220F0BDB" w:rsidR="00A67792" w:rsidRPr="00A67792" w:rsidRDefault="00A67792" w:rsidP="00A67792">
      <w:pPr>
        <w:spacing w:after="0"/>
        <w:rPr>
          <w:rFonts w:ascii="Times New Roman" w:hAnsi="Times New Roman" w:cs="Times New Roman"/>
        </w:rPr>
      </w:pPr>
      <w:r w:rsidRPr="00A67792">
        <w:rPr>
          <w:rFonts w:ascii="Times New Roman" w:hAnsi="Times New Roman" w:cs="Times New Roman"/>
        </w:rPr>
        <w:t xml:space="preserve">March 2026 </w:t>
      </w:r>
    </w:p>
    <w:p w14:paraId="5D1DD313" w14:textId="77777777" w:rsidR="00A67792" w:rsidRDefault="00A67792" w:rsidP="00A67792">
      <w:pPr>
        <w:spacing w:after="0"/>
      </w:pPr>
    </w:p>
    <w:p w14:paraId="7872197A" w14:textId="77777777" w:rsidR="00A67792" w:rsidRPr="00A67792" w:rsidRDefault="00A67792" w:rsidP="00A67792">
      <w:pPr>
        <w:spacing w:after="0"/>
        <w:rPr>
          <w:rFonts w:ascii="Times New Roman" w:hAnsi="Times New Roman" w:cs="Times New Roman"/>
          <w:b/>
          <w:bCs/>
        </w:rPr>
      </w:pPr>
      <w:r w:rsidRPr="00A67792">
        <w:rPr>
          <w:rFonts w:ascii="Times New Roman" w:hAnsi="Times New Roman" w:cs="Times New Roman"/>
          <w:b/>
          <w:bCs/>
        </w:rPr>
        <w:t>AI Use Statement</w:t>
      </w:r>
    </w:p>
    <w:p w14:paraId="4C4854C1" w14:textId="77777777" w:rsidR="00A67792" w:rsidRDefault="00A67792" w:rsidP="00A67792">
      <w:pPr>
        <w:spacing w:after="0"/>
        <w:rPr>
          <w:rFonts w:ascii="Times New Roman" w:hAnsi="Times New Roman" w:cs="Times New Roman"/>
        </w:rPr>
      </w:pPr>
      <w:r w:rsidRPr="00A67792">
        <w:rPr>
          <w:rFonts w:ascii="Times New Roman" w:hAnsi="Times New Roman" w:cs="Times New Roman"/>
        </w:rPr>
        <w:t>For this assessment, generative AI tools were used in accordance with module guidance. AI was used to support preliminary research by identifying relevant academic sources and summarising key concepts related to macronutrient metabolism. It was also used to assist in planning and structuring the essay, including organising headings and ensuring alignment with the assessment brief. Additionally, AI tools were used to check grammar and clarity during the proofreading stage.</w:t>
      </w:r>
    </w:p>
    <w:p w14:paraId="325C8A12" w14:textId="77777777" w:rsidR="00A67792" w:rsidRPr="00A67792" w:rsidRDefault="00A67792" w:rsidP="00A67792">
      <w:pPr>
        <w:spacing w:after="0"/>
        <w:rPr>
          <w:rFonts w:ascii="Times New Roman" w:hAnsi="Times New Roman" w:cs="Times New Roman"/>
        </w:rPr>
      </w:pPr>
    </w:p>
    <w:p w14:paraId="0DE85EA3" w14:textId="77777777" w:rsidR="00A67792" w:rsidRPr="00A67792" w:rsidRDefault="00A67792" w:rsidP="00A67792">
      <w:pPr>
        <w:spacing w:after="0"/>
        <w:rPr>
          <w:rFonts w:ascii="Times New Roman" w:hAnsi="Times New Roman" w:cs="Times New Roman"/>
        </w:rPr>
      </w:pPr>
      <w:r w:rsidRPr="00A67792">
        <w:rPr>
          <w:rFonts w:ascii="Times New Roman" w:hAnsi="Times New Roman" w:cs="Times New Roman"/>
        </w:rPr>
        <w:t>The final written submission, including all arguments, explanations and synthesis of material, was independently produced and critically reviewed by the author. No AI-generated text has been directly submitted as part of this assessment. All referenced materials were accessed and consulted independently through approved academic sources.</w:t>
      </w:r>
    </w:p>
    <w:p w14:paraId="575187F4" w14:textId="77777777" w:rsidR="00A67792" w:rsidRDefault="00A67792" w:rsidP="00A67792">
      <w:pPr>
        <w:spacing w:after="0"/>
      </w:pPr>
    </w:p>
    <w:p w14:paraId="6D262E5A" w14:textId="77777777" w:rsidR="00A67792" w:rsidRDefault="00A67792" w:rsidP="00A67792">
      <w:pPr>
        <w:spacing w:after="0"/>
      </w:pPr>
    </w:p>
    <w:p w14:paraId="0C7A152B" w14:textId="7BCF2E84" w:rsidR="005E319A" w:rsidRDefault="00A67792" w:rsidP="005E319A">
      <w:pPr>
        <w:spacing w:after="0"/>
        <w:rPr>
          <w:rFonts w:ascii="Times New Roman" w:hAnsi="Times New Roman" w:cs="Times New Roman"/>
          <w:b/>
          <w:bCs/>
        </w:rPr>
      </w:pPr>
      <w:r>
        <w:br w:type="page"/>
      </w:r>
    </w:p>
    <w:p w14:paraId="38103201"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lastRenderedPageBreak/>
        <w:t>The Role of Macronutrients in Human Metabolism and Energy Production</w:t>
      </w:r>
    </w:p>
    <w:p w14:paraId="605B2614"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Human metabolism depends on carbohydrates, lipids and proteins to sustain life and support physiological function. Although each macronutrient has distinct structural and functional characteristics, they are metabolically interconnected through shared biochemical pathways. Their breakdown (catabolism) enables the release of energy in the form of adenosine triphosphate (ATP), while their synthesis (anabolism) allows energy storage, tissue growth and repair. These processes are tightly regulated and rely heavily on vitamins and cofactors to function efficiently. Understanding how macronutrients are metabolised, therefore, demonstrates the biochemical basis of human nutrition (OpenStax, 2018, p. 167).</w:t>
      </w:r>
    </w:p>
    <w:p w14:paraId="23D0C5AD" w14:textId="6F89C0AB" w:rsidR="00627D4E" w:rsidRPr="00627D4E" w:rsidRDefault="00627D4E" w:rsidP="00627D4E">
      <w:pPr>
        <w:spacing w:after="0"/>
        <w:rPr>
          <w:rFonts w:ascii="Times New Roman" w:hAnsi="Times New Roman" w:cs="Times New Roman"/>
          <w:b/>
          <w:bCs/>
        </w:rPr>
      </w:pPr>
    </w:p>
    <w:p w14:paraId="1B3C53B8"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Biochemical Structure of Macronutrients</w:t>
      </w:r>
    </w:p>
    <w:p w14:paraId="031B5946" w14:textId="77777777" w:rsidR="00C65214" w:rsidRPr="00BB4FD5" w:rsidRDefault="00627D4E" w:rsidP="00627D4E">
      <w:pPr>
        <w:spacing w:after="0"/>
        <w:rPr>
          <w:rFonts w:ascii="Times New Roman" w:hAnsi="Times New Roman" w:cs="Times New Roman"/>
        </w:rPr>
      </w:pPr>
      <w:r w:rsidRPr="00627D4E">
        <w:rPr>
          <w:rFonts w:ascii="Times New Roman" w:hAnsi="Times New Roman" w:cs="Times New Roman"/>
        </w:rPr>
        <w:t xml:space="preserve">Carbohydrates are composed of carbon, hydrogen and oxygen, typically in a 1:2:1 ratio. They exist as monosaccharides (such as glucose), disaccharides and polysaccharides such as glycogen and starch. Glucose is the primary circulating sugar and is central to energy metabolism (Lean and Combet, 2022, p. 229; Nelson and Cox, 2021, p. 239). </w:t>
      </w:r>
    </w:p>
    <w:p w14:paraId="537E6FA8" w14:textId="77777777" w:rsidR="00BB4FD5" w:rsidRPr="00BB4FD5" w:rsidRDefault="00627D4E" w:rsidP="00627D4E">
      <w:pPr>
        <w:spacing w:after="0"/>
        <w:rPr>
          <w:rFonts w:ascii="Times New Roman" w:hAnsi="Times New Roman" w:cs="Times New Roman"/>
        </w:rPr>
      </w:pPr>
      <w:r w:rsidRPr="00627D4E">
        <w:rPr>
          <w:rFonts w:ascii="Times New Roman" w:hAnsi="Times New Roman" w:cs="Times New Roman"/>
        </w:rPr>
        <w:t xml:space="preserve">Glycogen, a highly branched polymer of glucose, is stored in the liver and skeletal </w:t>
      </w:r>
    </w:p>
    <w:p w14:paraId="74647376" w14:textId="5541AC5E" w:rsidR="00627D4E" w:rsidRPr="00BB4FD5" w:rsidRDefault="00627D4E" w:rsidP="00627D4E">
      <w:pPr>
        <w:spacing w:after="0"/>
        <w:rPr>
          <w:rFonts w:ascii="Times New Roman" w:hAnsi="Times New Roman" w:cs="Times New Roman"/>
        </w:rPr>
      </w:pPr>
      <w:r w:rsidRPr="00627D4E">
        <w:rPr>
          <w:rFonts w:ascii="Times New Roman" w:hAnsi="Times New Roman" w:cs="Times New Roman"/>
        </w:rPr>
        <w:t>muscle and functions as a short-term energy reserve (Lean and Combet, 2022, p. 229).</w:t>
      </w:r>
    </w:p>
    <w:p w14:paraId="2D35444B" w14:textId="77777777" w:rsidR="00BB4FD5" w:rsidRPr="00627D4E" w:rsidRDefault="00BB4FD5" w:rsidP="00627D4E">
      <w:pPr>
        <w:spacing w:after="0"/>
        <w:rPr>
          <w:rFonts w:ascii="Times New Roman" w:hAnsi="Times New Roman" w:cs="Times New Roman"/>
        </w:rPr>
      </w:pPr>
    </w:p>
    <w:p w14:paraId="4CAE69DB" w14:textId="77777777" w:rsidR="00627D4E" w:rsidRPr="00BB4FD5" w:rsidRDefault="00627D4E" w:rsidP="00627D4E">
      <w:pPr>
        <w:spacing w:after="0"/>
        <w:rPr>
          <w:rFonts w:ascii="Times New Roman" w:hAnsi="Times New Roman" w:cs="Times New Roman"/>
        </w:rPr>
      </w:pPr>
      <w:r w:rsidRPr="00627D4E">
        <w:rPr>
          <w:rFonts w:ascii="Times New Roman" w:hAnsi="Times New Roman" w:cs="Times New Roman"/>
        </w:rPr>
        <w:t>Lipids are a diverse group of molecules composed mainly of carbon, hydrogen and oxygen, but with a lower proportion of oxygen compared to carbohydrates. They include triglycerides, phospholipids and sterols, each with distinct structural and functional roles. Triglycerides, the main form of stored fat in the body, consist of glycerol and three fatty acids and serve as a major energy reserve (Lean and Combet, 2022, p. 220; Nelson and Cox, 2021, p. 357). Phospholipids are essential components of cell membranes, while cholesterol plays a key role in membrane fluidity and as a precursor for steroid hormones.</w:t>
      </w:r>
    </w:p>
    <w:p w14:paraId="267B3F42" w14:textId="77777777" w:rsidR="00C65214" w:rsidRPr="00627D4E" w:rsidRDefault="00C65214" w:rsidP="00627D4E">
      <w:pPr>
        <w:spacing w:after="0"/>
        <w:rPr>
          <w:rFonts w:ascii="Times New Roman" w:hAnsi="Times New Roman" w:cs="Times New Roman"/>
          <w:b/>
          <w:bCs/>
        </w:rPr>
      </w:pPr>
    </w:p>
    <w:p w14:paraId="5A1FD74A"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Proteins are polymers of amino acids linked by peptide bonds. Each amino acid contains an amino group, a carboxyl group and a variable side chain determining its chemical properties. Protein structure ranges from primary (amino acid sequence) to quaternary (multi-subunit complexes), influencing biological function. Proteins serve structural, enzymatic and regulatory roles and are essential for tissue maintenance and metabolic control (Lean and Combet, 2022, p. 215; Nelson and Cox, 2021, p. 75).</w:t>
      </w:r>
    </w:p>
    <w:p w14:paraId="12931ED5" w14:textId="1D6D6B2D" w:rsidR="00627D4E" w:rsidRPr="00627D4E" w:rsidRDefault="00627D4E" w:rsidP="00627D4E">
      <w:pPr>
        <w:spacing w:after="0"/>
        <w:rPr>
          <w:rFonts w:ascii="Times New Roman" w:hAnsi="Times New Roman" w:cs="Times New Roman"/>
          <w:b/>
          <w:bCs/>
        </w:rPr>
      </w:pPr>
    </w:p>
    <w:p w14:paraId="311288E7"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Carbohydrates in Energy Metabolism</w:t>
      </w:r>
    </w:p>
    <w:p w14:paraId="2F1AD040"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Carbohydrates are the body’s preferred fuel source, particularly during moderate- to high-intensity activity. The Department of Health (1991) recommends that carbohydrates provide approximately 45–60% of total dietary energy intake, reflecting their metabolic importance.</w:t>
      </w:r>
    </w:p>
    <w:p w14:paraId="05F10A95" w14:textId="77777777" w:rsidR="00027203" w:rsidRDefault="00027203" w:rsidP="00627D4E">
      <w:pPr>
        <w:spacing w:after="0"/>
        <w:rPr>
          <w:rFonts w:ascii="Times New Roman" w:hAnsi="Times New Roman" w:cs="Times New Roman"/>
        </w:rPr>
      </w:pPr>
    </w:p>
    <w:p w14:paraId="3FACC3EB" w14:textId="1FF7133D" w:rsidR="00027203" w:rsidRDefault="00027203" w:rsidP="00627D4E">
      <w:pPr>
        <w:spacing w:after="0"/>
        <w:rPr>
          <w:rFonts w:ascii="Times New Roman" w:hAnsi="Times New Roman" w:cs="Times New Roman"/>
        </w:rPr>
      </w:pPr>
      <w:r w:rsidRPr="00027203">
        <w:rPr>
          <w:rFonts w:ascii="Times New Roman" w:hAnsi="Times New Roman" w:cs="Times New Roman"/>
        </w:rPr>
        <w:t xml:space="preserve">Carbohydrates are particularly important for maintaining blood glucose homeostasis, which is essential for brain function and overall metabolic stability. The brain relies heavily on glucose as its primary energy source, and therefore consistent carbohydrate availability is necessary to support cognitive processes and central nervous system function. Additionally, carbohydrates </w:t>
      </w:r>
      <w:r w:rsidR="00EB1A0E">
        <w:rPr>
          <w:rFonts w:ascii="Times New Roman" w:hAnsi="Times New Roman" w:cs="Times New Roman"/>
        </w:rPr>
        <w:lastRenderedPageBreak/>
        <w:t>help spare protein from being used as an energy source, allowing proteins to fulfil their primary structural and functional roles in</w:t>
      </w:r>
      <w:r w:rsidRPr="00027203">
        <w:rPr>
          <w:rFonts w:ascii="Times New Roman" w:hAnsi="Times New Roman" w:cs="Times New Roman"/>
        </w:rPr>
        <w:t xml:space="preserve"> the body (Lean and Combet, 2022, p. 229).</w:t>
      </w:r>
    </w:p>
    <w:p w14:paraId="4545AF93" w14:textId="77777777" w:rsidR="00EA60DC" w:rsidRPr="00627D4E" w:rsidRDefault="00EA60DC" w:rsidP="00627D4E">
      <w:pPr>
        <w:spacing w:after="0"/>
        <w:rPr>
          <w:rFonts w:ascii="Times New Roman" w:hAnsi="Times New Roman" w:cs="Times New Roman"/>
        </w:rPr>
      </w:pPr>
    </w:p>
    <w:p w14:paraId="32B3E1EC"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Following digestion and absorption, glucose enters cells via insulin-regulated transporters. In the cytoplasm, glucose undergoes glycolysis, producing two molecules of pyruvate, ATP and reduced nicotinamide adenine dinucleotide (NADH) (Drummond and Rees, 2018, p. 82). Although glycolysis yields only a small amount of ATP directly, it provides essential intermediates for further oxidation.</w:t>
      </w:r>
    </w:p>
    <w:p w14:paraId="4531DD76" w14:textId="77777777" w:rsidR="00EB1A0E" w:rsidRPr="00627D4E" w:rsidRDefault="00EB1A0E" w:rsidP="00627D4E">
      <w:pPr>
        <w:spacing w:after="0"/>
        <w:rPr>
          <w:rFonts w:ascii="Times New Roman" w:hAnsi="Times New Roman" w:cs="Times New Roman"/>
        </w:rPr>
      </w:pPr>
    </w:p>
    <w:p w14:paraId="39EED6D4" w14:textId="77777777" w:rsidR="00627D4E" w:rsidRPr="005554B7" w:rsidRDefault="00627D4E" w:rsidP="00627D4E">
      <w:pPr>
        <w:spacing w:after="0"/>
        <w:rPr>
          <w:rFonts w:ascii="Times New Roman" w:hAnsi="Times New Roman" w:cs="Times New Roman"/>
        </w:rPr>
      </w:pPr>
      <w:r w:rsidRPr="00627D4E">
        <w:rPr>
          <w:rFonts w:ascii="Times New Roman" w:hAnsi="Times New Roman" w:cs="Times New Roman"/>
        </w:rPr>
        <w:t>Under aerobic conditions, pyruvate enters the mitochondria and is converted to acetyl-CoA by the pyruvate dehydrogenase complex. This reaction requires several vitamin-derived cofactors, including thiamine, riboflavin, niacin and pantothenic acid (Drummond and Rees, 2018, p. 82). Acetyl-CoA then enters the Krebs cycle, generating NADH and flavin adenine dinucleotide (FADH₂). These reduced coenzymes donate electrons to the electron transport chain, where oxidative phosphorylation generates most of ATP (Lean and Combet, 2022, p. 229).</w:t>
      </w:r>
    </w:p>
    <w:p w14:paraId="4C63744B" w14:textId="77777777" w:rsidR="005554B7" w:rsidRPr="00627D4E" w:rsidRDefault="005554B7" w:rsidP="00627D4E">
      <w:pPr>
        <w:spacing w:after="0"/>
        <w:rPr>
          <w:rFonts w:ascii="Times New Roman" w:hAnsi="Times New Roman" w:cs="Times New Roman"/>
          <w:b/>
          <w:bCs/>
        </w:rPr>
      </w:pPr>
    </w:p>
    <w:p w14:paraId="1AB4506B"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 xml:space="preserve">Carbohydrate metabolism is hormonally regulated. Insulin promotes glucose uptake and glycogen synthesis, whereas glucagon stimulates glycogen breakdown and gluconeogenesis during fasting (Lean and Combet, 2022, p. 229). During exercise, carbohydrate oxidation increases as intensity rises due to its rapid ATP production rate compared with fat (McArdle, Katch and Katch, 2015, p. 66; </w:t>
      </w:r>
      <w:proofErr w:type="spellStart"/>
      <w:r w:rsidRPr="00627D4E">
        <w:rPr>
          <w:rFonts w:ascii="Times New Roman" w:hAnsi="Times New Roman" w:cs="Times New Roman"/>
        </w:rPr>
        <w:t>Jeukendrup</w:t>
      </w:r>
      <w:proofErr w:type="spellEnd"/>
      <w:r w:rsidRPr="00627D4E">
        <w:rPr>
          <w:rFonts w:ascii="Times New Roman" w:hAnsi="Times New Roman" w:cs="Times New Roman"/>
        </w:rPr>
        <w:t xml:space="preserve"> and Gleeson, 2019, p. 53).</w:t>
      </w:r>
    </w:p>
    <w:p w14:paraId="127DE4B4" w14:textId="13073508" w:rsidR="00627D4E" w:rsidRPr="00627D4E" w:rsidRDefault="00627D4E" w:rsidP="00627D4E">
      <w:pPr>
        <w:spacing w:after="0"/>
        <w:rPr>
          <w:rFonts w:ascii="Times New Roman" w:hAnsi="Times New Roman" w:cs="Times New Roman"/>
          <w:b/>
          <w:bCs/>
        </w:rPr>
      </w:pPr>
    </w:p>
    <w:p w14:paraId="02BB79FA"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Lipids and Energy Production</w:t>
      </w:r>
    </w:p>
    <w:p w14:paraId="6D432237"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Lipids provide a concentrated source of energy and are particularly important during prolonged exercise and fasting. When energy is required, triglycerides stored in adipose tissue undergo lipolysis, releasing free fatty acids and glycerol (Lean and Combet, 2022, p. 220).</w:t>
      </w:r>
    </w:p>
    <w:p w14:paraId="7A0AFFE0" w14:textId="77777777" w:rsidR="005554B7" w:rsidRPr="00627D4E" w:rsidRDefault="005554B7" w:rsidP="00627D4E">
      <w:pPr>
        <w:spacing w:after="0"/>
        <w:rPr>
          <w:rFonts w:ascii="Times New Roman" w:hAnsi="Times New Roman" w:cs="Times New Roman"/>
        </w:rPr>
      </w:pPr>
    </w:p>
    <w:p w14:paraId="4384933D" w14:textId="77777777" w:rsidR="00627D4E" w:rsidRPr="005554B7" w:rsidRDefault="00627D4E" w:rsidP="00627D4E">
      <w:pPr>
        <w:spacing w:after="0"/>
        <w:rPr>
          <w:rFonts w:ascii="Times New Roman" w:hAnsi="Times New Roman" w:cs="Times New Roman"/>
        </w:rPr>
      </w:pPr>
      <w:r w:rsidRPr="00627D4E">
        <w:rPr>
          <w:rFonts w:ascii="Times New Roman" w:hAnsi="Times New Roman" w:cs="Times New Roman"/>
        </w:rPr>
        <w:t>Fatty acids enter the mitochondria and undergo β-oxidation, a process that sequentially removes two-carbon units as acetyl-CoA. Each cycle of β-oxidation produces NADH and FADH₂, which contribute to ATP production through the electron transport chain (Bean, 2017). Because fatty acids are highly reduced molecules, their complete oxidation yields substantially more ATP per molecule than carbohydrates (</w:t>
      </w:r>
      <w:proofErr w:type="spellStart"/>
      <w:r w:rsidRPr="00627D4E">
        <w:rPr>
          <w:rFonts w:ascii="Times New Roman" w:hAnsi="Times New Roman" w:cs="Times New Roman"/>
        </w:rPr>
        <w:t>Jeukendrup</w:t>
      </w:r>
      <w:proofErr w:type="spellEnd"/>
      <w:r w:rsidRPr="00627D4E">
        <w:rPr>
          <w:rFonts w:ascii="Times New Roman" w:hAnsi="Times New Roman" w:cs="Times New Roman"/>
        </w:rPr>
        <w:t xml:space="preserve"> and Gleeson, 2019, p. 53).</w:t>
      </w:r>
    </w:p>
    <w:p w14:paraId="1B773ED5" w14:textId="77777777" w:rsidR="005554B7" w:rsidRPr="00627D4E" w:rsidRDefault="005554B7" w:rsidP="00627D4E">
      <w:pPr>
        <w:spacing w:after="0"/>
        <w:rPr>
          <w:rFonts w:ascii="Times New Roman" w:hAnsi="Times New Roman" w:cs="Times New Roman"/>
        </w:rPr>
      </w:pPr>
    </w:p>
    <w:p w14:paraId="50117449"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However, lipid oxidation requires more oxygen relative to ATP yield, making it less efficient during high-intensity exercise (McArdle, Katch and Katch, 2015, p. 66). During prolonged fasting or carbohydrate restriction, excess acetyl-CoA is converted into ketone bodies in the liver. These provide an alternative fuel source for the brain and skeletal muscle, demonstrating metabolic flexibility (Lean and Combet, 2022, p. 220).</w:t>
      </w:r>
    </w:p>
    <w:p w14:paraId="1D34FF98" w14:textId="77777777" w:rsidR="002745EB" w:rsidRDefault="002745EB" w:rsidP="00627D4E">
      <w:pPr>
        <w:spacing w:after="0"/>
        <w:rPr>
          <w:rFonts w:ascii="Times New Roman" w:hAnsi="Times New Roman" w:cs="Times New Roman"/>
        </w:rPr>
      </w:pPr>
    </w:p>
    <w:p w14:paraId="48B8ED0D" w14:textId="77777777" w:rsidR="002745EB" w:rsidRPr="002745EB" w:rsidRDefault="002745EB" w:rsidP="002745EB">
      <w:pPr>
        <w:spacing w:after="0"/>
        <w:rPr>
          <w:rFonts w:ascii="Times New Roman" w:hAnsi="Times New Roman" w:cs="Times New Roman"/>
        </w:rPr>
      </w:pPr>
      <w:r w:rsidRPr="002745EB">
        <w:rPr>
          <w:rFonts w:ascii="Times New Roman" w:hAnsi="Times New Roman" w:cs="Times New Roman"/>
        </w:rPr>
        <w:lastRenderedPageBreak/>
        <w:t>In addition to energy provision, lipids are essential for the absorption of fat-soluble vitamins (A, D, E and K) and contribute to insulation and protection of vital organs. This highlights their broader physiological importance beyond energy metabolism (Lean and Combet, 2022, p. 220).</w:t>
      </w:r>
    </w:p>
    <w:p w14:paraId="48A6E84A" w14:textId="2F723498" w:rsidR="00627D4E" w:rsidRPr="00627D4E" w:rsidRDefault="00627D4E" w:rsidP="00627D4E">
      <w:pPr>
        <w:spacing w:after="0"/>
        <w:rPr>
          <w:rFonts w:ascii="Times New Roman" w:hAnsi="Times New Roman" w:cs="Times New Roman"/>
          <w:b/>
          <w:bCs/>
        </w:rPr>
      </w:pPr>
    </w:p>
    <w:p w14:paraId="462A3B92"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Proteins in Metabolism</w:t>
      </w:r>
    </w:p>
    <w:p w14:paraId="5D3C1DF7" w14:textId="77777777" w:rsidR="00627D4E" w:rsidRPr="005554B7" w:rsidRDefault="00627D4E" w:rsidP="00627D4E">
      <w:pPr>
        <w:spacing w:after="0"/>
        <w:rPr>
          <w:rFonts w:ascii="Times New Roman" w:hAnsi="Times New Roman" w:cs="Times New Roman"/>
        </w:rPr>
      </w:pPr>
      <w:r w:rsidRPr="00627D4E">
        <w:rPr>
          <w:rFonts w:ascii="Times New Roman" w:hAnsi="Times New Roman" w:cs="Times New Roman"/>
        </w:rPr>
        <w:t>Proteins are not primarily stored for energy, but they contribute to metabolism when carbohydrate availability is limited. Amino acids can enter energy pathways following deamination, a process in which the amino group is removed (Drummond and Rees, 2018, p. 82).</w:t>
      </w:r>
    </w:p>
    <w:p w14:paraId="55761E38" w14:textId="77777777" w:rsidR="005554B7" w:rsidRPr="00627D4E" w:rsidRDefault="005554B7" w:rsidP="00627D4E">
      <w:pPr>
        <w:spacing w:after="0"/>
        <w:rPr>
          <w:rFonts w:ascii="Times New Roman" w:hAnsi="Times New Roman" w:cs="Times New Roman"/>
          <w:b/>
          <w:bCs/>
        </w:rPr>
      </w:pPr>
    </w:p>
    <w:p w14:paraId="665662F9"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The remaining carbon skeletons may be converted into intermediates such as pyruvate, acetyl-CoA or components of the Krebs cycle. Some amino acids are glucogenic and can support gluconeogenesis, thereby maintaining blood glucose levels (Lean and Combet, 2022, p. 215). The ammonia produced during deamination is converted to urea in the liver and excreted.</w:t>
      </w:r>
    </w:p>
    <w:p w14:paraId="393BFA97" w14:textId="77777777" w:rsidR="00BB4FD5" w:rsidRPr="00627D4E" w:rsidRDefault="00BB4FD5" w:rsidP="00627D4E">
      <w:pPr>
        <w:spacing w:after="0"/>
        <w:rPr>
          <w:rFonts w:ascii="Times New Roman" w:hAnsi="Times New Roman" w:cs="Times New Roman"/>
        </w:rPr>
      </w:pPr>
    </w:p>
    <w:p w14:paraId="1B1FC6EC"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 xml:space="preserve">Protein metabolism reflects a balance between synthesis and breakdown, known as protein turnover. Adequate intake is necessary to maintain nitrogen balance and support tissue repair (Department of Health, 1991; </w:t>
      </w:r>
      <w:proofErr w:type="spellStart"/>
      <w:r w:rsidRPr="00627D4E">
        <w:rPr>
          <w:rFonts w:ascii="Times New Roman" w:hAnsi="Times New Roman" w:cs="Times New Roman"/>
        </w:rPr>
        <w:t>Jeukendrup</w:t>
      </w:r>
      <w:proofErr w:type="spellEnd"/>
      <w:r w:rsidRPr="00627D4E">
        <w:rPr>
          <w:rFonts w:ascii="Times New Roman" w:hAnsi="Times New Roman" w:cs="Times New Roman"/>
        </w:rPr>
        <w:t xml:space="preserve"> and Gleeson, 2019, p. 193).</w:t>
      </w:r>
    </w:p>
    <w:p w14:paraId="2D1F04C2" w14:textId="666F8EBD" w:rsidR="00627D4E" w:rsidRPr="00627D4E" w:rsidRDefault="00627D4E" w:rsidP="00627D4E">
      <w:pPr>
        <w:spacing w:after="0"/>
        <w:rPr>
          <w:rFonts w:ascii="Times New Roman" w:hAnsi="Times New Roman" w:cs="Times New Roman"/>
          <w:b/>
          <w:bCs/>
        </w:rPr>
      </w:pPr>
    </w:p>
    <w:p w14:paraId="1A0642B9"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Role of Vitamins and Cofactors in Metabolic Pathways</w:t>
      </w:r>
    </w:p>
    <w:p w14:paraId="7D3A682E"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Vitamins and cofactors are essential in facilitating metabolic reactions. Many enzymes involved in energy metabolism depend on coenzymes derived from B-vitamins.</w:t>
      </w:r>
    </w:p>
    <w:p w14:paraId="44BB96A9" w14:textId="77777777" w:rsidR="00627D4E" w:rsidRDefault="00627D4E" w:rsidP="00627D4E">
      <w:pPr>
        <w:spacing w:after="0"/>
        <w:rPr>
          <w:rFonts w:ascii="Times New Roman" w:hAnsi="Times New Roman" w:cs="Times New Roman"/>
        </w:rPr>
      </w:pPr>
      <w:r w:rsidRPr="00627D4E">
        <w:rPr>
          <w:rFonts w:ascii="Times New Roman" w:hAnsi="Times New Roman" w:cs="Times New Roman"/>
        </w:rPr>
        <w:t>Thiamine is required for decarboxylation reactions linking glycolysis to the Krebs cycle. Riboflavin forms FAD and niacin forms NAD⁺, both of which function as electron carriers in oxidative metabolism. Pantothenic acid forms part of coenzyme A, which is essential for acetyl-CoA formation. Pyridoxine supports amino acid metabolism (Lean and Combet, 2022, p. 215).</w:t>
      </w:r>
    </w:p>
    <w:p w14:paraId="744B87BE" w14:textId="77777777" w:rsidR="005554B7" w:rsidRPr="00627D4E" w:rsidRDefault="005554B7" w:rsidP="00627D4E">
      <w:pPr>
        <w:spacing w:after="0"/>
        <w:rPr>
          <w:rFonts w:ascii="Times New Roman" w:hAnsi="Times New Roman" w:cs="Times New Roman"/>
        </w:rPr>
      </w:pPr>
    </w:p>
    <w:p w14:paraId="6B8FA53D"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Without sufficient intake of these micronutrients, ATP production efficiency declines. Public Health England (2016) emphasises the importance of adequate micronutrient intake to support metabolic health. This highlights the interdependence of macro- and micronutrients in human metabolism.</w:t>
      </w:r>
    </w:p>
    <w:p w14:paraId="00C2F8D2" w14:textId="7C0162E9" w:rsidR="00627D4E" w:rsidRPr="00627D4E" w:rsidRDefault="00627D4E" w:rsidP="00627D4E">
      <w:pPr>
        <w:spacing w:after="0"/>
        <w:rPr>
          <w:rFonts w:ascii="Times New Roman" w:hAnsi="Times New Roman" w:cs="Times New Roman"/>
        </w:rPr>
      </w:pPr>
    </w:p>
    <w:p w14:paraId="52D033E1"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Regulation and Integration of Metabolism</w:t>
      </w:r>
    </w:p>
    <w:p w14:paraId="1863234C" w14:textId="77777777" w:rsidR="00627D4E" w:rsidRPr="00627D4E" w:rsidRDefault="00627D4E" w:rsidP="00627D4E">
      <w:pPr>
        <w:spacing w:after="0"/>
        <w:rPr>
          <w:rFonts w:ascii="Times New Roman" w:hAnsi="Times New Roman" w:cs="Times New Roman"/>
        </w:rPr>
      </w:pPr>
      <w:r w:rsidRPr="00627D4E">
        <w:rPr>
          <w:rFonts w:ascii="Times New Roman" w:hAnsi="Times New Roman" w:cs="Times New Roman"/>
        </w:rPr>
        <w:t xml:space="preserve">Metabolism is highly integrated. Acetyl-CoA serves as a central metabolic junction linking carbohydrate, lipid and protein metabolism, allowing the body to adapt to different nutritional and physiological states (Lean and Combet, 2022, p. 215). Hormonal regulation plays a key role in this process. Insulin promotes glycogen synthesis and lipid storage during the fed state, whereas glucagon and adrenaline stimulate glycogen breakdown and lipolysis during fasting or stress. At the cellular level, enzyme activity is influenced by energy status, ensuring metabolic balance. The Scientific Advisory Committee on Nutrition (SACN, 2015) highlights </w:t>
      </w:r>
      <w:r w:rsidRPr="00627D4E">
        <w:rPr>
          <w:rFonts w:ascii="Times New Roman" w:hAnsi="Times New Roman" w:cs="Times New Roman"/>
        </w:rPr>
        <w:lastRenderedPageBreak/>
        <w:t>the importance of carbohydrate intake in maintaining metabolic health, reinforcing the link between dietary guidance and biochemical function.</w:t>
      </w:r>
    </w:p>
    <w:p w14:paraId="2E4DD069" w14:textId="2E332AE5" w:rsidR="00627D4E" w:rsidRPr="00627D4E" w:rsidRDefault="00627D4E" w:rsidP="00627D4E">
      <w:pPr>
        <w:spacing w:after="0"/>
        <w:rPr>
          <w:rFonts w:ascii="Times New Roman" w:hAnsi="Times New Roman" w:cs="Times New Roman"/>
          <w:b/>
          <w:bCs/>
        </w:rPr>
      </w:pPr>
    </w:p>
    <w:p w14:paraId="7A410FA7" w14:textId="77777777" w:rsidR="00627D4E" w:rsidRPr="00627D4E" w:rsidRDefault="00627D4E" w:rsidP="00627D4E">
      <w:pPr>
        <w:spacing w:after="0"/>
        <w:rPr>
          <w:rFonts w:ascii="Times New Roman" w:hAnsi="Times New Roman" w:cs="Times New Roman"/>
          <w:b/>
          <w:bCs/>
        </w:rPr>
      </w:pPr>
      <w:r w:rsidRPr="00627D4E">
        <w:rPr>
          <w:rFonts w:ascii="Times New Roman" w:hAnsi="Times New Roman" w:cs="Times New Roman"/>
          <w:b/>
          <w:bCs/>
        </w:rPr>
        <w:t>Conclusion</w:t>
      </w:r>
    </w:p>
    <w:p w14:paraId="5A74B342" w14:textId="77777777" w:rsidR="005D09BB" w:rsidRDefault="005D09BB" w:rsidP="005D09BB">
      <w:pPr>
        <w:spacing w:after="0"/>
        <w:rPr>
          <w:rFonts w:ascii="Times New Roman" w:hAnsi="Times New Roman" w:cs="Times New Roman"/>
        </w:rPr>
      </w:pPr>
      <w:r w:rsidRPr="005D09BB">
        <w:rPr>
          <w:rFonts w:ascii="Times New Roman" w:hAnsi="Times New Roman" w:cs="Times New Roman"/>
        </w:rPr>
        <w:t>Carbohydrates, lipids and proteins each play essential and interconnected roles in human metabolism. Carbohydrates provide rapid ATP through glycolysis and oxidative phosphorylation. Lipids deliver high-yield energy via β-oxidation and support long-term energy storage. Proteins primarily support structural and functional roles but can contribute to energy production when required.</w:t>
      </w:r>
    </w:p>
    <w:p w14:paraId="576B01DD" w14:textId="77777777" w:rsidR="00B01C0A" w:rsidRPr="005D09BB" w:rsidRDefault="00B01C0A" w:rsidP="005D09BB">
      <w:pPr>
        <w:spacing w:after="0"/>
        <w:rPr>
          <w:rFonts w:ascii="Times New Roman" w:hAnsi="Times New Roman" w:cs="Times New Roman"/>
        </w:rPr>
      </w:pPr>
    </w:p>
    <w:p w14:paraId="4A0DDD21" w14:textId="77777777" w:rsidR="005D09BB" w:rsidRDefault="005D09BB" w:rsidP="005D09BB">
      <w:pPr>
        <w:spacing w:after="0"/>
        <w:rPr>
          <w:rFonts w:ascii="Times New Roman" w:hAnsi="Times New Roman" w:cs="Times New Roman"/>
        </w:rPr>
      </w:pPr>
      <w:r w:rsidRPr="005D09BB">
        <w:rPr>
          <w:rFonts w:ascii="Times New Roman" w:hAnsi="Times New Roman" w:cs="Times New Roman"/>
        </w:rPr>
        <w:t>These metabolic processes depend on vitamins and cofactors to enable enzymatic reactions and are tightly regulated to maintain homeostasis. The integration of catabolic and anabolic pathways demonstrates the biochemical complexity underlying human nutrition and highlights the importance of balanced dietary intake for optimal metabolic function.</w:t>
      </w:r>
    </w:p>
    <w:p w14:paraId="31D96154" w14:textId="77777777" w:rsidR="00B01C0A" w:rsidRPr="005D09BB" w:rsidRDefault="00B01C0A" w:rsidP="005D09BB">
      <w:pPr>
        <w:spacing w:after="0"/>
        <w:rPr>
          <w:rFonts w:ascii="Times New Roman" w:hAnsi="Times New Roman" w:cs="Times New Roman"/>
        </w:rPr>
      </w:pPr>
    </w:p>
    <w:p w14:paraId="10E91D99" w14:textId="77777777" w:rsidR="005D09BB" w:rsidRDefault="005D09BB" w:rsidP="005D09BB">
      <w:pPr>
        <w:spacing w:after="0"/>
        <w:rPr>
          <w:rFonts w:ascii="Times New Roman" w:hAnsi="Times New Roman" w:cs="Times New Roman"/>
        </w:rPr>
      </w:pPr>
      <w:r w:rsidRPr="005D09BB">
        <w:rPr>
          <w:rFonts w:ascii="Times New Roman" w:hAnsi="Times New Roman" w:cs="Times New Roman"/>
        </w:rPr>
        <w:t>Furthermore, the balance between macronutrient intake and metabolic demand is critical for maintaining health and preventing metabolic disorders such as obesity and type 2 diabetes. This reinforces the importance of applying biochemical knowledge of metabolism to dietary planning and public health recommendations (Public Health England, 2016).</w:t>
      </w:r>
    </w:p>
    <w:p w14:paraId="38D512A5" w14:textId="77777777" w:rsidR="00B01C0A" w:rsidRPr="005D09BB" w:rsidRDefault="00B01C0A" w:rsidP="005D09BB">
      <w:pPr>
        <w:spacing w:after="0"/>
        <w:rPr>
          <w:rFonts w:ascii="Times New Roman" w:hAnsi="Times New Roman" w:cs="Times New Roman"/>
        </w:rPr>
      </w:pPr>
    </w:p>
    <w:p w14:paraId="5A212B8E" w14:textId="77777777" w:rsidR="005D09BB" w:rsidRPr="005D09BB" w:rsidRDefault="005D09BB" w:rsidP="005D09BB">
      <w:pPr>
        <w:spacing w:after="0"/>
        <w:rPr>
          <w:rFonts w:ascii="Times New Roman" w:hAnsi="Times New Roman" w:cs="Times New Roman"/>
        </w:rPr>
      </w:pPr>
      <w:r w:rsidRPr="005D09BB">
        <w:rPr>
          <w:rFonts w:ascii="Times New Roman" w:hAnsi="Times New Roman" w:cs="Times New Roman"/>
        </w:rPr>
        <w:t>Individual variations in metabolism influence how macronutrients are utilised, highlighting the importance of personalised nutrition approaches for optimal metabolic function.</w:t>
      </w:r>
    </w:p>
    <w:p w14:paraId="5174A908" w14:textId="77777777" w:rsidR="00627D4E" w:rsidRPr="005E319A" w:rsidRDefault="00627D4E" w:rsidP="005E319A">
      <w:pPr>
        <w:spacing w:after="0"/>
        <w:rPr>
          <w:rFonts w:ascii="Times New Roman" w:hAnsi="Times New Roman" w:cs="Times New Roman"/>
          <w:b/>
          <w:bCs/>
        </w:rPr>
      </w:pPr>
    </w:p>
    <w:p w14:paraId="00B00EAD" w14:textId="0C21E592" w:rsidR="00484F3C" w:rsidRPr="005E319A" w:rsidRDefault="00484F3C" w:rsidP="005E319A">
      <w:pPr>
        <w:spacing w:after="0"/>
        <w:rPr>
          <w:rFonts w:ascii="Times New Roman" w:hAnsi="Times New Roman" w:cs="Times New Roman"/>
        </w:rPr>
      </w:pPr>
      <w:r>
        <w:rPr>
          <w:rFonts w:ascii="Times New Roman" w:hAnsi="Times New Roman" w:cs="Times New Roman"/>
        </w:rPr>
        <w:t xml:space="preserve">Word count - </w:t>
      </w:r>
      <w:r w:rsidR="001E0E0E">
        <w:rPr>
          <w:rFonts w:ascii="Times New Roman" w:hAnsi="Times New Roman" w:cs="Times New Roman"/>
        </w:rPr>
        <w:t>1</w:t>
      </w:r>
      <w:r w:rsidR="00733EC7">
        <w:rPr>
          <w:rFonts w:ascii="Times New Roman" w:hAnsi="Times New Roman" w:cs="Times New Roman"/>
        </w:rPr>
        <w:t>630</w:t>
      </w:r>
    </w:p>
    <w:p w14:paraId="30EC3459" w14:textId="77777777" w:rsidR="00A67792" w:rsidRDefault="00A67792" w:rsidP="00A67792">
      <w:pPr>
        <w:spacing w:after="0"/>
        <w:rPr>
          <w:rFonts w:ascii="Times New Roman" w:hAnsi="Times New Roman" w:cs="Times New Roman"/>
        </w:rPr>
      </w:pPr>
    </w:p>
    <w:p w14:paraId="33F3F620" w14:textId="77777777" w:rsidR="005E319A" w:rsidRDefault="005E319A" w:rsidP="00A67792">
      <w:pPr>
        <w:spacing w:after="0"/>
        <w:rPr>
          <w:rFonts w:ascii="Times New Roman" w:hAnsi="Times New Roman" w:cs="Times New Roman"/>
        </w:rPr>
      </w:pPr>
    </w:p>
    <w:p w14:paraId="7C9AC727" w14:textId="77777777" w:rsidR="005E319A" w:rsidRDefault="005E319A" w:rsidP="00A67792">
      <w:pPr>
        <w:spacing w:after="0"/>
        <w:rPr>
          <w:rFonts w:ascii="Times New Roman" w:hAnsi="Times New Roman" w:cs="Times New Roman"/>
        </w:rPr>
      </w:pPr>
    </w:p>
    <w:p w14:paraId="51ED5464" w14:textId="77777777" w:rsidR="005E319A" w:rsidRDefault="005E319A" w:rsidP="00A67792">
      <w:pPr>
        <w:spacing w:after="0"/>
        <w:rPr>
          <w:rFonts w:ascii="Times New Roman" w:hAnsi="Times New Roman" w:cs="Times New Roman"/>
        </w:rPr>
      </w:pPr>
    </w:p>
    <w:p w14:paraId="4DEA02CC" w14:textId="77777777" w:rsidR="005E319A" w:rsidRDefault="005E319A" w:rsidP="00A67792">
      <w:pPr>
        <w:spacing w:after="0"/>
        <w:rPr>
          <w:rFonts w:ascii="Times New Roman" w:hAnsi="Times New Roman" w:cs="Times New Roman"/>
        </w:rPr>
      </w:pPr>
    </w:p>
    <w:p w14:paraId="5DA9636F" w14:textId="77777777" w:rsidR="005E319A" w:rsidRDefault="005E319A" w:rsidP="00A67792">
      <w:pPr>
        <w:spacing w:after="0"/>
        <w:rPr>
          <w:rFonts w:ascii="Times New Roman" w:hAnsi="Times New Roman" w:cs="Times New Roman"/>
        </w:rPr>
      </w:pPr>
    </w:p>
    <w:p w14:paraId="4D2F626F" w14:textId="77777777" w:rsidR="005E319A" w:rsidRDefault="005E319A" w:rsidP="00A67792">
      <w:pPr>
        <w:spacing w:after="0"/>
        <w:rPr>
          <w:rFonts w:ascii="Times New Roman" w:hAnsi="Times New Roman" w:cs="Times New Roman"/>
        </w:rPr>
      </w:pPr>
    </w:p>
    <w:p w14:paraId="09B36FF1" w14:textId="77777777" w:rsidR="005E319A" w:rsidRDefault="005E319A" w:rsidP="00A67792">
      <w:pPr>
        <w:spacing w:after="0"/>
        <w:rPr>
          <w:rFonts w:ascii="Times New Roman" w:hAnsi="Times New Roman" w:cs="Times New Roman"/>
        </w:rPr>
      </w:pPr>
    </w:p>
    <w:p w14:paraId="21D31BA8" w14:textId="77777777" w:rsidR="005E319A" w:rsidRDefault="005E319A" w:rsidP="00A67792">
      <w:pPr>
        <w:spacing w:after="0"/>
        <w:rPr>
          <w:rFonts w:ascii="Times New Roman" w:hAnsi="Times New Roman" w:cs="Times New Roman"/>
        </w:rPr>
      </w:pPr>
    </w:p>
    <w:p w14:paraId="2A9788F0" w14:textId="77777777" w:rsidR="005E319A" w:rsidRDefault="005E319A" w:rsidP="00A67792">
      <w:pPr>
        <w:spacing w:after="0"/>
        <w:rPr>
          <w:rFonts w:ascii="Times New Roman" w:hAnsi="Times New Roman" w:cs="Times New Roman"/>
        </w:rPr>
      </w:pPr>
    </w:p>
    <w:p w14:paraId="7F5D5F50" w14:textId="77777777" w:rsidR="005E319A" w:rsidRDefault="005E319A" w:rsidP="00A67792">
      <w:pPr>
        <w:spacing w:after="0"/>
        <w:rPr>
          <w:rFonts w:ascii="Times New Roman" w:hAnsi="Times New Roman" w:cs="Times New Roman"/>
        </w:rPr>
      </w:pPr>
    </w:p>
    <w:p w14:paraId="76FAFB97" w14:textId="77777777" w:rsidR="005E319A" w:rsidRDefault="005E319A" w:rsidP="00A67792">
      <w:pPr>
        <w:spacing w:after="0"/>
        <w:rPr>
          <w:rFonts w:ascii="Times New Roman" w:hAnsi="Times New Roman" w:cs="Times New Roman"/>
        </w:rPr>
      </w:pPr>
    </w:p>
    <w:p w14:paraId="3BE5C58A" w14:textId="77777777" w:rsidR="005E319A" w:rsidRDefault="005E319A" w:rsidP="00A67792">
      <w:pPr>
        <w:spacing w:after="0"/>
        <w:rPr>
          <w:rFonts w:ascii="Times New Roman" w:hAnsi="Times New Roman" w:cs="Times New Roman"/>
        </w:rPr>
      </w:pPr>
    </w:p>
    <w:p w14:paraId="14AA80FC" w14:textId="77777777" w:rsidR="005E319A" w:rsidRDefault="005E319A" w:rsidP="00A67792">
      <w:pPr>
        <w:spacing w:after="0"/>
        <w:rPr>
          <w:rFonts w:ascii="Times New Roman" w:hAnsi="Times New Roman" w:cs="Times New Roman"/>
        </w:rPr>
      </w:pPr>
    </w:p>
    <w:p w14:paraId="18598597" w14:textId="77777777" w:rsidR="005E319A" w:rsidRDefault="005E319A" w:rsidP="00A67792">
      <w:pPr>
        <w:spacing w:after="0"/>
        <w:rPr>
          <w:rFonts w:ascii="Times New Roman" w:hAnsi="Times New Roman" w:cs="Times New Roman"/>
        </w:rPr>
      </w:pPr>
    </w:p>
    <w:p w14:paraId="282065B0" w14:textId="77777777" w:rsidR="005E319A" w:rsidRDefault="005E319A" w:rsidP="00A67792">
      <w:pPr>
        <w:spacing w:after="0"/>
        <w:rPr>
          <w:rFonts w:ascii="Times New Roman" w:hAnsi="Times New Roman" w:cs="Times New Roman"/>
        </w:rPr>
      </w:pPr>
    </w:p>
    <w:p w14:paraId="0F0686D1" w14:textId="77777777" w:rsidR="005E319A" w:rsidRDefault="005E319A" w:rsidP="00A67792">
      <w:pPr>
        <w:spacing w:after="0"/>
        <w:rPr>
          <w:rFonts w:ascii="Times New Roman" w:hAnsi="Times New Roman" w:cs="Times New Roman"/>
        </w:rPr>
      </w:pPr>
    </w:p>
    <w:p w14:paraId="1B77B5FD" w14:textId="77777777" w:rsidR="005E319A" w:rsidRDefault="005E319A" w:rsidP="00A67792">
      <w:pPr>
        <w:spacing w:after="0"/>
        <w:rPr>
          <w:rFonts w:ascii="Times New Roman" w:hAnsi="Times New Roman" w:cs="Times New Roman"/>
        </w:rPr>
      </w:pPr>
    </w:p>
    <w:p w14:paraId="54EB24A3" w14:textId="77777777" w:rsidR="00733EC7" w:rsidRDefault="00733EC7" w:rsidP="00A67792">
      <w:pPr>
        <w:spacing w:after="0"/>
        <w:rPr>
          <w:rFonts w:ascii="Times New Roman" w:hAnsi="Times New Roman" w:cs="Times New Roman"/>
        </w:rPr>
      </w:pPr>
    </w:p>
    <w:p w14:paraId="7B99F968" w14:textId="318EF8CA" w:rsidR="00A67792" w:rsidRPr="00A67792" w:rsidRDefault="00A67792" w:rsidP="00A67792">
      <w:pPr>
        <w:spacing w:after="0"/>
        <w:rPr>
          <w:rFonts w:ascii="Times New Roman" w:hAnsi="Times New Roman" w:cs="Times New Roman"/>
          <w:b/>
          <w:bCs/>
        </w:rPr>
      </w:pPr>
      <w:r w:rsidRPr="00A67792">
        <w:rPr>
          <w:rFonts w:ascii="Times New Roman" w:hAnsi="Times New Roman" w:cs="Times New Roman"/>
          <w:b/>
          <w:bCs/>
        </w:rPr>
        <w:lastRenderedPageBreak/>
        <w:t>Reference List (Harvard)</w:t>
      </w:r>
    </w:p>
    <w:p w14:paraId="157FE230" w14:textId="77777777" w:rsidR="00A67792" w:rsidRPr="00A67792" w:rsidRDefault="00A67792" w:rsidP="00A67792">
      <w:pPr>
        <w:spacing w:after="0"/>
        <w:rPr>
          <w:rFonts w:ascii="Times New Roman" w:hAnsi="Times New Roman" w:cs="Times New Roman"/>
          <w:b/>
          <w:bCs/>
        </w:rPr>
      </w:pPr>
    </w:p>
    <w:p w14:paraId="008E17CC"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Bean, A. (2017) </w:t>
      </w:r>
      <w:r w:rsidRPr="00733EC7">
        <w:rPr>
          <w:rFonts w:ascii="Times New Roman" w:hAnsi="Times New Roman" w:cs="Times New Roman"/>
          <w:i/>
          <w:iCs/>
        </w:rPr>
        <w:t>The Complete Guide to Sports Nutrition</w:t>
      </w:r>
      <w:r w:rsidRPr="00733EC7">
        <w:rPr>
          <w:rFonts w:ascii="Times New Roman" w:hAnsi="Times New Roman" w:cs="Times New Roman"/>
        </w:rPr>
        <w:t xml:space="preserve">. 8th </w:t>
      </w:r>
      <w:proofErr w:type="spellStart"/>
      <w:r w:rsidRPr="00733EC7">
        <w:rPr>
          <w:rFonts w:ascii="Times New Roman" w:hAnsi="Times New Roman" w:cs="Times New Roman"/>
        </w:rPr>
        <w:t>edn</w:t>
      </w:r>
      <w:proofErr w:type="spellEnd"/>
      <w:r w:rsidRPr="00733EC7">
        <w:rPr>
          <w:rFonts w:ascii="Times New Roman" w:hAnsi="Times New Roman" w:cs="Times New Roman"/>
        </w:rPr>
        <w:t>. London: Bloomsbury.</w:t>
      </w:r>
    </w:p>
    <w:p w14:paraId="2719E906" w14:textId="77777777" w:rsidR="00733EC7" w:rsidRPr="00733EC7" w:rsidRDefault="00733EC7" w:rsidP="00733EC7">
      <w:pPr>
        <w:spacing w:after="0"/>
        <w:rPr>
          <w:rFonts w:ascii="Times New Roman" w:hAnsi="Times New Roman" w:cs="Times New Roman"/>
        </w:rPr>
      </w:pPr>
    </w:p>
    <w:p w14:paraId="6633ADD8"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Department of Health (1991) </w:t>
      </w:r>
      <w:r w:rsidRPr="00733EC7">
        <w:rPr>
          <w:rFonts w:ascii="Times New Roman" w:hAnsi="Times New Roman" w:cs="Times New Roman"/>
          <w:i/>
          <w:iCs/>
        </w:rPr>
        <w:t>Dietary Reference Values for Food Energy and Nutrients for the United Kingdom</w:t>
      </w:r>
      <w:r w:rsidRPr="00733EC7">
        <w:rPr>
          <w:rFonts w:ascii="Times New Roman" w:hAnsi="Times New Roman" w:cs="Times New Roman"/>
        </w:rPr>
        <w:t>. London: HMSO.</w:t>
      </w:r>
    </w:p>
    <w:p w14:paraId="24EF023B" w14:textId="77777777" w:rsidR="00733EC7" w:rsidRPr="00733EC7" w:rsidRDefault="00733EC7" w:rsidP="00733EC7">
      <w:pPr>
        <w:spacing w:after="0"/>
        <w:rPr>
          <w:rFonts w:ascii="Times New Roman" w:hAnsi="Times New Roman" w:cs="Times New Roman"/>
        </w:rPr>
      </w:pPr>
    </w:p>
    <w:p w14:paraId="67A13546"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Drummond, K.E. and Rees, J. (2018) </w:t>
      </w:r>
      <w:r w:rsidRPr="00733EC7">
        <w:rPr>
          <w:rFonts w:ascii="Times New Roman" w:hAnsi="Times New Roman" w:cs="Times New Roman"/>
          <w:i/>
          <w:iCs/>
        </w:rPr>
        <w:t>Nutrition for Foodservice and Culinary Professionals</w:t>
      </w:r>
      <w:r w:rsidRPr="00733EC7">
        <w:rPr>
          <w:rFonts w:ascii="Times New Roman" w:hAnsi="Times New Roman" w:cs="Times New Roman"/>
        </w:rPr>
        <w:t xml:space="preserve">. 9th </w:t>
      </w:r>
      <w:proofErr w:type="spellStart"/>
      <w:r w:rsidRPr="00733EC7">
        <w:rPr>
          <w:rFonts w:ascii="Times New Roman" w:hAnsi="Times New Roman" w:cs="Times New Roman"/>
        </w:rPr>
        <w:t>edn</w:t>
      </w:r>
      <w:proofErr w:type="spellEnd"/>
      <w:r w:rsidRPr="00733EC7">
        <w:rPr>
          <w:rFonts w:ascii="Times New Roman" w:hAnsi="Times New Roman" w:cs="Times New Roman"/>
        </w:rPr>
        <w:t>. Hoboken: Wiley.</w:t>
      </w:r>
    </w:p>
    <w:p w14:paraId="1B13BD1B" w14:textId="77777777" w:rsidR="00733EC7" w:rsidRPr="00733EC7" w:rsidRDefault="00733EC7" w:rsidP="00733EC7">
      <w:pPr>
        <w:spacing w:after="0"/>
        <w:rPr>
          <w:rFonts w:ascii="Times New Roman" w:hAnsi="Times New Roman" w:cs="Times New Roman"/>
        </w:rPr>
      </w:pPr>
    </w:p>
    <w:p w14:paraId="2E85A2C3" w14:textId="77777777" w:rsidR="00733EC7" w:rsidRDefault="00733EC7" w:rsidP="00733EC7">
      <w:pPr>
        <w:spacing w:after="0"/>
        <w:rPr>
          <w:rFonts w:ascii="Times New Roman" w:hAnsi="Times New Roman" w:cs="Times New Roman"/>
        </w:rPr>
      </w:pPr>
      <w:proofErr w:type="spellStart"/>
      <w:r w:rsidRPr="00733EC7">
        <w:rPr>
          <w:rFonts w:ascii="Times New Roman" w:hAnsi="Times New Roman" w:cs="Times New Roman"/>
        </w:rPr>
        <w:t>Jeukendrup</w:t>
      </w:r>
      <w:proofErr w:type="spellEnd"/>
      <w:r w:rsidRPr="00733EC7">
        <w:rPr>
          <w:rFonts w:ascii="Times New Roman" w:hAnsi="Times New Roman" w:cs="Times New Roman"/>
        </w:rPr>
        <w:t xml:space="preserve">, A.E. and Gleeson, M. (2019) </w:t>
      </w:r>
      <w:r w:rsidRPr="00733EC7">
        <w:rPr>
          <w:rFonts w:ascii="Times New Roman" w:hAnsi="Times New Roman" w:cs="Times New Roman"/>
          <w:i/>
          <w:iCs/>
        </w:rPr>
        <w:t>Sport Nutrition</w:t>
      </w:r>
      <w:r w:rsidRPr="00733EC7">
        <w:rPr>
          <w:rFonts w:ascii="Times New Roman" w:hAnsi="Times New Roman" w:cs="Times New Roman"/>
        </w:rPr>
        <w:t xml:space="preserve">. 3rd </w:t>
      </w:r>
      <w:proofErr w:type="spellStart"/>
      <w:r w:rsidRPr="00733EC7">
        <w:rPr>
          <w:rFonts w:ascii="Times New Roman" w:hAnsi="Times New Roman" w:cs="Times New Roman"/>
        </w:rPr>
        <w:t>edn</w:t>
      </w:r>
      <w:proofErr w:type="spellEnd"/>
      <w:r w:rsidRPr="00733EC7">
        <w:rPr>
          <w:rFonts w:ascii="Times New Roman" w:hAnsi="Times New Roman" w:cs="Times New Roman"/>
        </w:rPr>
        <w:t>. Champaign, IL: Human Kinetics.</w:t>
      </w:r>
    </w:p>
    <w:p w14:paraId="4724BAD5" w14:textId="77777777" w:rsidR="00733EC7" w:rsidRPr="00733EC7" w:rsidRDefault="00733EC7" w:rsidP="00733EC7">
      <w:pPr>
        <w:spacing w:after="0"/>
        <w:rPr>
          <w:rFonts w:ascii="Times New Roman" w:hAnsi="Times New Roman" w:cs="Times New Roman"/>
        </w:rPr>
      </w:pPr>
    </w:p>
    <w:p w14:paraId="57C1CEA2"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Lean, M.E.J. and Combet, E. (2022) </w:t>
      </w:r>
      <w:proofErr w:type="spellStart"/>
      <w:r w:rsidRPr="00733EC7">
        <w:rPr>
          <w:rFonts w:ascii="Times New Roman" w:hAnsi="Times New Roman" w:cs="Times New Roman"/>
          <w:i/>
          <w:iCs/>
        </w:rPr>
        <w:t>Barasi’s</w:t>
      </w:r>
      <w:proofErr w:type="spellEnd"/>
      <w:r w:rsidRPr="00733EC7">
        <w:rPr>
          <w:rFonts w:ascii="Times New Roman" w:hAnsi="Times New Roman" w:cs="Times New Roman"/>
          <w:i/>
          <w:iCs/>
        </w:rPr>
        <w:t xml:space="preserve"> Human Nutrition: A Health Perspective</w:t>
      </w:r>
      <w:r w:rsidRPr="00733EC7">
        <w:rPr>
          <w:rFonts w:ascii="Times New Roman" w:hAnsi="Times New Roman" w:cs="Times New Roman"/>
        </w:rPr>
        <w:t xml:space="preserve">. 4th </w:t>
      </w:r>
      <w:proofErr w:type="spellStart"/>
      <w:r w:rsidRPr="00733EC7">
        <w:rPr>
          <w:rFonts w:ascii="Times New Roman" w:hAnsi="Times New Roman" w:cs="Times New Roman"/>
        </w:rPr>
        <w:t>edn</w:t>
      </w:r>
      <w:proofErr w:type="spellEnd"/>
      <w:r w:rsidRPr="00733EC7">
        <w:rPr>
          <w:rFonts w:ascii="Times New Roman" w:hAnsi="Times New Roman" w:cs="Times New Roman"/>
        </w:rPr>
        <w:t>. Boca Raton: CRC Press.</w:t>
      </w:r>
    </w:p>
    <w:p w14:paraId="5FA4C6AB" w14:textId="77777777" w:rsidR="00733EC7" w:rsidRPr="00733EC7" w:rsidRDefault="00733EC7" w:rsidP="00733EC7">
      <w:pPr>
        <w:spacing w:after="0"/>
        <w:rPr>
          <w:rFonts w:ascii="Times New Roman" w:hAnsi="Times New Roman" w:cs="Times New Roman"/>
        </w:rPr>
      </w:pPr>
    </w:p>
    <w:p w14:paraId="4120F4BE"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McArdle, W.D., Katch, F.I. and Katch, V.L. (2015) </w:t>
      </w:r>
      <w:r w:rsidRPr="00733EC7">
        <w:rPr>
          <w:rFonts w:ascii="Times New Roman" w:hAnsi="Times New Roman" w:cs="Times New Roman"/>
          <w:i/>
          <w:iCs/>
        </w:rPr>
        <w:t>Exercise Physiology: Nutrition, Energy, and Human Performance</w:t>
      </w:r>
      <w:r w:rsidRPr="00733EC7">
        <w:rPr>
          <w:rFonts w:ascii="Times New Roman" w:hAnsi="Times New Roman" w:cs="Times New Roman"/>
        </w:rPr>
        <w:t xml:space="preserve">. 8th </w:t>
      </w:r>
      <w:proofErr w:type="spellStart"/>
      <w:r w:rsidRPr="00733EC7">
        <w:rPr>
          <w:rFonts w:ascii="Times New Roman" w:hAnsi="Times New Roman" w:cs="Times New Roman"/>
        </w:rPr>
        <w:t>edn</w:t>
      </w:r>
      <w:proofErr w:type="spellEnd"/>
      <w:r w:rsidRPr="00733EC7">
        <w:rPr>
          <w:rFonts w:ascii="Times New Roman" w:hAnsi="Times New Roman" w:cs="Times New Roman"/>
        </w:rPr>
        <w:t>. Philadelphia: Wolters Kluwer.</w:t>
      </w:r>
    </w:p>
    <w:p w14:paraId="28F3BFEB" w14:textId="77777777" w:rsidR="00733EC7" w:rsidRPr="00733EC7" w:rsidRDefault="00733EC7" w:rsidP="00733EC7">
      <w:pPr>
        <w:spacing w:after="0"/>
        <w:rPr>
          <w:rFonts w:ascii="Times New Roman" w:hAnsi="Times New Roman" w:cs="Times New Roman"/>
        </w:rPr>
      </w:pPr>
    </w:p>
    <w:p w14:paraId="2859F956" w14:textId="77777777"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Nelson, D.L. and Cox, M.M. (2021) </w:t>
      </w:r>
      <w:proofErr w:type="spellStart"/>
      <w:r w:rsidRPr="00733EC7">
        <w:rPr>
          <w:rFonts w:ascii="Times New Roman" w:hAnsi="Times New Roman" w:cs="Times New Roman"/>
          <w:i/>
          <w:iCs/>
        </w:rPr>
        <w:t>Lehninger</w:t>
      </w:r>
      <w:proofErr w:type="spellEnd"/>
      <w:r w:rsidRPr="00733EC7">
        <w:rPr>
          <w:rFonts w:ascii="Times New Roman" w:hAnsi="Times New Roman" w:cs="Times New Roman"/>
          <w:i/>
          <w:iCs/>
        </w:rPr>
        <w:t xml:space="preserve"> Principles of Biochemistry</w:t>
      </w:r>
      <w:r w:rsidRPr="00733EC7">
        <w:rPr>
          <w:rFonts w:ascii="Times New Roman" w:hAnsi="Times New Roman" w:cs="Times New Roman"/>
        </w:rPr>
        <w:t xml:space="preserve">. 8th </w:t>
      </w:r>
      <w:proofErr w:type="spellStart"/>
      <w:r w:rsidRPr="00733EC7">
        <w:rPr>
          <w:rFonts w:ascii="Times New Roman" w:hAnsi="Times New Roman" w:cs="Times New Roman"/>
        </w:rPr>
        <w:t>edn</w:t>
      </w:r>
      <w:proofErr w:type="spellEnd"/>
      <w:r w:rsidRPr="00733EC7">
        <w:rPr>
          <w:rFonts w:ascii="Times New Roman" w:hAnsi="Times New Roman" w:cs="Times New Roman"/>
        </w:rPr>
        <w:t>. New York: W.H. Freeman.</w:t>
      </w:r>
    </w:p>
    <w:p w14:paraId="365EBC5D" w14:textId="77777777" w:rsidR="00733EC7" w:rsidRPr="00733EC7" w:rsidRDefault="00733EC7" w:rsidP="00733EC7">
      <w:pPr>
        <w:spacing w:after="0"/>
        <w:rPr>
          <w:rFonts w:ascii="Times New Roman" w:hAnsi="Times New Roman" w:cs="Times New Roman"/>
        </w:rPr>
      </w:pPr>
    </w:p>
    <w:p w14:paraId="1EBF29B1" w14:textId="479230B1" w:rsidR="00733EC7" w:rsidRDefault="00733EC7" w:rsidP="00733EC7">
      <w:pPr>
        <w:spacing w:after="0"/>
        <w:rPr>
          <w:rFonts w:ascii="Times New Roman" w:hAnsi="Times New Roman" w:cs="Times New Roman"/>
        </w:rPr>
      </w:pPr>
      <w:r w:rsidRPr="00733EC7">
        <w:rPr>
          <w:rFonts w:ascii="Times New Roman" w:hAnsi="Times New Roman" w:cs="Times New Roman"/>
        </w:rPr>
        <w:t xml:space="preserve">OpenStax (2018) </w:t>
      </w:r>
      <w:r w:rsidRPr="00733EC7">
        <w:rPr>
          <w:rFonts w:ascii="Times New Roman" w:hAnsi="Times New Roman" w:cs="Times New Roman"/>
          <w:i/>
          <w:iCs/>
        </w:rPr>
        <w:t>Biology 2e</w:t>
      </w:r>
      <w:r w:rsidRPr="00733EC7">
        <w:rPr>
          <w:rFonts w:ascii="Times New Roman" w:hAnsi="Times New Roman" w:cs="Times New Roman"/>
        </w:rPr>
        <w:t xml:space="preserve">. Houston: OpenStax, Rice University. Available at: </w:t>
      </w:r>
      <w:hyperlink r:id="rId7" w:tgtFrame="_new" w:history="1">
        <w:r w:rsidRPr="00733EC7">
          <w:rPr>
            <w:rStyle w:val="Hyperlink"/>
            <w:rFonts w:ascii="Times New Roman" w:hAnsi="Times New Roman" w:cs="Times New Roman"/>
          </w:rPr>
          <w:t>https://openstax.org</w:t>
        </w:r>
      </w:hyperlink>
      <w:r w:rsidRPr="00733EC7">
        <w:rPr>
          <w:rFonts w:ascii="Times New Roman" w:hAnsi="Times New Roman" w:cs="Times New Roman"/>
        </w:rPr>
        <w:t xml:space="preserve"> (Accessed: </w:t>
      </w:r>
      <w:r w:rsidR="008E1347">
        <w:rPr>
          <w:rFonts w:ascii="Times New Roman" w:hAnsi="Times New Roman" w:cs="Times New Roman"/>
        </w:rPr>
        <w:t>18</w:t>
      </w:r>
      <w:r w:rsidR="008E1347" w:rsidRPr="008E1347">
        <w:rPr>
          <w:rFonts w:ascii="Times New Roman" w:hAnsi="Times New Roman" w:cs="Times New Roman"/>
          <w:vertAlign w:val="superscript"/>
        </w:rPr>
        <w:t>th</w:t>
      </w:r>
      <w:r w:rsidR="008E1347">
        <w:rPr>
          <w:rFonts w:ascii="Times New Roman" w:hAnsi="Times New Roman" w:cs="Times New Roman"/>
        </w:rPr>
        <w:t xml:space="preserve"> March 2026</w:t>
      </w:r>
      <w:r w:rsidRPr="00733EC7">
        <w:rPr>
          <w:rFonts w:ascii="Times New Roman" w:hAnsi="Times New Roman" w:cs="Times New Roman"/>
        </w:rPr>
        <w:t>).</w:t>
      </w:r>
    </w:p>
    <w:p w14:paraId="41ECFECC" w14:textId="77777777" w:rsidR="008E1347" w:rsidRPr="00733EC7" w:rsidRDefault="008E1347" w:rsidP="00733EC7">
      <w:pPr>
        <w:spacing w:after="0"/>
        <w:rPr>
          <w:rFonts w:ascii="Times New Roman" w:hAnsi="Times New Roman" w:cs="Times New Roman"/>
        </w:rPr>
      </w:pPr>
    </w:p>
    <w:p w14:paraId="26AF2FCA" w14:textId="77777777" w:rsidR="00733EC7" w:rsidRPr="00733EC7" w:rsidRDefault="00733EC7" w:rsidP="00733EC7">
      <w:pPr>
        <w:spacing w:after="0"/>
        <w:rPr>
          <w:rFonts w:ascii="Times New Roman" w:hAnsi="Times New Roman" w:cs="Times New Roman"/>
        </w:rPr>
      </w:pPr>
      <w:r w:rsidRPr="00733EC7">
        <w:rPr>
          <w:rFonts w:ascii="Times New Roman" w:hAnsi="Times New Roman" w:cs="Times New Roman"/>
        </w:rPr>
        <w:t xml:space="preserve">Public Health England (2016) </w:t>
      </w:r>
      <w:r w:rsidRPr="00733EC7">
        <w:rPr>
          <w:rFonts w:ascii="Times New Roman" w:hAnsi="Times New Roman" w:cs="Times New Roman"/>
          <w:i/>
          <w:iCs/>
        </w:rPr>
        <w:t>The Eatwell Guide</w:t>
      </w:r>
      <w:r w:rsidRPr="00733EC7">
        <w:rPr>
          <w:rFonts w:ascii="Times New Roman" w:hAnsi="Times New Roman" w:cs="Times New Roman"/>
        </w:rPr>
        <w:t>. London: Public Health England.</w:t>
      </w:r>
    </w:p>
    <w:p w14:paraId="29C90C9C" w14:textId="77777777" w:rsidR="00733EC7" w:rsidRPr="00733EC7" w:rsidRDefault="00733EC7" w:rsidP="00733EC7">
      <w:pPr>
        <w:spacing w:after="0"/>
        <w:rPr>
          <w:rFonts w:ascii="Times New Roman" w:hAnsi="Times New Roman" w:cs="Times New Roman"/>
        </w:rPr>
      </w:pPr>
      <w:r w:rsidRPr="00733EC7">
        <w:rPr>
          <w:rFonts w:ascii="Times New Roman" w:hAnsi="Times New Roman" w:cs="Times New Roman"/>
        </w:rPr>
        <w:t xml:space="preserve">Scientific Advisory Committee on Nutrition (SACN) (2015) </w:t>
      </w:r>
      <w:r w:rsidRPr="00733EC7">
        <w:rPr>
          <w:rFonts w:ascii="Times New Roman" w:hAnsi="Times New Roman" w:cs="Times New Roman"/>
          <w:i/>
          <w:iCs/>
        </w:rPr>
        <w:t>Carbohydrates and Health Report</w:t>
      </w:r>
      <w:r w:rsidRPr="00733EC7">
        <w:rPr>
          <w:rFonts w:ascii="Times New Roman" w:hAnsi="Times New Roman" w:cs="Times New Roman"/>
        </w:rPr>
        <w:t>. London: The Stationery Office.</w:t>
      </w:r>
    </w:p>
    <w:p w14:paraId="5756AD89" w14:textId="22A6648F" w:rsidR="00A67792" w:rsidRPr="00A67792" w:rsidRDefault="00A67792" w:rsidP="00A67792">
      <w:pPr>
        <w:spacing w:after="0"/>
        <w:rPr>
          <w:rFonts w:ascii="Times New Roman" w:hAnsi="Times New Roman" w:cs="Times New Roman"/>
        </w:rPr>
      </w:pPr>
    </w:p>
    <w:p w14:paraId="533FA85E" w14:textId="77777777" w:rsidR="00A67792" w:rsidRPr="00A67792" w:rsidRDefault="00A67792" w:rsidP="00A67792">
      <w:pPr>
        <w:spacing w:after="0"/>
        <w:rPr>
          <w:rFonts w:ascii="Times New Roman" w:hAnsi="Times New Roman" w:cs="Times New Roman"/>
        </w:rPr>
      </w:pPr>
    </w:p>
    <w:sectPr w:rsidR="00A67792" w:rsidRPr="00A677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A652D" w14:textId="77777777" w:rsidR="00634D02" w:rsidRDefault="00634D02" w:rsidP="00484F3C">
      <w:pPr>
        <w:spacing w:after="0" w:line="240" w:lineRule="auto"/>
      </w:pPr>
      <w:r>
        <w:separator/>
      </w:r>
    </w:p>
  </w:endnote>
  <w:endnote w:type="continuationSeparator" w:id="0">
    <w:p w14:paraId="363BFB2D" w14:textId="77777777" w:rsidR="00634D02" w:rsidRDefault="00634D02" w:rsidP="00484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5400C" w14:textId="77777777" w:rsidR="00634D02" w:rsidRDefault="00634D02" w:rsidP="00484F3C">
      <w:pPr>
        <w:spacing w:after="0" w:line="240" w:lineRule="auto"/>
      </w:pPr>
      <w:r>
        <w:separator/>
      </w:r>
    </w:p>
  </w:footnote>
  <w:footnote w:type="continuationSeparator" w:id="0">
    <w:p w14:paraId="4E76212B" w14:textId="77777777" w:rsidR="00634D02" w:rsidRDefault="00634D02" w:rsidP="00484F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2E6214"/>
    <w:multiLevelType w:val="multilevel"/>
    <w:tmpl w:val="EBD8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C057C2"/>
    <w:multiLevelType w:val="multilevel"/>
    <w:tmpl w:val="EBFE0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2429907">
    <w:abstractNumId w:val="1"/>
  </w:num>
  <w:num w:numId="2" w16cid:durableId="1774351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792"/>
    <w:rsid w:val="00027203"/>
    <w:rsid w:val="00031B38"/>
    <w:rsid w:val="0003504D"/>
    <w:rsid w:val="000E4E35"/>
    <w:rsid w:val="00135CEA"/>
    <w:rsid w:val="00193DBC"/>
    <w:rsid w:val="001E0E0E"/>
    <w:rsid w:val="002745EB"/>
    <w:rsid w:val="00302E27"/>
    <w:rsid w:val="0034295D"/>
    <w:rsid w:val="00354B7B"/>
    <w:rsid w:val="003B63B5"/>
    <w:rsid w:val="00484F3C"/>
    <w:rsid w:val="00504815"/>
    <w:rsid w:val="005173EA"/>
    <w:rsid w:val="005554B7"/>
    <w:rsid w:val="005D09BB"/>
    <w:rsid w:val="005E319A"/>
    <w:rsid w:val="00627D4E"/>
    <w:rsid w:val="00634D02"/>
    <w:rsid w:val="006D3C2B"/>
    <w:rsid w:val="00706CA3"/>
    <w:rsid w:val="00733EC7"/>
    <w:rsid w:val="00743C6A"/>
    <w:rsid w:val="008E1347"/>
    <w:rsid w:val="009D0A95"/>
    <w:rsid w:val="00A0735A"/>
    <w:rsid w:val="00A65BBE"/>
    <w:rsid w:val="00A67792"/>
    <w:rsid w:val="00AD0BFD"/>
    <w:rsid w:val="00B01C0A"/>
    <w:rsid w:val="00BB4FD5"/>
    <w:rsid w:val="00BF45D5"/>
    <w:rsid w:val="00C12457"/>
    <w:rsid w:val="00C25EFB"/>
    <w:rsid w:val="00C65214"/>
    <w:rsid w:val="00D542ED"/>
    <w:rsid w:val="00D706DB"/>
    <w:rsid w:val="00D8776D"/>
    <w:rsid w:val="00DC246A"/>
    <w:rsid w:val="00E00083"/>
    <w:rsid w:val="00E93E09"/>
    <w:rsid w:val="00EA60DC"/>
    <w:rsid w:val="00EB1A0E"/>
    <w:rsid w:val="00F41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BDFB"/>
  <w15:chartTrackingRefBased/>
  <w15:docId w15:val="{E22F31AE-E2EB-4529-A71C-578513A8A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7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7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7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7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7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7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7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7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7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7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7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7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7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7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7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7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7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792"/>
    <w:rPr>
      <w:rFonts w:eastAsiaTheme="majorEastAsia" w:cstheme="majorBidi"/>
      <w:color w:val="272727" w:themeColor="text1" w:themeTint="D8"/>
    </w:rPr>
  </w:style>
  <w:style w:type="paragraph" w:styleId="Title">
    <w:name w:val="Title"/>
    <w:basedOn w:val="Normal"/>
    <w:next w:val="Normal"/>
    <w:link w:val="TitleChar"/>
    <w:uiPriority w:val="10"/>
    <w:qFormat/>
    <w:rsid w:val="00A677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7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7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792"/>
    <w:pPr>
      <w:spacing w:before="160"/>
      <w:jc w:val="center"/>
    </w:pPr>
    <w:rPr>
      <w:i/>
      <w:iCs/>
      <w:color w:val="404040" w:themeColor="text1" w:themeTint="BF"/>
    </w:rPr>
  </w:style>
  <w:style w:type="character" w:customStyle="1" w:styleId="QuoteChar">
    <w:name w:val="Quote Char"/>
    <w:basedOn w:val="DefaultParagraphFont"/>
    <w:link w:val="Quote"/>
    <w:uiPriority w:val="29"/>
    <w:rsid w:val="00A67792"/>
    <w:rPr>
      <w:i/>
      <w:iCs/>
      <w:color w:val="404040" w:themeColor="text1" w:themeTint="BF"/>
    </w:rPr>
  </w:style>
  <w:style w:type="paragraph" w:styleId="ListParagraph">
    <w:name w:val="List Paragraph"/>
    <w:basedOn w:val="Normal"/>
    <w:uiPriority w:val="34"/>
    <w:qFormat/>
    <w:rsid w:val="00A67792"/>
    <w:pPr>
      <w:ind w:left="720"/>
      <w:contextualSpacing/>
    </w:pPr>
  </w:style>
  <w:style w:type="character" w:styleId="IntenseEmphasis">
    <w:name w:val="Intense Emphasis"/>
    <w:basedOn w:val="DefaultParagraphFont"/>
    <w:uiPriority w:val="21"/>
    <w:qFormat/>
    <w:rsid w:val="00A67792"/>
    <w:rPr>
      <w:i/>
      <w:iCs/>
      <w:color w:val="0F4761" w:themeColor="accent1" w:themeShade="BF"/>
    </w:rPr>
  </w:style>
  <w:style w:type="paragraph" w:styleId="IntenseQuote">
    <w:name w:val="Intense Quote"/>
    <w:basedOn w:val="Normal"/>
    <w:next w:val="Normal"/>
    <w:link w:val="IntenseQuoteChar"/>
    <w:uiPriority w:val="30"/>
    <w:qFormat/>
    <w:rsid w:val="00A67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792"/>
    <w:rPr>
      <w:i/>
      <w:iCs/>
      <w:color w:val="0F4761" w:themeColor="accent1" w:themeShade="BF"/>
    </w:rPr>
  </w:style>
  <w:style w:type="character" w:styleId="IntenseReference">
    <w:name w:val="Intense Reference"/>
    <w:basedOn w:val="DefaultParagraphFont"/>
    <w:uiPriority w:val="32"/>
    <w:qFormat/>
    <w:rsid w:val="00A67792"/>
    <w:rPr>
      <w:b/>
      <w:bCs/>
      <w:smallCaps/>
      <w:color w:val="0F4761" w:themeColor="accent1" w:themeShade="BF"/>
      <w:spacing w:val="5"/>
    </w:rPr>
  </w:style>
  <w:style w:type="paragraph" w:styleId="NormalWeb">
    <w:name w:val="Normal (Web)"/>
    <w:basedOn w:val="Normal"/>
    <w:uiPriority w:val="99"/>
    <w:semiHidden/>
    <w:unhideWhenUsed/>
    <w:rsid w:val="005E319A"/>
    <w:rPr>
      <w:rFonts w:ascii="Times New Roman" w:hAnsi="Times New Roman" w:cs="Times New Roman"/>
    </w:rPr>
  </w:style>
  <w:style w:type="paragraph" w:styleId="Header">
    <w:name w:val="header"/>
    <w:basedOn w:val="Normal"/>
    <w:link w:val="HeaderChar"/>
    <w:uiPriority w:val="99"/>
    <w:unhideWhenUsed/>
    <w:rsid w:val="00484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F3C"/>
  </w:style>
  <w:style w:type="paragraph" w:styleId="Footer">
    <w:name w:val="footer"/>
    <w:basedOn w:val="Normal"/>
    <w:link w:val="FooterChar"/>
    <w:uiPriority w:val="99"/>
    <w:unhideWhenUsed/>
    <w:rsid w:val="00484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F3C"/>
  </w:style>
  <w:style w:type="character" w:styleId="Hyperlink">
    <w:name w:val="Hyperlink"/>
    <w:basedOn w:val="DefaultParagraphFont"/>
    <w:uiPriority w:val="99"/>
    <w:unhideWhenUsed/>
    <w:rsid w:val="00733EC7"/>
    <w:rPr>
      <w:color w:val="467886" w:themeColor="hyperlink"/>
      <w:u w:val="single"/>
    </w:rPr>
  </w:style>
  <w:style w:type="character" w:styleId="UnresolvedMention">
    <w:name w:val="Unresolved Mention"/>
    <w:basedOn w:val="DefaultParagraphFont"/>
    <w:uiPriority w:val="99"/>
    <w:semiHidden/>
    <w:unhideWhenUsed/>
    <w:rsid w:val="00733E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penstax.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thomas</dc:creator>
  <cp:keywords/>
  <dc:description/>
  <cp:lastModifiedBy>Clare thomas</cp:lastModifiedBy>
  <cp:revision>39</cp:revision>
  <dcterms:created xsi:type="dcterms:W3CDTF">2026-03-02T13:29:00Z</dcterms:created>
  <dcterms:modified xsi:type="dcterms:W3CDTF">2026-03-18T21:50:00Z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2ee19dba-80a6-45e5-a6c2-f1a81f28bf7b</vt:lpwstr>
  </property>
</Properties>
</file>