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367833" w14:textId="77777777" w:rsidR="00555794" w:rsidRPr="00FD339F" w:rsidRDefault="00555794" w:rsidP="00555794">
      <w:pPr>
        <w:spacing w:line="480" w:lineRule="auto"/>
        <w:jc w:val="center"/>
        <w:rPr>
          <w:rFonts w:ascii="Arial" w:hAnsi="Arial" w:cs="Arial"/>
          <w:color w:val="000000" w:themeColor="text1"/>
          <w:sz w:val="22"/>
          <w:szCs w:val="22"/>
        </w:rPr>
      </w:pPr>
      <w:r w:rsidRPr="00FD339F">
        <w:rPr>
          <w:rFonts w:ascii="Arial" w:hAnsi="Arial" w:cs="Arial"/>
          <w:noProof/>
          <w:color w:val="000000" w:themeColor="text1"/>
          <w:sz w:val="22"/>
          <w:szCs w:val="22"/>
        </w:rPr>
        <w:drawing>
          <wp:inline distT="0" distB="0" distL="0" distR="0" wp14:anchorId="6A8C92A9" wp14:editId="2DE3574E">
            <wp:extent cx="2668270" cy="1143000"/>
            <wp:effectExtent l="0" t="0" r="0" b="0"/>
            <wp:docPr id="2" name="Picture 2"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knife&#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2668270" cy="1143000"/>
                    </a:xfrm>
                    <a:prstGeom prst="rect">
                      <a:avLst/>
                    </a:prstGeom>
                  </pic:spPr>
                </pic:pic>
              </a:graphicData>
            </a:graphic>
          </wp:inline>
        </w:drawing>
      </w:r>
    </w:p>
    <w:p w14:paraId="0CAE2EB9" w14:textId="77777777" w:rsidR="00555794" w:rsidRPr="00FD339F" w:rsidRDefault="00555794" w:rsidP="00555794">
      <w:pPr>
        <w:spacing w:line="480" w:lineRule="auto"/>
        <w:jc w:val="both"/>
        <w:rPr>
          <w:rFonts w:ascii="Arial" w:hAnsi="Arial" w:cs="Arial"/>
          <w:color w:val="000000" w:themeColor="text1"/>
          <w:sz w:val="22"/>
          <w:szCs w:val="22"/>
        </w:rPr>
      </w:pPr>
      <w:r w:rsidRPr="00FD339F">
        <w:rPr>
          <w:rFonts w:ascii="Arial" w:hAnsi="Arial" w:cs="Arial"/>
          <w:color w:val="000000" w:themeColor="text1"/>
          <w:sz w:val="22"/>
          <w:szCs w:val="22"/>
        </w:rPr>
        <w:t> </w:t>
      </w:r>
    </w:p>
    <w:p w14:paraId="11431BCB" w14:textId="77777777" w:rsidR="00555794" w:rsidRPr="00FD339F" w:rsidRDefault="00555794" w:rsidP="00555794">
      <w:pPr>
        <w:spacing w:line="480" w:lineRule="auto"/>
        <w:jc w:val="both"/>
        <w:rPr>
          <w:rFonts w:ascii="Arial" w:hAnsi="Arial" w:cs="Arial"/>
          <w:color w:val="000000" w:themeColor="text1"/>
          <w:sz w:val="22"/>
          <w:szCs w:val="22"/>
        </w:rPr>
      </w:pPr>
      <w:r w:rsidRPr="00FD339F">
        <w:rPr>
          <w:rFonts w:ascii="Arial" w:hAnsi="Arial" w:cs="Arial"/>
          <w:color w:val="000000" w:themeColor="text1"/>
          <w:sz w:val="22"/>
          <w:szCs w:val="22"/>
        </w:rPr>
        <w:t> </w:t>
      </w:r>
    </w:p>
    <w:p w14:paraId="568DF125" w14:textId="77777777" w:rsidR="00555794" w:rsidRPr="00FD339F" w:rsidRDefault="00555794" w:rsidP="00555794">
      <w:pPr>
        <w:spacing w:line="480" w:lineRule="auto"/>
        <w:jc w:val="both"/>
        <w:rPr>
          <w:rFonts w:ascii="Arial" w:hAnsi="Arial" w:cs="Arial"/>
          <w:color w:val="000000" w:themeColor="text1"/>
          <w:sz w:val="22"/>
          <w:szCs w:val="22"/>
        </w:rPr>
      </w:pPr>
      <w:r w:rsidRPr="00FD339F">
        <w:rPr>
          <w:rFonts w:ascii="Arial" w:hAnsi="Arial" w:cs="Arial"/>
          <w:color w:val="000000" w:themeColor="text1"/>
          <w:sz w:val="22"/>
          <w:szCs w:val="22"/>
        </w:rPr>
        <w:t> </w:t>
      </w:r>
    </w:p>
    <w:p w14:paraId="3A08139B" w14:textId="77777777" w:rsidR="00D333B6" w:rsidRPr="00D333B6" w:rsidRDefault="00555794" w:rsidP="00555794">
      <w:pPr>
        <w:spacing w:line="480" w:lineRule="auto"/>
        <w:jc w:val="center"/>
        <w:rPr>
          <w:rStyle w:val="apple-converted-space"/>
          <w:rFonts w:ascii="Arial" w:hAnsi="Arial" w:cs="Arial"/>
          <w:b/>
          <w:bCs/>
          <w:color w:val="000000" w:themeColor="text1"/>
        </w:rPr>
      </w:pPr>
      <w:r w:rsidRPr="00D333B6">
        <w:rPr>
          <w:rFonts w:ascii="Arial" w:hAnsi="Arial" w:cs="Arial"/>
          <w:b/>
          <w:bCs/>
          <w:color w:val="000000" w:themeColor="text1"/>
        </w:rPr>
        <w:t>Module:</w:t>
      </w:r>
      <w:r w:rsidRPr="00D333B6">
        <w:rPr>
          <w:rStyle w:val="apple-converted-space"/>
          <w:rFonts w:ascii="Arial" w:hAnsi="Arial" w:cs="Arial"/>
          <w:b/>
          <w:bCs/>
          <w:color w:val="000000" w:themeColor="text1"/>
        </w:rPr>
        <w:t> </w:t>
      </w:r>
    </w:p>
    <w:p w14:paraId="1E68ED56" w14:textId="2FB47C0F" w:rsidR="00555794" w:rsidRPr="005C1EA4" w:rsidRDefault="00D333B6" w:rsidP="00555794">
      <w:pPr>
        <w:spacing w:line="480" w:lineRule="auto"/>
        <w:jc w:val="center"/>
        <w:rPr>
          <w:rFonts w:ascii="Arial" w:hAnsi="Arial" w:cs="Arial"/>
          <w:b/>
          <w:bCs/>
          <w:color w:val="000000" w:themeColor="text1"/>
          <w:u w:val="single"/>
        </w:rPr>
      </w:pPr>
      <w:r>
        <w:rPr>
          <w:rFonts w:ascii="Arial" w:hAnsi="Arial" w:cs="Arial"/>
          <w:b/>
          <w:bCs/>
          <w:color w:val="000000" w:themeColor="text1"/>
          <w:u w:val="single"/>
        </w:rPr>
        <w:t>WORKPLACE CULTURE AND ITS IMPACT ON ORGANISATIONAL EFFICIENCY</w:t>
      </w:r>
    </w:p>
    <w:p w14:paraId="3A65CE5D" w14:textId="38947630" w:rsidR="00555794" w:rsidRPr="005C1EA4" w:rsidRDefault="00555794" w:rsidP="00555794">
      <w:pPr>
        <w:spacing w:line="480" w:lineRule="auto"/>
        <w:jc w:val="center"/>
        <w:rPr>
          <w:rFonts w:ascii="Arial" w:hAnsi="Arial" w:cs="Arial"/>
          <w:b/>
          <w:bCs/>
          <w:color w:val="000000" w:themeColor="text1"/>
        </w:rPr>
      </w:pPr>
      <w:r w:rsidRPr="005C1EA4">
        <w:rPr>
          <w:rFonts w:ascii="Arial" w:hAnsi="Arial" w:cs="Arial"/>
          <w:b/>
          <w:bCs/>
          <w:color w:val="000000" w:themeColor="text1"/>
        </w:rPr>
        <w:t xml:space="preserve">Lecturer: </w:t>
      </w:r>
      <w:r w:rsidR="00D333B6">
        <w:rPr>
          <w:rFonts w:ascii="Arial" w:hAnsi="Arial" w:cs="Arial"/>
          <w:b/>
          <w:bCs/>
          <w:color w:val="000000" w:themeColor="text1"/>
        </w:rPr>
        <w:t>MOHAMED KALAM</w:t>
      </w:r>
    </w:p>
    <w:p w14:paraId="6EAAA29E" w14:textId="485BFB9D" w:rsidR="00555794" w:rsidRDefault="00D333B6" w:rsidP="00555794">
      <w:pPr>
        <w:spacing w:line="480" w:lineRule="auto"/>
        <w:jc w:val="center"/>
        <w:rPr>
          <w:rFonts w:ascii="Arial" w:hAnsi="Arial" w:cs="Arial"/>
          <w:b/>
          <w:bCs/>
          <w:color w:val="000000" w:themeColor="text1"/>
        </w:rPr>
      </w:pPr>
      <w:r>
        <w:rPr>
          <w:rFonts w:ascii="Arial" w:hAnsi="Arial" w:cs="Arial"/>
          <w:b/>
          <w:bCs/>
          <w:color w:val="000000" w:themeColor="text1"/>
        </w:rPr>
        <w:t xml:space="preserve">Module Code: </w:t>
      </w:r>
      <w:r w:rsidR="00555794" w:rsidRPr="005C1EA4">
        <w:rPr>
          <w:rFonts w:ascii="Arial" w:hAnsi="Arial" w:cs="Arial"/>
          <w:b/>
          <w:bCs/>
          <w:color w:val="000000" w:themeColor="text1"/>
        </w:rPr>
        <w:t>BMSW510</w:t>
      </w:r>
      <w:r>
        <w:rPr>
          <w:rFonts w:ascii="Arial" w:hAnsi="Arial" w:cs="Arial"/>
          <w:b/>
          <w:bCs/>
          <w:color w:val="000000" w:themeColor="text1"/>
        </w:rPr>
        <w:t>5</w:t>
      </w:r>
    </w:p>
    <w:p w14:paraId="232D89A0" w14:textId="77777777" w:rsidR="00555794" w:rsidRPr="005C1EA4" w:rsidRDefault="00555794" w:rsidP="00555794">
      <w:pPr>
        <w:spacing w:line="480" w:lineRule="auto"/>
        <w:jc w:val="center"/>
        <w:rPr>
          <w:rFonts w:ascii="Arial" w:hAnsi="Arial" w:cs="Arial"/>
          <w:b/>
          <w:bCs/>
          <w:color w:val="000000" w:themeColor="text1"/>
          <w:sz w:val="22"/>
          <w:szCs w:val="22"/>
        </w:rPr>
      </w:pPr>
    </w:p>
    <w:p w14:paraId="25058D47" w14:textId="77777777" w:rsidR="00555794" w:rsidRDefault="00555794" w:rsidP="00555794">
      <w:pPr>
        <w:spacing w:line="480" w:lineRule="auto"/>
        <w:jc w:val="center"/>
        <w:rPr>
          <w:rFonts w:ascii="Arial" w:hAnsi="Arial" w:cs="Arial"/>
          <w:color w:val="000000" w:themeColor="text1"/>
          <w:sz w:val="28"/>
          <w:szCs w:val="28"/>
        </w:rPr>
      </w:pPr>
      <w:r>
        <w:rPr>
          <w:rFonts w:ascii="Arial" w:hAnsi="Arial" w:cs="Arial"/>
          <w:color w:val="000000" w:themeColor="text1"/>
          <w:sz w:val="28"/>
          <w:szCs w:val="28"/>
        </w:rPr>
        <w:t>Introduction for the report on:</w:t>
      </w:r>
    </w:p>
    <w:p w14:paraId="6109A193" w14:textId="32AECB4A" w:rsidR="00555794" w:rsidRPr="005C1EA4" w:rsidRDefault="00D333B6" w:rsidP="00555794">
      <w:pPr>
        <w:spacing w:line="480" w:lineRule="auto"/>
        <w:jc w:val="both"/>
        <w:rPr>
          <w:rFonts w:ascii="Arial" w:hAnsi="Arial" w:cs="Arial"/>
          <w:i/>
          <w:iCs/>
          <w:color w:val="000000" w:themeColor="text1"/>
          <w:sz w:val="22"/>
          <w:szCs w:val="22"/>
        </w:rPr>
      </w:pPr>
      <w:r>
        <w:rPr>
          <w:rFonts w:ascii="Arial" w:hAnsi="Arial" w:cs="Arial"/>
          <w:i/>
          <w:iCs/>
          <w:color w:val="000000" w:themeColor="text1"/>
          <w:sz w:val="28"/>
          <w:szCs w:val="28"/>
        </w:rPr>
        <w:t>How do broader external environmental factors along with COVID-19 and ethical dilemmas affect organisational culture and its performance?</w:t>
      </w:r>
    </w:p>
    <w:p w14:paraId="49887ADD" w14:textId="77777777" w:rsidR="00555794" w:rsidRPr="00FD339F" w:rsidRDefault="00555794" w:rsidP="00555794">
      <w:pPr>
        <w:spacing w:line="480" w:lineRule="auto"/>
        <w:jc w:val="both"/>
        <w:rPr>
          <w:rFonts w:ascii="Arial" w:hAnsi="Arial" w:cs="Arial"/>
          <w:color w:val="000000" w:themeColor="text1"/>
          <w:sz w:val="22"/>
          <w:szCs w:val="22"/>
        </w:rPr>
      </w:pPr>
      <w:r w:rsidRPr="00FD339F">
        <w:rPr>
          <w:rFonts w:ascii="Arial" w:hAnsi="Arial" w:cs="Arial"/>
          <w:color w:val="000000" w:themeColor="text1"/>
          <w:sz w:val="22"/>
          <w:szCs w:val="22"/>
        </w:rPr>
        <w:t> </w:t>
      </w:r>
    </w:p>
    <w:p w14:paraId="13DE50CC" w14:textId="76B9975E" w:rsidR="00555794" w:rsidRDefault="00555794" w:rsidP="00555794">
      <w:pPr>
        <w:spacing w:line="480" w:lineRule="auto"/>
        <w:jc w:val="both"/>
        <w:rPr>
          <w:rFonts w:ascii="Arial" w:hAnsi="Arial" w:cs="Arial"/>
          <w:color w:val="000000" w:themeColor="text1"/>
          <w:sz w:val="22"/>
          <w:szCs w:val="22"/>
        </w:rPr>
      </w:pPr>
      <w:r w:rsidRPr="00FD339F">
        <w:rPr>
          <w:rFonts w:ascii="Arial" w:hAnsi="Arial" w:cs="Arial"/>
          <w:color w:val="000000" w:themeColor="text1"/>
          <w:sz w:val="22"/>
          <w:szCs w:val="22"/>
        </w:rPr>
        <w:t> </w:t>
      </w:r>
    </w:p>
    <w:p w14:paraId="48F0E7E9" w14:textId="5CFDABBC" w:rsidR="00D333B6" w:rsidRDefault="00D333B6" w:rsidP="00555794">
      <w:pPr>
        <w:spacing w:line="480" w:lineRule="auto"/>
        <w:jc w:val="both"/>
        <w:rPr>
          <w:rFonts w:ascii="Arial" w:hAnsi="Arial" w:cs="Arial"/>
          <w:color w:val="000000" w:themeColor="text1"/>
          <w:sz w:val="22"/>
          <w:szCs w:val="22"/>
        </w:rPr>
      </w:pPr>
    </w:p>
    <w:p w14:paraId="0AB24030" w14:textId="0BD07F8B" w:rsidR="00D333B6" w:rsidRDefault="00D333B6" w:rsidP="00555794">
      <w:pPr>
        <w:spacing w:line="480" w:lineRule="auto"/>
        <w:jc w:val="both"/>
        <w:rPr>
          <w:rFonts w:ascii="Arial" w:hAnsi="Arial" w:cs="Arial"/>
          <w:color w:val="000000" w:themeColor="text1"/>
          <w:sz w:val="22"/>
          <w:szCs w:val="22"/>
        </w:rPr>
      </w:pPr>
    </w:p>
    <w:p w14:paraId="58B9B23D" w14:textId="66F7B795" w:rsidR="00D333B6" w:rsidRDefault="00D333B6" w:rsidP="00555794">
      <w:pPr>
        <w:spacing w:line="480" w:lineRule="auto"/>
        <w:jc w:val="both"/>
        <w:rPr>
          <w:rFonts w:ascii="Arial" w:hAnsi="Arial" w:cs="Arial"/>
          <w:color w:val="000000" w:themeColor="text1"/>
          <w:sz w:val="22"/>
          <w:szCs w:val="22"/>
        </w:rPr>
      </w:pPr>
    </w:p>
    <w:p w14:paraId="484ABEC6" w14:textId="77777777" w:rsidR="00D333B6" w:rsidRDefault="00D333B6" w:rsidP="00555794">
      <w:pPr>
        <w:spacing w:line="480" w:lineRule="auto"/>
        <w:jc w:val="both"/>
        <w:rPr>
          <w:rFonts w:ascii="Arial" w:hAnsi="Arial" w:cs="Arial"/>
          <w:color w:val="000000" w:themeColor="text1"/>
          <w:sz w:val="22"/>
          <w:szCs w:val="22"/>
        </w:rPr>
      </w:pPr>
    </w:p>
    <w:p w14:paraId="2686DEE3" w14:textId="77777777" w:rsidR="00D333B6" w:rsidRPr="00FD339F" w:rsidRDefault="00D333B6" w:rsidP="00555794">
      <w:pPr>
        <w:spacing w:line="480" w:lineRule="auto"/>
        <w:jc w:val="both"/>
        <w:rPr>
          <w:rFonts w:ascii="Arial" w:hAnsi="Arial" w:cs="Arial"/>
          <w:color w:val="000000" w:themeColor="text1"/>
          <w:sz w:val="22"/>
          <w:szCs w:val="22"/>
        </w:rPr>
      </w:pPr>
    </w:p>
    <w:p w14:paraId="52CE53C9" w14:textId="77777777" w:rsidR="00555794" w:rsidRPr="00FD339F" w:rsidRDefault="00555794" w:rsidP="00555794">
      <w:pPr>
        <w:spacing w:line="480" w:lineRule="auto"/>
        <w:jc w:val="both"/>
        <w:rPr>
          <w:rFonts w:ascii="Arial" w:hAnsi="Arial" w:cs="Arial"/>
          <w:color w:val="000000" w:themeColor="text1"/>
          <w:sz w:val="22"/>
          <w:szCs w:val="22"/>
        </w:rPr>
      </w:pPr>
      <w:r w:rsidRPr="00FD339F">
        <w:rPr>
          <w:rFonts w:ascii="Arial" w:hAnsi="Arial" w:cs="Arial"/>
          <w:color w:val="000000" w:themeColor="text1"/>
          <w:sz w:val="22"/>
          <w:szCs w:val="22"/>
        </w:rPr>
        <w:t> </w:t>
      </w:r>
    </w:p>
    <w:p w14:paraId="50713044" w14:textId="77777777" w:rsidR="00555794" w:rsidRPr="00FD339F" w:rsidRDefault="00555794" w:rsidP="00555794">
      <w:pPr>
        <w:spacing w:line="480" w:lineRule="auto"/>
        <w:jc w:val="center"/>
        <w:rPr>
          <w:rFonts w:ascii="Arial" w:hAnsi="Arial" w:cs="Arial"/>
          <w:color w:val="000000" w:themeColor="text1"/>
        </w:rPr>
      </w:pPr>
      <w:r w:rsidRPr="00FD339F">
        <w:rPr>
          <w:rFonts w:ascii="Arial" w:hAnsi="Arial" w:cs="Arial"/>
          <w:color w:val="000000" w:themeColor="text1"/>
        </w:rPr>
        <w:t xml:space="preserve">By: </w:t>
      </w:r>
      <w:proofErr w:type="spellStart"/>
      <w:r w:rsidRPr="00FD339F">
        <w:rPr>
          <w:rFonts w:ascii="Arial" w:hAnsi="Arial" w:cs="Arial"/>
          <w:color w:val="000000" w:themeColor="text1"/>
        </w:rPr>
        <w:t>Zlatina</w:t>
      </w:r>
      <w:proofErr w:type="spellEnd"/>
      <w:r w:rsidRPr="00FD339F">
        <w:rPr>
          <w:rFonts w:ascii="Arial" w:hAnsi="Arial" w:cs="Arial"/>
          <w:color w:val="000000" w:themeColor="text1"/>
        </w:rPr>
        <w:t xml:space="preserve"> </w:t>
      </w:r>
      <w:proofErr w:type="spellStart"/>
      <w:r w:rsidRPr="00FD339F">
        <w:rPr>
          <w:rFonts w:ascii="Arial" w:hAnsi="Arial" w:cs="Arial"/>
          <w:color w:val="000000" w:themeColor="text1"/>
        </w:rPr>
        <w:t>Tyulyusheva</w:t>
      </w:r>
      <w:proofErr w:type="spellEnd"/>
    </w:p>
    <w:p w14:paraId="21559046" w14:textId="77777777" w:rsidR="00555794" w:rsidRPr="00FD339F" w:rsidRDefault="00555794" w:rsidP="00555794">
      <w:pPr>
        <w:spacing w:line="480" w:lineRule="auto"/>
        <w:jc w:val="center"/>
        <w:rPr>
          <w:rFonts w:ascii="Arial" w:hAnsi="Arial" w:cs="Arial"/>
          <w:color w:val="000000" w:themeColor="text1"/>
        </w:rPr>
      </w:pPr>
      <w:r w:rsidRPr="00FD339F">
        <w:rPr>
          <w:rFonts w:ascii="Arial" w:hAnsi="Arial" w:cs="Arial"/>
          <w:color w:val="000000" w:themeColor="text1"/>
        </w:rPr>
        <w:t>Student ID 1919008</w:t>
      </w:r>
    </w:p>
    <w:p w14:paraId="66806F30" w14:textId="77777777" w:rsidR="00555794" w:rsidRDefault="00555794" w:rsidP="001F4DF9">
      <w:pPr>
        <w:spacing w:line="360" w:lineRule="auto"/>
        <w:jc w:val="both"/>
        <w:rPr>
          <w:rFonts w:ascii="Arial" w:hAnsi="Arial" w:cs="Arial"/>
          <w:sz w:val="22"/>
          <w:szCs w:val="22"/>
        </w:rPr>
      </w:pPr>
    </w:p>
    <w:p w14:paraId="765979A0" w14:textId="1EECF93A" w:rsidR="00094EB2" w:rsidRPr="001F4DF9" w:rsidRDefault="008604FE" w:rsidP="001F4DF9">
      <w:pPr>
        <w:spacing w:line="360" w:lineRule="auto"/>
        <w:jc w:val="both"/>
        <w:rPr>
          <w:rFonts w:ascii="Arial" w:hAnsi="Arial" w:cs="Arial"/>
          <w:sz w:val="22"/>
          <w:szCs w:val="22"/>
        </w:rPr>
      </w:pPr>
      <w:r w:rsidRPr="001F4DF9">
        <w:rPr>
          <w:rFonts w:ascii="Arial" w:hAnsi="Arial" w:cs="Arial"/>
          <w:sz w:val="22"/>
          <w:szCs w:val="22"/>
        </w:rPr>
        <w:lastRenderedPageBreak/>
        <w:t>A</w:t>
      </w:r>
      <w:r w:rsidR="00094EB2" w:rsidRPr="001F4DF9">
        <w:rPr>
          <w:rFonts w:ascii="Arial" w:hAnsi="Arial" w:cs="Arial"/>
          <w:sz w:val="22"/>
          <w:szCs w:val="22"/>
        </w:rPr>
        <w:t>lmost a year and a half since the Covid-19 pandemic broke out people and business are still coming to terms with the ‘new normal’ and even though many showed resilience and adaptability</w:t>
      </w:r>
      <w:r w:rsidR="00D333B6">
        <w:rPr>
          <w:rFonts w:ascii="Arial" w:hAnsi="Arial" w:cs="Arial"/>
          <w:sz w:val="22"/>
          <w:szCs w:val="22"/>
        </w:rPr>
        <w:t>,</w:t>
      </w:r>
      <w:r w:rsidR="00094EB2" w:rsidRPr="001F4DF9">
        <w:rPr>
          <w:rFonts w:ascii="Arial" w:hAnsi="Arial" w:cs="Arial"/>
          <w:sz w:val="22"/>
          <w:szCs w:val="22"/>
        </w:rPr>
        <w:t xml:space="preserve"> and the perspectives are not so glum anymore, the actual extent of the effect of the virus and consequences on human life and businesses are still unfathomable. One of the loudest examples of </w:t>
      </w:r>
      <w:r w:rsidR="00D333B6">
        <w:rPr>
          <w:rFonts w:ascii="Arial" w:hAnsi="Arial" w:cs="Arial"/>
          <w:sz w:val="22"/>
          <w:szCs w:val="22"/>
        </w:rPr>
        <w:t>t</w:t>
      </w:r>
      <w:r w:rsidR="00094EB2" w:rsidRPr="001F4DF9">
        <w:rPr>
          <w:rFonts w:ascii="Arial" w:hAnsi="Arial" w:cs="Arial"/>
          <w:sz w:val="22"/>
          <w:szCs w:val="22"/>
        </w:rPr>
        <w:t xml:space="preserve">he volatile, </w:t>
      </w:r>
      <w:proofErr w:type="gramStart"/>
      <w:r w:rsidR="00094EB2" w:rsidRPr="001F4DF9">
        <w:rPr>
          <w:rFonts w:ascii="Arial" w:hAnsi="Arial" w:cs="Arial"/>
          <w:sz w:val="22"/>
          <w:szCs w:val="22"/>
        </w:rPr>
        <w:t>ambiguous</w:t>
      </w:r>
      <w:proofErr w:type="gramEnd"/>
      <w:r w:rsidR="00094EB2" w:rsidRPr="001F4DF9">
        <w:rPr>
          <w:rFonts w:ascii="Arial" w:hAnsi="Arial" w:cs="Arial"/>
          <w:sz w:val="22"/>
          <w:szCs w:val="22"/>
        </w:rPr>
        <w:t xml:space="preserve"> and drastic nature of the Covid-19 </w:t>
      </w:r>
      <w:r w:rsidR="00D333B6">
        <w:rPr>
          <w:rFonts w:ascii="Arial" w:hAnsi="Arial" w:cs="Arial"/>
          <w:sz w:val="22"/>
          <w:szCs w:val="22"/>
        </w:rPr>
        <w:t>p</w:t>
      </w:r>
      <w:r w:rsidR="00094EB2" w:rsidRPr="001F4DF9">
        <w:rPr>
          <w:rFonts w:ascii="Arial" w:hAnsi="Arial" w:cs="Arial"/>
          <w:sz w:val="22"/>
          <w:szCs w:val="22"/>
        </w:rPr>
        <w:t xml:space="preserve">andemic is </w:t>
      </w:r>
      <w:r w:rsidR="00D333B6">
        <w:rPr>
          <w:rFonts w:ascii="Arial" w:hAnsi="Arial" w:cs="Arial"/>
          <w:sz w:val="22"/>
          <w:szCs w:val="22"/>
        </w:rPr>
        <w:t xml:space="preserve">how it affects </w:t>
      </w:r>
      <w:r w:rsidR="00094EB2" w:rsidRPr="001F4DF9">
        <w:rPr>
          <w:rFonts w:ascii="Arial" w:hAnsi="Arial" w:cs="Arial"/>
          <w:sz w:val="22"/>
          <w:szCs w:val="22"/>
        </w:rPr>
        <w:t>the hospitality industry</w:t>
      </w:r>
      <w:r w:rsidRPr="001F4DF9">
        <w:rPr>
          <w:rFonts w:ascii="Arial" w:hAnsi="Arial" w:cs="Arial"/>
          <w:sz w:val="22"/>
          <w:szCs w:val="22"/>
        </w:rPr>
        <w:t xml:space="preserve">. </w:t>
      </w:r>
      <w:r w:rsidR="00094EB2" w:rsidRPr="001F4DF9">
        <w:rPr>
          <w:rFonts w:ascii="Arial" w:hAnsi="Arial" w:cs="Arial"/>
          <w:sz w:val="22"/>
          <w:szCs w:val="22"/>
        </w:rPr>
        <w:t>Grange hotels has been selected as a subject of this report, representating o</w:t>
      </w:r>
      <w:r w:rsidR="00094EB2" w:rsidRPr="001F4DF9">
        <w:rPr>
          <w:rFonts w:ascii="Arial" w:hAnsi="Arial" w:cs="Arial"/>
          <w:sz w:val="22"/>
          <w:szCs w:val="22"/>
        </w:rPr>
        <w:t>ne of the most stable and rising UK sectors</w:t>
      </w:r>
      <w:r w:rsidRPr="001F4DF9">
        <w:rPr>
          <w:rFonts w:ascii="Arial" w:hAnsi="Arial" w:cs="Arial"/>
          <w:sz w:val="22"/>
          <w:szCs w:val="22"/>
        </w:rPr>
        <w:t xml:space="preserve"> before the pandemic, now being </w:t>
      </w:r>
      <w:r w:rsidR="00094EB2" w:rsidRPr="001F4DF9">
        <w:rPr>
          <w:rFonts w:ascii="Arial" w:hAnsi="Arial" w:cs="Arial"/>
          <w:sz w:val="22"/>
          <w:szCs w:val="22"/>
        </w:rPr>
        <w:t>the hardest hit among all industries and the last expected to recover</w:t>
      </w:r>
      <w:r w:rsidR="00555794">
        <w:rPr>
          <w:rFonts w:ascii="Arial" w:hAnsi="Arial" w:cs="Arial"/>
          <w:sz w:val="22"/>
          <w:szCs w:val="22"/>
        </w:rPr>
        <w:t xml:space="preserve"> (Price, 2021)</w:t>
      </w:r>
      <w:r w:rsidR="00094EB2" w:rsidRPr="001F4DF9">
        <w:rPr>
          <w:rFonts w:ascii="Arial" w:hAnsi="Arial" w:cs="Arial"/>
          <w:sz w:val="22"/>
          <w:szCs w:val="22"/>
        </w:rPr>
        <w:t xml:space="preserve">. </w:t>
      </w:r>
    </w:p>
    <w:p w14:paraId="5319A043" w14:textId="28461BE3" w:rsidR="00094EB2" w:rsidRPr="001F4DF9" w:rsidRDefault="00094EB2" w:rsidP="001F4DF9">
      <w:pPr>
        <w:spacing w:line="360" w:lineRule="auto"/>
        <w:jc w:val="both"/>
        <w:rPr>
          <w:rFonts w:ascii="Arial" w:hAnsi="Arial" w:cs="Arial"/>
          <w:sz w:val="22"/>
          <w:szCs w:val="22"/>
        </w:rPr>
      </w:pPr>
      <w:r w:rsidRPr="001F4DF9">
        <w:rPr>
          <w:rFonts w:ascii="Arial" w:hAnsi="Arial" w:cs="Arial"/>
          <w:sz w:val="22"/>
          <w:szCs w:val="22"/>
        </w:rPr>
        <w:t xml:space="preserve">Grange hotels is a private limited company, operating in the UK and consisting of 4* luxury hotels located in Central London. It was one of the biggest privately owned hotel chains in the UK until 2018, with </w:t>
      </w:r>
      <w:r w:rsidR="00D333B6">
        <w:rPr>
          <w:rFonts w:ascii="Arial" w:hAnsi="Arial" w:cs="Arial"/>
          <w:sz w:val="22"/>
          <w:szCs w:val="22"/>
        </w:rPr>
        <w:t>a</w:t>
      </w:r>
      <w:r w:rsidRPr="001F4DF9">
        <w:rPr>
          <w:rFonts w:ascii="Arial" w:hAnsi="Arial" w:cs="Arial"/>
          <w:sz w:val="22"/>
          <w:szCs w:val="22"/>
        </w:rPr>
        <w:t xml:space="preserve"> market share </w:t>
      </w:r>
      <w:r w:rsidR="00D333B6">
        <w:rPr>
          <w:rFonts w:ascii="Arial" w:hAnsi="Arial" w:cs="Arial"/>
          <w:sz w:val="22"/>
          <w:szCs w:val="22"/>
        </w:rPr>
        <w:t xml:space="preserve">of 1.3% </w:t>
      </w:r>
      <w:r w:rsidRPr="001F4DF9">
        <w:rPr>
          <w:rFonts w:ascii="Arial" w:hAnsi="Arial" w:cs="Arial"/>
          <w:sz w:val="22"/>
          <w:szCs w:val="22"/>
        </w:rPr>
        <w:t xml:space="preserve">(Lake, 2018), when a multimillion-pound deal led to selling all four 5* properties in what was one of the biggest transactions in the UK hotel industry to date and the biggest investment in the sector for 2019 (PWC, 2019). </w:t>
      </w:r>
    </w:p>
    <w:p w14:paraId="70E494A3" w14:textId="7D486974" w:rsidR="00094EB2" w:rsidRPr="001F4DF9" w:rsidRDefault="00094EB2" w:rsidP="001F4DF9">
      <w:pPr>
        <w:spacing w:line="360" w:lineRule="auto"/>
        <w:jc w:val="both"/>
        <w:rPr>
          <w:rFonts w:ascii="Arial" w:hAnsi="Arial" w:cs="Arial"/>
          <w:sz w:val="22"/>
          <w:szCs w:val="22"/>
        </w:rPr>
      </w:pPr>
      <w:r w:rsidRPr="001F4DF9">
        <w:rPr>
          <w:rFonts w:ascii="Arial" w:hAnsi="Arial" w:cs="Arial"/>
          <w:sz w:val="22"/>
          <w:szCs w:val="22"/>
        </w:rPr>
        <w:t xml:space="preserve">The main aim of the report is to identify and analyse the external environmental factors and ethical dilemmas and determine how they affect organisational culture and performance at Grange hotels. It also studies to what extent the organisational culture at Grange hotels </w:t>
      </w:r>
      <w:r w:rsidRPr="001F4DF9">
        <w:rPr>
          <w:rFonts w:ascii="Arial" w:hAnsi="Arial" w:cs="Arial"/>
          <w:sz w:val="22"/>
          <w:szCs w:val="22"/>
        </w:rPr>
        <w:t>affects performance, efficiency and even the mindset of the employees</w:t>
      </w:r>
      <w:r w:rsidR="008604FE" w:rsidRPr="001F4DF9">
        <w:rPr>
          <w:rFonts w:ascii="Arial" w:hAnsi="Arial" w:cs="Arial"/>
          <w:sz w:val="22"/>
          <w:szCs w:val="22"/>
        </w:rPr>
        <w:t xml:space="preserve"> and its relation to financial and non-financial results</w:t>
      </w:r>
      <w:r w:rsidRPr="001F4DF9">
        <w:rPr>
          <w:rFonts w:ascii="Arial" w:hAnsi="Arial" w:cs="Arial"/>
          <w:sz w:val="22"/>
          <w:szCs w:val="22"/>
        </w:rPr>
        <w:t xml:space="preserve">. </w:t>
      </w:r>
      <w:r w:rsidRPr="001F4DF9">
        <w:rPr>
          <w:rFonts w:ascii="Arial" w:hAnsi="Arial" w:cs="Arial"/>
          <w:sz w:val="22"/>
          <w:szCs w:val="22"/>
        </w:rPr>
        <w:t>Main analytical modules, theories and methods underpin</w:t>
      </w:r>
      <w:r w:rsidR="00555794">
        <w:rPr>
          <w:rFonts w:ascii="Arial" w:hAnsi="Arial" w:cs="Arial"/>
          <w:sz w:val="22"/>
          <w:szCs w:val="22"/>
        </w:rPr>
        <w:t>ned</w:t>
      </w:r>
      <w:r w:rsidRPr="001F4DF9">
        <w:rPr>
          <w:rFonts w:ascii="Arial" w:hAnsi="Arial" w:cs="Arial"/>
          <w:sz w:val="22"/>
          <w:szCs w:val="22"/>
        </w:rPr>
        <w:t xml:space="preserve"> </w:t>
      </w:r>
      <w:r w:rsidR="00555794">
        <w:rPr>
          <w:rFonts w:ascii="Arial" w:hAnsi="Arial" w:cs="Arial"/>
          <w:sz w:val="22"/>
          <w:szCs w:val="22"/>
        </w:rPr>
        <w:t xml:space="preserve">in </w:t>
      </w:r>
      <w:r w:rsidRPr="001F4DF9">
        <w:rPr>
          <w:rFonts w:ascii="Arial" w:hAnsi="Arial" w:cs="Arial"/>
          <w:sz w:val="22"/>
          <w:szCs w:val="22"/>
        </w:rPr>
        <w:t>the report are:</w:t>
      </w:r>
    </w:p>
    <w:p w14:paraId="62D983AD" w14:textId="0A4636E3" w:rsidR="00094EB2" w:rsidRPr="001F4DF9" w:rsidRDefault="00094EB2" w:rsidP="001F4DF9">
      <w:pPr>
        <w:pStyle w:val="ListParagraph"/>
        <w:numPr>
          <w:ilvl w:val="0"/>
          <w:numId w:val="1"/>
        </w:numPr>
        <w:spacing w:line="360" w:lineRule="auto"/>
        <w:jc w:val="both"/>
        <w:rPr>
          <w:rFonts w:ascii="Arial" w:hAnsi="Arial" w:cs="Arial"/>
          <w:sz w:val="22"/>
          <w:szCs w:val="22"/>
        </w:rPr>
      </w:pPr>
      <w:r w:rsidRPr="001F4DF9">
        <w:rPr>
          <w:rFonts w:ascii="Arial" w:hAnsi="Arial" w:cs="Arial"/>
          <w:sz w:val="22"/>
          <w:szCs w:val="22"/>
        </w:rPr>
        <w:t>PESTEL analysis</w:t>
      </w:r>
    </w:p>
    <w:p w14:paraId="1ACFEF5A" w14:textId="0F03E000" w:rsidR="00094EB2" w:rsidRPr="001F4DF9" w:rsidRDefault="00094EB2" w:rsidP="001F4DF9">
      <w:pPr>
        <w:spacing w:line="360" w:lineRule="auto"/>
        <w:jc w:val="both"/>
        <w:rPr>
          <w:rFonts w:ascii="Arial" w:hAnsi="Arial" w:cs="Arial"/>
          <w:sz w:val="22"/>
          <w:szCs w:val="22"/>
        </w:rPr>
      </w:pPr>
      <w:r w:rsidRPr="001F4DF9">
        <w:rPr>
          <w:rFonts w:ascii="Arial" w:hAnsi="Arial" w:cs="Arial"/>
          <w:sz w:val="22"/>
          <w:szCs w:val="22"/>
        </w:rPr>
        <w:t>The main</w:t>
      </w:r>
      <w:r w:rsidR="008604FE" w:rsidRPr="001F4DF9">
        <w:rPr>
          <w:rFonts w:ascii="Arial" w:hAnsi="Arial" w:cs="Arial"/>
          <w:sz w:val="22"/>
          <w:szCs w:val="22"/>
        </w:rPr>
        <w:t xml:space="preserve"> macro-environmental</w:t>
      </w:r>
      <w:r w:rsidRPr="001F4DF9">
        <w:rPr>
          <w:rFonts w:ascii="Arial" w:hAnsi="Arial" w:cs="Arial"/>
          <w:sz w:val="22"/>
          <w:szCs w:val="22"/>
        </w:rPr>
        <w:t xml:space="preserve"> factors that affect Grange hotels as part of the hotel industry are Covid-19 and Brexit, and currently they influence </w:t>
      </w:r>
      <w:r w:rsidRPr="001F4DF9">
        <w:rPr>
          <w:rFonts w:ascii="Arial" w:hAnsi="Arial" w:cs="Arial"/>
          <w:sz w:val="22"/>
          <w:szCs w:val="22"/>
        </w:rPr>
        <w:t xml:space="preserve">almost </w:t>
      </w:r>
      <w:r w:rsidRPr="001F4DF9">
        <w:rPr>
          <w:rFonts w:ascii="Arial" w:hAnsi="Arial" w:cs="Arial"/>
          <w:sz w:val="22"/>
          <w:szCs w:val="22"/>
        </w:rPr>
        <w:t>every aspect of the PESTEL analysis</w:t>
      </w:r>
      <w:r w:rsidRPr="001F4DF9">
        <w:rPr>
          <w:rFonts w:ascii="Arial" w:hAnsi="Arial" w:cs="Arial"/>
          <w:sz w:val="22"/>
          <w:szCs w:val="22"/>
        </w:rPr>
        <w:t xml:space="preserve">. </w:t>
      </w:r>
    </w:p>
    <w:p w14:paraId="6E05DFA5" w14:textId="2BB90F93" w:rsidR="00094EB2" w:rsidRPr="001F4DF9" w:rsidRDefault="00094EB2" w:rsidP="001F4DF9">
      <w:pPr>
        <w:pStyle w:val="ListParagraph"/>
        <w:numPr>
          <w:ilvl w:val="0"/>
          <w:numId w:val="1"/>
        </w:numPr>
        <w:spacing w:line="360" w:lineRule="auto"/>
        <w:jc w:val="both"/>
        <w:rPr>
          <w:rFonts w:ascii="Arial" w:hAnsi="Arial" w:cs="Arial"/>
          <w:sz w:val="22"/>
          <w:szCs w:val="22"/>
        </w:rPr>
      </w:pPr>
      <w:r w:rsidRPr="001F4DF9">
        <w:rPr>
          <w:rFonts w:ascii="Arial" w:hAnsi="Arial" w:cs="Arial"/>
          <w:sz w:val="22"/>
          <w:szCs w:val="22"/>
        </w:rPr>
        <w:t>Porter’s Five Forces Analysis</w:t>
      </w:r>
    </w:p>
    <w:p w14:paraId="0EFC6699" w14:textId="65A7BBE6" w:rsidR="00094EB2" w:rsidRPr="001F4DF9" w:rsidRDefault="00094EB2" w:rsidP="001F4DF9">
      <w:pPr>
        <w:spacing w:line="360" w:lineRule="auto"/>
        <w:jc w:val="both"/>
        <w:rPr>
          <w:rFonts w:ascii="Arial" w:hAnsi="Arial" w:cs="Arial"/>
          <w:sz w:val="22"/>
          <w:szCs w:val="22"/>
        </w:rPr>
      </w:pPr>
      <w:r w:rsidRPr="001F4DF9">
        <w:rPr>
          <w:rFonts w:ascii="Arial" w:hAnsi="Arial" w:cs="Arial"/>
          <w:sz w:val="22"/>
          <w:szCs w:val="22"/>
        </w:rPr>
        <w:t>Another important tool supporting the analysis of the industry where Grange hotels operates is Porter’s five forces because it explores the restraints</w:t>
      </w:r>
      <w:r w:rsidR="008604FE" w:rsidRPr="001F4DF9">
        <w:rPr>
          <w:rFonts w:ascii="Arial" w:hAnsi="Arial" w:cs="Arial"/>
          <w:sz w:val="22"/>
          <w:szCs w:val="22"/>
        </w:rPr>
        <w:t xml:space="preserve"> </w:t>
      </w:r>
      <w:r w:rsidRPr="001F4DF9">
        <w:rPr>
          <w:rFonts w:ascii="Arial" w:hAnsi="Arial" w:cs="Arial"/>
          <w:sz w:val="22"/>
          <w:szCs w:val="22"/>
        </w:rPr>
        <w:t>and game changing factors</w:t>
      </w:r>
      <w:r w:rsidR="008604FE" w:rsidRPr="001F4DF9">
        <w:rPr>
          <w:rFonts w:ascii="Arial" w:hAnsi="Arial" w:cs="Arial"/>
          <w:sz w:val="22"/>
          <w:szCs w:val="22"/>
        </w:rPr>
        <w:t xml:space="preserve"> in the sector</w:t>
      </w:r>
      <w:r w:rsidRPr="001F4DF9">
        <w:rPr>
          <w:rFonts w:ascii="Arial" w:hAnsi="Arial" w:cs="Arial"/>
          <w:sz w:val="22"/>
          <w:szCs w:val="22"/>
        </w:rPr>
        <w:t xml:space="preserve">, and help identify new approaches to implementing successful strategy </w:t>
      </w:r>
      <w:r w:rsidR="008604FE" w:rsidRPr="001F4DF9">
        <w:rPr>
          <w:rFonts w:ascii="Arial" w:hAnsi="Arial" w:cs="Arial"/>
          <w:sz w:val="22"/>
          <w:szCs w:val="22"/>
        </w:rPr>
        <w:t>and being competitive in such a challenging environment (</w:t>
      </w:r>
      <w:r w:rsidRPr="001F4DF9">
        <w:rPr>
          <w:rFonts w:ascii="Arial" w:hAnsi="Arial" w:cs="Arial"/>
          <w:sz w:val="22"/>
          <w:szCs w:val="22"/>
        </w:rPr>
        <w:t>Porter, 2008)</w:t>
      </w:r>
    </w:p>
    <w:p w14:paraId="6A4ADB7F" w14:textId="21F6A73F" w:rsidR="00094EB2" w:rsidRPr="001F4DF9" w:rsidRDefault="00094EB2" w:rsidP="001F4DF9">
      <w:pPr>
        <w:pStyle w:val="ListParagraph"/>
        <w:numPr>
          <w:ilvl w:val="0"/>
          <w:numId w:val="1"/>
        </w:numPr>
        <w:spacing w:line="360" w:lineRule="auto"/>
        <w:jc w:val="both"/>
        <w:rPr>
          <w:rFonts w:ascii="Arial" w:hAnsi="Arial" w:cs="Arial"/>
          <w:sz w:val="22"/>
          <w:szCs w:val="22"/>
        </w:rPr>
      </w:pPr>
      <w:r w:rsidRPr="001F4DF9">
        <w:rPr>
          <w:rFonts w:ascii="Arial" w:hAnsi="Arial" w:cs="Arial"/>
          <w:sz w:val="22"/>
          <w:szCs w:val="22"/>
        </w:rPr>
        <w:t xml:space="preserve">McKinsey 7’S Framework </w:t>
      </w:r>
      <w:r w:rsidRPr="001F4DF9">
        <w:rPr>
          <w:rFonts w:ascii="Arial" w:hAnsi="Arial" w:cs="Arial"/>
          <w:sz w:val="22"/>
          <w:szCs w:val="22"/>
        </w:rPr>
        <w:t xml:space="preserve">is an effective tool used to analyse </w:t>
      </w:r>
      <w:r w:rsidRPr="001F4DF9">
        <w:rPr>
          <w:rFonts w:ascii="Arial" w:hAnsi="Arial" w:cs="Arial"/>
          <w:sz w:val="22"/>
          <w:szCs w:val="22"/>
        </w:rPr>
        <w:t>how Grange hotels are organised</w:t>
      </w:r>
      <w:r w:rsidRPr="001F4DF9">
        <w:rPr>
          <w:rFonts w:ascii="Arial" w:hAnsi="Arial" w:cs="Arial"/>
          <w:sz w:val="22"/>
          <w:szCs w:val="22"/>
        </w:rPr>
        <w:t xml:space="preserve"> </w:t>
      </w:r>
      <w:r w:rsidRPr="001F4DF9">
        <w:rPr>
          <w:rFonts w:ascii="Arial" w:hAnsi="Arial" w:cs="Arial"/>
          <w:sz w:val="22"/>
          <w:szCs w:val="22"/>
        </w:rPr>
        <w:t>as well as its</w:t>
      </w:r>
      <w:r w:rsidRPr="001F4DF9">
        <w:rPr>
          <w:rFonts w:ascii="Arial" w:hAnsi="Arial" w:cs="Arial"/>
          <w:sz w:val="22"/>
          <w:szCs w:val="22"/>
        </w:rPr>
        <w:t xml:space="preserve"> efficacy (Singh, 2013)</w:t>
      </w:r>
    </w:p>
    <w:p w14:paraId="2CC70E4A" w14:textId="0D9F0CDB" w:rsidR="00BB06D1" w:rsidRPr="001F4DF9" w:rsidRDefault="00191CE1" w:rsidP="001F4DF9">
      <w:pPr>
        <w:pStyle w:val="ListParagraph"/>
        <w:numPr>
          <w:ilvl w:val="0"/>
          <w:numId w:val="1"/>
        </w:numPr>
        <w:spacing w:line="360" w:lineRule="auto"/>
        <w:jc w:val="both"/>
        <w:rPr>
          <w:rFonts w:ascii="Arial" w:hAnsi="Arial" w:cs="Arial"/>
          <w:sz w:val="22"/>
          <w:szCs w:val="22"/>
        </w:rPr>
      </w:pPr>
      <w:r>
        <w:rPr>
          <w:rFonts w:ascii="Arial" w:hAnsi="Arial" w:cs="Arial"/>
          <w:sz w:val="22"/>
          <w:szCs w:val="22"/>
        </w:rPr>
        <w:t xml:space="preserve">Charles </w:t>
      </w:r>
      <w:r w:rsidR="00094EB2" w:rsidRPr="001F4DF9">
        <w:rPr>
          <w:rFonts w:ascii="Arial" w:hAnsi="Arial" w:cs="Arial"/>
          <w:sz w:val="22"/>
          <w:szCs w:val="22"/>
        </w:rPr>
        <w:t xml:space="preserve">Handy’s </w:t>
      </w:r>
      <w:r w:rsidR="00BB06D1" w:rsidRPr="001F4DF9">
        <w:rPr>
          <w:rFonts w:ascii="Arial" w:hAnsi="Arial" w:cs="Arial"/>
          <w:sz w:val="22"/>
          <w:szCs w:val="22"/>
        </w:rPr>
        <w:t>model of organisation culture</w:t>
      </w:r>
    </w:p>
    <w:p w14:paraId="69AA6C19" w14:textId="29BCE335" w:rsidR="00BB06D1" w:rsidRDefault="00BB06D1" w:rsidP="001F4DF9">
      <w:pPr>
        <w:spacing w:line="360" w:lineRule="auto"/>
        <w:jc w:val="both"/>
        <w:rPr>
          <w:rFonts w:ascii="Arial" w:hAnsi="Arial" w:cs="Arial"/>
          <w:sz w:val="22"/>
          <w:szCs w:val="22"/>
        </w:rPr>
      </w:pPr>
      <w:r w:rsidRPr="001F4DF9">
        <w:rPr>
          <w:rFonts w:ascii="Arial" w:hAnsi="Arial" w:cs="Arial"/>
          <w:sz w:val="22"/>
          <w:szCs w:val="22"/>
        </w:rPr>
        <w:t xml:space="preserve">The 4 models are explored in the report </w:t>
      </w:r>
      <w:proofErr w:type="gramStart"/>
      <w:r w:rsidRPr="001F4DF9">
        <w:rPr>
          <w:rFonts w:ascii="Arial" w:hAnsi="Arial" w:cs="Arial"/>
          <w:sz w:val="22"/>
          <w:szCs w:val="22"/>
        </w:rPr>
        <w:t>in order to</w:t>
      </w:r>
      <w:proofErr w:type="gramEnd"/>
      <w:r w:rsidRPr="001F4DF9">
        <w:rPr>
          <w:rFonts w:ascii="Arial" w:hAnsi="Arial" w:cs="Arial"/>
          <w:sz w:val="22"/>
          <w:szCs w:val="22"/>
        </w:rPr>
        <w:t xml:space="preserve"> detect which type of organisational culture is associated with Grange hotels, what are the reasons for that and how this affects the </w:t>
      </w:r>
      <w:r w:rsidR="009514B6" w:rsidRPr="001F4DF9">
        <w:rPr>
          <w:rFonts w:ascii="Arial" w:hAnsi="Arial" w:cs="Arial"/>
          <w:sz w:val="22"/>
          <w:szCs w:val="22"/>
        </w:rPr>
        <w:t>operation at the hotel, and the relationship with its stakeholders</w:t>
      </w:r>
      <w:r w:rsidR="001F4DF9" w:rsidRPr="001F4DF9">
        <w:rPr>
          <w:rFonts w:ascii="Arial" w:hAnsi="Arial" w:cs="Arial"/>
          <w:sz w:val="22"/>
          <w:szCs w:val="22"/>
        </w:rPr>
        <w:t xml:space="preserve"> (Cacciattolo,2014)</w:t>
      </w:r>
      <w:r w:rsidR="009514B6" w:rsidRPr="001F4DF9">
        <w:rPr>
          <w:rFonts w:ascii="Arial" w:hAnsi="Arial" w:cs="Arial"/>
          <w:sz w:val="22"/>
          <w:szCs w:val="22"/>
        </w:rPr>
        <w:t>.</w:t>
      </w:r>
    </w:p>
    <w:p w14:paraId="4E654431" w14:textId="1DF5E0C6" w:rsidR="00191CE1" w:rsidRDefault="00191CE1" w:rsidP="001F4DF9">
      <w:pPr>
        <w:spacing w:line="360" w:lineRule="auto"/>
        <w:jc w:val="both"/>
        <w:rPr>
          <w:rFonts w:ascii="Arial" w:hAnsi="Arial" w:cs="Arial"/>
          <w:sz w:val="22"/>
          <w:szCs w:val="22"/>
        </w:rPr>
      </w:pPr>
    </w:p>
    <w:p w14:paraId="7CBCBEA7" w14:textId="77777777" w:rsidR="00191CE1" w:rsidRPr="001F4DF9" w:rsidRDefault="00191CE1" w:rsidP="001F4DF9">
      <w:pPr>
        <w:spacing w:line="360" w:lineRule="auto"/>
        <w:jc w:val="both"/>
        <w:rPr>
          <w:rFonts w:ascii="Arial" w:hAnsi="Arial" w:cs="Arial"/>
          <w:sz w:val="22"/>
          <w:szCs w:val="22"/>
        </w:rPr>
      </w:pPr>
    </w:p>
    <w:p w14:paraId="33887CA2" w14:textId="66174583" w:rsidR="008604FE" w:rsidRPr="001F4DF9" w:rsidRDefault="008604FE" w:rsidP="001F4DF9">
      <w:pPr>
        <w:pStyle w:val="ListParagraph"/>
        <w:numPr>
          <w:ilvl w:val="0"/>
          <w:numId w:val="1"/>
        </w:numPr>
        <w:spacing w:line="360" w:lineRule="auto"/>
        <w:jc w:val="both"/>
        <w:rPr>
          <w:rFonts w:ascii="Arial" w:hAnsi="Arial" w:cs="Arial"/>
          <w:sz w:val="22"/>
          <w:szCs w:val="22"/>
        </w:rPr>
      </w:pPr>
      <w:r w:rsidRPr="001F4DF9">
        <w:rPr>
          <w:rFonts w:ascii="Arial" w:hAnsi="Arial" w:cs="Arial"/>
          <w:sz w:val="22"/>
          <w:szCs w:val="22"/>
        </w:rPr>
        <w:lastRenderedPageBreak/>
        <w:t>Cultural web</w:t>
      </w:r>
    </w:p>
    <w:p w14:paraId="232A4AAB" w14:textId="3D2316AE" w:rsidR="008604FE" w:rsidRPr="001F4DF9" w:rsidRDefault="008604FE" w:rsidP="001F4DF9">
      <w:pPr>
        <w:spacing w:line="360" w:lineRule="auto"/>
        <w:jc w:val="both"/>
        <w:rPr>
          <w:rFonts w:ascii="Arial" w:hAnsi="Arial" w:cs="Arial"/>
          <w:sz w:val="22"/>
          <w:szCs w:val="22"/>
        </w:rPr>
      </w:pPr>
      <w:r w:rsidRPr="001F4DF9">
        <w:rPr>
          <w:rFonts w:ascii="Arial" w:hAnsi="Arial" w:cs="Arial"/>
          <w:sz w:val="22"/>
          <w:szCs w:val="22"/>
        </w:rPr>
        <w:t xml:space="preserve">This is another theoretical approach, suggested by Johnson and Scholes in 1993, used in the report to analyse the organisational culture at Grange hotels. </w:t>
      </w:r>
      <w:r w:rsidRPr="001F4DF9">
        <w:rPr>
          <w:rFonts w:ascii="Arial" w:hAnsi="Arial" w:cs="Arial"/>
          <w:sz w:val="22"/>
          <w:szCs w:val="22"/>
        </w:rPr>
        <w:t xml:space="preserve">The cultural web explores the behaviour, </w:t>
      </w:r>
      <w:r w:rsidR="00191CE1" w:rsidRPr="001F4DF9">
        <w:rPr>
          <w:rFonts w:ascii="Arial" w:hAnsi="Arial" w:cs="Arial"/>
          <w:sz w:val="22"/>
          <w:szCs w:val="22"/>
        </w:rPr>
        <w:t>tangible,</w:t>
      </w:r>
      <w:r w:rsidRPr="001F4DF9">
        <w:rPr>
          <w:rFonts w:ascii="Arial" w:hAnsi="Arial" w:cs="Arial"/>
          <w:sz w:val="22"/>
          <w:szCs w:val="22"/>
        </w:rPr>
        <w:t xml:space="preserve"> and non-tangible expression of the organisational culture of Grange hotels through </w:t>
      </w:r>
      <w:r w:rsidR="001F4DF9" w:rsidRPr="001F4DF9">
        <w:rPr>
          <w:rFonts w:ascii="Arial" w:hAnsi="Arial" w:cs="Arial"/>
          <w:sz w:val="22"/>
          <w:szCs w:val="22"/>
        </w:rPr>
        <w:t>the</w:t>
      </w:r>
      <w:r w:rsidRPr="001F4DF9">
        <w:rPr>
          <w:rFonts w:ascii="Arial" w:hAnsi="Arial" w:cs="Arial"/>
          <w:sz w:val="22"/>
          <w:szCs w:val="22"/>
        </w:rPr>
        <w:t xml:space="preserve"> elements</w:t>
      </w:r>
      <w:r w:rsidR="001F4DF9" w:rsidRPr="001F4DF9">
        <w:rPr>
          <w:rFonts w:ascii="Arial" w:hAnsi="Arial" w:cs="Arial"/>
          <w:sz w:val="22"/>
          <w:szCs w:val="22"/>
        </w:rPr>
        <w:t xml:space="preserve"> of the model</w:t>
      </w:r>
      <w:r w:rsidRPr="001F4DF9">
        <w:rPr>
          <w:rFonts w:ascii="Arial" w:hAnsi="Arial" w:cs="Arial"/>
          <w:sz w:val="22"/>
          <w:szCs w:val="22"/>
        </w:rPr>
        <w:t>: paradigm, organisational and power structures, symbols, rituals and routines, and stories</w:t>
      </w:r>
      <w:r w:rsidRPr="001F4DF9">
        <w:rPr>
          <w:rFonts w:ascii="Arial" w:hAnsi="Arial" w:cs="Arial"/>
          <w:sz w:val="22"/>
          <w:szCs w:val="22"/>
        </w:rPr>
        <w:t xml:space="preserve"> (Johnson et al., 2017)</w:t>
      </w:r>
    </w:p>
    <w:p w14:paraId="16D0E88B" w14:textId="3069FBAA" w:rsidR="00094EB2" w:rsidRPr="001F4DF9" w:rsidRDefault="00094EB2" w:rsidP="001F4DF9">
      <w:pPr>
        <w:spacing w:line="360" w:lineRule="auto"/>
        <w:jc w:val="both"/>
        <w:rPr>
          <w:rFonts w:ascii="Arial" w:hAnsi="Arial" w:cs="Arial"/>
          <w:sz w:val="22"/>
          <w:szCs w:val="22"/>
        </w:rPr>
      </w:pPr>
      <w:r w:rsidRPr="001F4DF9">
        <w:rPr>
          <w:rFonts w:ascii="Arial" w:hAnsi="Arial" w:cs="Arial"/>
          <w:sz w:val="22"/>
          <w:szCs w:val="22"/>
        </w:rPr>
        <w:t xml:space="preserve">The section of the report about ethical dilemma </w:t>
      </w:r>
      <w:r w:rsidRPr="001F4DF9">
        <w:rPr>
          <w:rFonts w:ascii="Arial" w:hAnsi="Arial" w:cs="Arial"/>
          <w:sz w:val="22"/>
          <w:szCs w:val="22"/>
        </w:rPr>
        <w:t xml:space="preserve">focuses on ethics, the importance of leadership when ethical dilemmas occur (Noriega et.al, 2013) with two examples from Grange hotels- hiring immigrants for lower pay and food waste, and how Covid-19 affects those issues. </w:t>
      </w:r>
    </w:p>
    <w:p w14:paraId="6CE882D2" w14:textId="2EEF98DE" w:rsidR="001F4DF9" w:rsidRPr="001F4DF9" w:rsidRDefault="001F4DF9" w:rsidP="001F4DF9">
      <w:pPr>
        <w:spacing w:line="360" w:lineRule="auto"/>
        <w:jc w:val="both"/>
        <w:rPr>
          <w:rFonts w:ascii="Arial" w:hAnsi="Arial" w:cs="Arial"/>
          <w:sz w:val="22"/>
          <w:szCs w:val="22"/>
        </w:rPr>
      </w:pPr>
    </w:p>
    <w:p w14:paraId="38C849C0" w14:textId="552FAE6B" w:rsidR="001F4DF9" w:rsidRPr="001F4DF9" w:rsidRDefault="001F4DF9" w:rsidP="001F4DF9">
      <w:pPr>
        <w:spacing w:line="360" w:lineRule="auto"/>
        <w:jc w:val="both"/>
        <w:rPr>
          <w:rFonts w:ascii="Arial" w:hAnsi="Arial" w:cs="Arial"/>
          <w:sz w:val="22"/>
          <w:szCs w:val="22"/>
        </w:rPr>
      </w:pPr>
      <w:r w:rsidRPr="001F4DF9">
        <w:rPr>
          <w:rFonts w:ascii="Arial" w:hAnsi="Arial" w:cs="Arial"/>
          <w:sz w:val="22"/>
          <w:szCs w:val="22"/>
        </w:rPr>
        <w:t>Reference List:</w:t>
      </w:r>
    </w:p>
    <w:p w14:paraId="214325E6" w14:textId="046D9860" w:rsidR="001F4DF9" w:rsidRPr="001F4DF9" w:rsidRDefault="001F4DF9" w:rsidP="001F4DF9">
      <w:pPr>
        <w:spacing w:line="360" w:lineRule="auto"/>
        <w:jc w:val="both"/>
        <w:rPr>
          <w:rFonts w:ascii="Arial" w:hAnsi="Arial" w:cs="Arial"/>
          <w:sz w:val="22"/>
          <w:szCs w:val="22"/>
        </w:rPr>
      </w:pPr>
      <w:proofErr w:type="spellStart"/>
      <w:r w:rsidRPr="001F4DF9">
        <w:rPr>
          <w:rFonts w:ascii="Arial" w:hAnsi="Arial" w:cs="Arial"/>
          <w:sz w:val="22"/>
          <w:szCs w:val="22"/>
        </w:rPr>
        <w:t>Cacciattolo</w:t>
      </w:r>
      <w:proofErr w:type="spellEnd"/>
      <w:r w:rsidRPr="001F4DF9">
        <w:rPr>
          <w:rFonts w:ascii="Arial" w:hAnsi="Arial" w:cs="Arial"/>
          <w:sz w:val="22"/>
          <w:szCs w:val="22"/>
        </w:rPr>
        <w:t xml:space="preserve">, K., 2014. “Understanding Organisational Culture”, </w:t>
      </w:r>
      <w:r w:rsidRPr="001F4DF9">
        <w:rPr>
          <w:rFonts w:ascii="Arial" w:hAnsi="Arial" w:cs="Arial"/>
          <w:i/>
          <w:iCs/>
          <w:sz w:val="22"/>
          <w:szCs w:val="22"/>
        </w:rPr>
        <w:t xml:space="preserve">European Scientific Journal, </w:t>
      </w:r>
      <w:r w:rsidRPr="001F4DF9">
        <w:rPr>
          <w:rFonts w:ascii="Arial" w:hAnsi="Arial" w:cs="Arial"/>
          <w:sz w:val="22"/>
          <w:szCs w:val="22"/>
        </w:rPr>
        <w:t>2 (Special), pp. 1-7</w:t>
      </w:r>
    </w:p>
    <w:p w14:paraId="7B7B4B0D" w14:textId="35D5A571" w:rsidR="001F4DF9" w:rsidRPr="001F4DF9" w:rsidRDefault="001F4DF9" w:rsidP="001F4DF9">
      <w:pPr>
        <w:spacing w:line="360" w:lineRule="auto"/>
        <w:jc w:val="both"/>
        <w:rPr>
          <w:rFonts w:ascii="Arial" w:hAnsi="Arial" w:cs="Arial"/>
          <w:sz w:val="22"/>
          <w:szCs w:val="22"/>
        </w:rPr>
      </w:pPr>
      <w:r w:rsidRPr="001F4DF9">
        <w:rPr>
          <w:rFonts w:ascii="Arial" w:hAnsi="Arial" w:cs="Arial"/>
          <w:sz w:val="22"/>
          <w:szCs w:val="22"/>
        </w:rPr>
        <w:t>Johnson et al., 2017. </w:t>
      </w:r>
      <w:r w:rsidRPr="001F4DF9">
        <w:rPr>
          <w:rFonts w:ascii="Arial" w:hAnsi="Arial" w:cs="Arial"/>
          <w:i/>
          <w:iCs/>
          <w:sz w:val="22"/>
          <w:szCs w:val="22"/>
        </w:rPr>
        <w:t>Exploring strategy</w:t>
      </w:r>
      <w:r w:rsidRPr="001F4DF9">
        <w:rPr>
          <w:rFonts w:ascii="Arial" w:hAnsi="Arial" w:cs="Arial"/>
          <w:sz w:val="22"/>
          <w:szCs w:val="22"/>
        </w:rPr>
        <w:t>:</w:t>
      </w:r>
      <w:r w:rsidRPr="001F4DF9">
        <w:rPr>
          <w:rFonts w:ascii="Arial" w:hAnsi="Arial" w:cs="Arial"/>
          <w:sz w:val="22"/>
          <w:szCs w:val="22"/>
        </w:rPr>
        <w:t xml:space="preserve"> </w:t>
      </w:r>
      <w:r w:rsidRPr="001F4DF9">
        <w:rPr>
          <w:rFonts w:ascii="Arial" w:hAnsi="Arial" w:cs="Arial"/>
          <w:i/>
          <w:iCs/>
          <w:sz w:val="22"/>
          <w:szCs w:val="22"/>
        </w:rPr>
        <w:t>text and cases,</w:t>
      </w:r>
      <w:r w:rsidRPr="001F4DF9">
        <w:rPr>
          <w:rFonts w:ascii="Arial" w:hAnsi="Arial" w:cs="Arial"/>
          <w:sz w:val="22"/>
          <w:szCs w:val="22"/>
        </w:rPr>
        <w:t xml:space="preserve"> 11</w:t>
      </w:r>
      <w:r w:rsidRPr="001F4DF9">
        <w:rPr>
          <w:rFonts w:ascii="Arial" w:hAnsi="Arial" w:cs="Arial"/>
          <w:sz w:val="22"/>
          <w:szCs w:val="22"/>
          <w:vertAlign w:val="superscript"/>
        </w:rPr>
        <w:t>th</w:t>
      </w:r>
      <w:r w:rsidRPr="001F4DF9">
        <w:rPr>
          <w:rFonts w:ascii="Arial" w:hAnsi="Arial" w:cs="Arial"/>
          <w:sz w:val="22"/>
          <w:szCs w:val="22"/>
        </w:rPr>
        <w:t xml:space="preserve"> </w:t>
      </w:r>
      <w:proofErr w:type="spellStart"/>
      <w:r w:rsidRPr="001F4DF9">
        <w:rPr>
          <w:rFonts w:ascii="Arial" w:hAnsi="Arial" w:cs="Arial"/>
          <w:sz w:val="22"/>
          <w:szCs w:val="22"/>
        </w:rPr>
        <w:t>edn</w:t>
      </w:r>
      <w:proofErr w:type="spellEnd"/>
      <w:r w:rsidRPr="001F4DF9">
        <w:rPr>
          <w:rFonts w:ascii="Arial" w:hAnsi="Arial" w:cs="Arial"/>
          <w:sz w:val="22"/>
          <w:szCs w:val="22"/>
        </w:rPr>
        <w:t>., Harlow: Pearson education Limited</w:t>
      </w:r>
    </w:p>
    <w:p w14:paraId="4AF41E87" w14:textId="790FAAB7" w:rsidR="001F4DF9" w:rsidRPr="001F4DF9" w:rsidRDefault="001F4DF9" w:rsidP="001F4DF9">
      <w:pPr>
        <w:spacing w:line="360" w:lineRule="auto"/>
        <w:jc w:val="both"/>
        <w:rPr>
          <w:rFonts w:ascii="Arial" w:hAnsi="Arial" w:cs="Arial"/>
          <w:sz w:val="22"/>
          <w:szCs w:val="22"/>
        </w:rPr>
      </w:pPr>
      <w:r w:rsidRPr="001F4DF9">
        <w:rPr>
          <w:rFonts w:ascii="Arial" w:hAnsi="Arial" w:cs="Arial"/>
          <w:sz w:val="22"/>
          <w:szCs w:val="22"/>
        </w:rPr>
        <w:t xml:space="preserve">Lake, E., 2018. “Hospitality sector to reach annual turnover of £102 b in 2018”, </w:t>
      </w:r>
      <w:r w:rsidRPr="001F4DF9">
        <w:rPr>
          <w:rFonts w:ascii="Arial" w:hAnsi="Arial" w:cs="Arial"/>
          <w:i/>
          <w:iCs/>
          <w:sz w:val="22"/>
          <w:szCs w:val="22"/>
        </w:rPr>
        <w:t xml:space="preserve">Caterer, </w:t>
      </w:r>
      <w:r w:rsidRPr="001F4DF9">
        <w:rPr>
          <w:rFonts w:ascii="Arial" w:hAnsi="Arial" w:cs="Arial"/>
          <w:sz w:val="22"/>
          <w:szCs w:val="22"/>
        </w:rPr>
        <w:t xml:space="preserve">24th of October. Available at: </w:t>
      </w:r>
      <w:hyperlink r:id="rId6" w:history="1">
        <w:r w:rsidRPr="001F4DF9">
          <w:rPr>
            <w:rStyle w:val="Hyperlink"/>
            <w:rFonts w:ascii="Arial" w:hAnsi="Arial" w:cs="Arial"/>
            <w:sz w:val="22"/>
            <w:szCs w:val="22"/>
          </w:rPr>
          <w:t>https://www.thecaterer.com/news/hotel/hospitality-sector-to-reach-annual-turnover-of-102b-in-2018</w:t>
        </w:r>
      </w:hyperlink>
      <w:r w:rsidRPr="001F4DF9">
        <w:rPr>
          <w:rFonts w:ascii="Arial" w:hAnsi="Arial" w:cs="Arial"/>
          <w:sz w:val="22"/>
          <w:szCs w:val="22"/>
        </w:rPr>
        <w:t xml:space="preserve"> (Accessed: 19</w:t>
      </w:r>
      <w:r w:rsidRPr="001F4DF9">
        <w:rPr>
          <w:rFonts w:ascii="Arial" w:hAnsi="Arial" w:cs="Arial"/>
          <w:sz w:val="22"/>
          <w:szCs w:val="22"/>
          <w:vertAlign w:val="superscript"/>
        </w:rPr>
        <w:t>th</w:t>
      </w:r>
      <w:r w:rsidRPr="001F4DF9">
        <w:rPr>
          <w:rFonts w:ascii="Arial" w:hAnsi="Arial" w:cs="Arial"/>
          <w:sz w:val="22"/>
          <w:szCs w:val="22"/>
        </w:rPr>
        <w:t xml:space="preserve"> of July 2021)</w:t>
      </w:r>
    </w:p>
    <w:p w14:paraId="69152C35" w14:textId="037080A1" w:rsidR="001F4DF9" w:rsidRPr="001F4DF9" w:rsidRDefault="001F4DF9" w:rsidP="001F4DF9">
      <w:pPr>
        <w:spacing w:line="360" w:lineRule="auto"/>
        <w:jc w:val="both"/>
        <w:rPr>
          <w:rFonts w:ascii="Arial" w:hAnsi="Arial" w:cs="Arial"/>
          <w:sz w:val="22"/>
          <w:szCs w:val="22"/>
        </w:rPr>
      </w:pPr>
      <w:r w:rsidRPr="00905B9A">
        <w:rPr>
          <w:rFonts w:ascii="Arial" w:hAnsi="Arial" w:cs="Arial"/>
          <w:sz w:val="22"/>
          <w:szCs w:val="22"/>
        </w:rPr>
        <w:t>Noriega, Pender &amp; Drew, Michelle Thomas, 2013. Ethical leadership and dilemmas in the workplace. </w:t>
      </w:r>
      <w:r w:rsidRPr="00905B9A">
        <w:rPr>
          <w:rFonts w:ascii="Arial" w:hAnsi="Arial" w:cs="Arial"/>
          <w:i/>
          <w:iCs/>
          <w:sz w:val="22"/>
          <w:szCs w:val="22"/>
        </w:rPr>
        <w:t>The Consortium journal of hospitality and tourism</w:t>
      </w:r>
      <w:r w:rsidRPr="00905B9A">
        <w:rPr>
          <w:rFonts w:ascii="Arial" w:hAnsi="Arial" w:cs="Arial"/>
          <w:sz w:val="22"/>
          <w:szCs w:val="22"/>
        </w:rPr>
        <w:t>, 18(2), p.34.</w:t>
      </w:r>
    </w:p>
    <w:p w14:paraId="07FC0938" w14:textId="0ABB6A36" w:rsidR="001F4DF9" w:rsidRDefault="001F4DF9" w:rsidP="001F4DF9">
      <w:pPr>
        <w:spacing w:line="360" w:lineRule="auto"/>
        <w:jc w:val="both"/>
        <w:rPr>
          <w:rFonts w:ascii="Arial" w:hAnsi="Arial" w:cs="Arial"/>
          <w:sz w:val="22"/>
          <w:szCs w:val="22"/>
        </w:rPr>
      </w:pPr>
      <w:r w:rsidRPr="001F4DF9">
        <w:rPr>
          <w:rFonts w:ascii="Arial" w:hAnsi="Arial" w:cs="Arial"/>
          <w:sz w:val="22"/>
          <w:szCs w:val="22"/>
        </w:rPr>
        <w:t xml:space="preserve">Porter, M., 2008. </w:t>
      </w:r>
      <w:r w:rsidRPr="001F4DF9">
        <w:rPr>
          <w:rFonts w:ascii="Arial" w:hAnsi="Arial" w:cs="Arial"/>
          <w:i/>
          <w:iCs/>
          <w:sz w:val="22"/>
          <w:szCs w:val="22"/>
        </w:rPr>
        <w:t xml:space="preserve">The Five Competitive Forces That Shape Strategy, </w:t>
      </w:r>
      <w:r w:rsidRPr="001F4DF9">
        <w:rPr>
          <w:rFonts w:ascii="Arial" w:hAnsi="Arial" w:cs="Arial"/>
          <w:sz w:val="22"/>
          <w:szCs w:val="22"/>
        </w:rPr>
        <w:t>Harvard Business Review, 30</w:t>
      </w:r>
      <w:r w:rsidRPr="001F4DF9">
        <w:rPr>
          <w:rFonts w:ascii="Arial" w:hAnsi="Arial" w:cs="Arial"/>
          <w:sz w:val="22"/>
          <w:szCs w:val="22"/>
          <w:vertAlign w:val="superscript"/>
        </w:rPr>
        <w:t>th</w:t>
      </w:r>
      <w:r w:rsidRPr="001F4DF9">
        <w:rPr>
          <w:rFonts w:ascii="Arial" w:hAnsi="Arial" w:cs="Arial"/>
          <w:sz w:val="22"/>
          <w:szCs w:val="22"/>
        </w:rPr>
        <w:t xml:space="preserve"> of June. (Online) Available at: </w:t>
      </w:r>
      <w:hyperlink r:id="rId7" w:history="1">
        <w:r w:rsidRPr="001F4DF9">
          <w:rPr>
            <w:rStyle w:val="Hyperlink"/>
            <w:rFonts w:ascii="Arial" w:hAnsi="Arial" w:cs="Arial"/>
            <w:sz w:val="22"/>
            <w:szCs w:val="22"/>
          </w:rPr>
          <w:t>https://www.youtube.com/watch?v=mYF2_FBCvXw</w:t>
        </w:r>
      </w:hyperlink>
      <w:r w:rsidRPr="001F4DF9">
        <w:rPr>
          <w:rFonts w:ascii="Arial" w:hAnsi="Arial" w:cs="Arial"/>
          <w:sz w:val="22"/>
          <w:szCs w:val="22"/>
        </w:rPr>
        <w:t xml:space="preserve"> (Accessed: 23</w:t>
      </w:r>
      <w:r w:rsidRPr="001F4DF9">
        <w:rPr>
          <w:rFonts w:ascii="Arial" w:hAnsi="Arial" w:cs="Arial"/>
          <w:sz w:val="22"/>
          <w:szCs w:val="22"/>
          <w:vertAlign w:val="superscript"/>
        </w:rPr>
        <w:t>rd</w:t>
      </w:r>
      <w:r w:rsidRPr="001F4DF9">
        <w:rPr>
          <w:rFonts w:ascii="Arial" w:hAnsi="Arial" w:cs="Arial"/>
          <w:sz w:val="22"/>
          <w:szCs w:val="22"/>
        </w:rPr>
        <w:t xml:space="preserve"> of June 2021)</w:t>
      </w:r>
    </w:p>
    <w:p w14:paraId="52E64932" w14:textId="2466D308" w:rsidR="00555794" w:rsidRPr="00555794" w:rsidRDefault="00555794" w:rsidP="001F4DF9">
      <w:pPr>
        <w:spacing w:line="360" w:lineRule="auto"/>
        <w:jc w:val="both"/>
        <w:rPr>
          <w:rFonts w:ascii="Arial" w:hAnsi="Arial" w:cs="Arial"/>
          <w:i/>
          <w:iCs/>
          <w:sz w:val="22"/>
          <w:szCs w:val="22"/>
        </w:rPr>
      </w:pPr>
      <w:r w:rsidRPr="00555794">
        <w:rPr>
          <w:rFonts w:ascii="Arial" w:hAnsi="Arial" w:cs="Arial"/>
          <w:sz w:val="22"/>
          <w:szCs w:val="22"/>
        </w:rPr>
        <w:t>Price, K., 2021. “Hospitality sector expected to lag in post-Covid recovery”</w:t>
      </w:r>
      <w:r w:rsidRPr="00555794">
        <w:rPr>
          <w:rFonts w:ascii="Arial" w:hAnsi="Arial" w:cs="Arial"/>
          <w:i/>
          <w:iCs/>
          <w:sz w:val="22"/>
          <w:szCs w:val="22"/>
        </w:rPr>
        <w:t>, Caterer</w:t>
      </w:r>
      <w:r w:rsidRPr="00555794">
        <w:rPr>
          <w:rFonts w:ascii="Arial" w:hAnsi="Arial" w:cs="Arial"/>
          <w:sz w:val="22"/>
          <w:szCs w:val="22"/>
        </w:rPr>
        <w:t>, 19</w:t>
      </w:r>
      <w:r w:rsidRPr="00555794">
        <w:rPr>
          <w:rFonts w:ascii="Arial" w:hAnsi="Arial" w:cs="Arial"/>
          <w:sz w:val="22"/>
          <w:szCs w:val="22"/>
          <w:vertAlign w:val="superscript"/>
        </w:rPr>
        <w:t>th</w:t>
      </w:r>
      <w:r w:rsidRPr="00555794">
        <w:rPr>
          <w:rFonts w:ascii="Arial" w:hAnsi="Arial" w:cs="Arial"/>
          <w:sz w:val="22"/>
          <w:szCs w:val="22"/>
        </w:rPr>
        <w:t xml:space="preserve"> of January. Available at: </w:t>
      </w:r>
      <w:hyperlink r:id="rId8" w:history="1">
        <w:r w:rsidRPr="00555794">
          <w:rPr>
            <w:rStyle w:val="Hyperlink"/>
            <w:rFonts w:ascii="Arial" w:hAnsi="Arial" w:cs="Arial"/>
            <w:sz w:val="22"/>
            <w:szCs w:val="22"/>
          </w:rPr>
          <w:t>https://www.thecaterer.com/news/hospitality-lag-post-covid-recovery</w:t>
        </w:r>
      </w:hyperlink>
      <w:r w:rsidRPr="00555794">
        <w:rPr>
          <w:rFonts w:ascii="Arial" w:hAnsi="Arial" w:cs="Arial"/>
          <w:sz w:val="22"/>
          <w:szCs w:val="22"/>
        </w:rPr>
        <w:t xml:space="preserve"> (Accessed: 24</w:t>
      </w:r>
      <w:r w:rsidRPr="00555794">
        <w:rPr>
          <w:rFonts w:ascii="Arial" w:hAnsi="Arial" w:cs="Arial"/>
          <w:sz w:val="22"/>
          <w:szCs w:val="22"/>
          <w:vertAlign w:val="superscript"/>
        </w:rPr>
        <w:t>th</w:t>
      </w:r>
      <w:r w:rsidRPr="00555794">
        <w:rPr>
          <w:rFonts w:ascii="Arial" w:hAnsi="Arial" w:cs="Arial"/>
          <w:sz w:val="22"/>
          <w:szCs w:val="22"/>
        </w:rPr>
        <w:t xml:space="preserve"> of July 2021)</w:t>
      </w:r>
    </w:p>
    <w:p w14:paraId="6C466D33" w14:textId="30BCA498" w:rsidR="001F4DF9" w:rsidRPr="001F4DF9" w:rsidRDefault="001F4DF9" w:rsidP="001F4DF9">
      <w:pPr>
        <w:spacing w:line="360" w:lineRule="auto"/>
        <w:jc w:val="both"/>
        <w:rPr>
          <w:rFonts w:ascii="Arial" w:hAnsi="Arial" w:cs="Arial"/>
          <w:sz w:val="22"/>
          <w:szCs w:val="22"/>
        </w:rPr>
      </w:pPr>
      <w:r w:rsidRPr="001F4DF9">
        <w:rPr>
          <w:rFonts w:ascii="Arial" w:hAnsi="Arial" w:cs="Arial"/>
          <w:sz w:val="22"/>
          <w:szCs w:val="22"/>
        </w:rPr>
        <w:t xml:space="preserve">Price Waterhouse Cooper, 2019. </w:t>
      </w:r>
      <w:r w:rsidRPr="001F4DF9">
        <w:rPr>
          <w:rFonts w:ascii="Arial" w:hAnsi="Arial" w:cs="Arial"/>
          <w:i/>
          <w:iCs/>
          <w:sz w:val="22"/>
          <w:szCs w:val="22"/>
        </w:rPr>
        <w:t xml:space="preserve">Turn disruption into opportunity. UK Hotels Forecast 2019-2020. </w:t>
      </w:r>
      <w:r w:rsidRPr="001F4DF9">
        <w:rPr>
          <w:rFonts w:ascii="Arial" w:hAnsi="Arial" w:cs="Arial"/>
          <w:sz w:val="22"/>
          <w:szCs w:val="22"/>
        </w:rPr>
        <w:t xml:space="preserve">Available at: </w:t>
      </w:r>
      <w:hyperlink r:id="rId9" w:history="1">
        <w:r w:rsidRPr="001F4DF9">
          <w:rPr>
            <w:rStyle w:val="Hyperlink"/>
            <w:rFonts w:ascii="Arial" w:hAnsi="Arial" w:cs="Arial"/>
            <w:sz w:val="22"/>
            <w:szCs w:val="22"/>
          </w:rPr>
          <w:t>https://www.pwc.co.uk/hospitality-leisure/assets/pwc-uk-hotels-forecast-2019-2020.pdf</w:t>
        </w:r>
      </w:hyperlink>
      <w:r w:rsidRPr="001F4DF9">
        <w:rPr>
          <w:rFonts w:ascii="Arial" w:hAnsi="Arial" w:cs="Arial"/>
          <w:sz w:val="22"/>
          <w:szCs w:val="22"/>
        </w:rPr>
        <w:t xml:space="preserve"> (Accessed: 17</w:t>
      </w:r>
      <w:r w:rsidRPr="001F4DF9">
        <w:rPr>
          <w:rFonts w:ascii="Arial" w:hAnsi="Arial" w:cs="Arial"/>
          <w:sz w:val="22"/>
          <w:szCs w:val="22"/>
          <w:vertAlign w:val="superscript"/>
        </w:rPr>
        <w:t>th</w:t>
      </w:r>
      <w:r w:rsidRPr="001F4DF9">
        <w:rPr>
          <w:rFonts w:ascii="Arial" w:hAnsi="Arial" w:cs="Arial"/>
          <w:sz w:val="22"/>
          <w:szCs w:val="22"/>
        </w:rPr>
        <w:t xml:space="preserve"> of July 2021)</w:t>
      </w:r>
    </w:p>
    <w:p w14:paraId="24D8407A" w14:textId="77777777" w:rsidR="001F4DF9" w:rsidRPr="00054BEF" w:rsidRDefault="001F4DF9" w:rsidP="001F4DF9">
      <w:pPr>
        <w:spacing w:line="360" w:lineRule="auto"/>
        <w:jc w:val="both"/>
        <w:rPr>
          <w:rFonts w:ascii="Arial" w:hAnsi="Arial" w:cs="Arial"/>
          <w:sz w:val="22"/>
          <w:szCs w:val="22"/>
        </w:rPr>
      </w:pPr>
      <w:r w:rsidRPr="001F4DF9">
        <w:rPr>
          <w:rFonts w:ascii="Arial" w:hAnsi="Arial" w:cs="Arial"/>
          <w:sz w:val="22"/>
          <w:szCs w:val="22"/>
        </w:rPr>
        <w:t>Singh, A.,</w:t>
      </w:r>
      <w:r w:rsidRPr="00054BEF">
        <w:rPr>
          <w:rFonts w:ascii="Arial" w:hAnsi="Arial" w:cs="Arial"/>
          <w:sz w:val="22"/>
          <w:szCs w:val="22"/>
        </w:rPr>
        <w:t xml:space="preserve"> 2013. A Study of Role of McKinsey's 7S Framework in Achieving Organizational Excellence. </w:t>
      </w:r>
      <w:r w:rsidRPr="00054BEF">
        <w:rPr>
          <w:rFonts w:ascii="Arial" w:hAnsi="Arial" w:cs="Arial"/>
          <w:i/>
          <w:iCs/>
          <w:sz w:val="22"/>
          <w:szCs w:val="22"/>
        </w:rPr>
        <w:t>Organization development journal</w:t>
      </w:r>
      <w:r w:rsidRPr="00054BEF">
        <w:rPr>
          <w:rFonts w:ascii="Arial" w:hAnsi="Arial" w:cs="Arial"/>
          <w:sz w:val="22"/>
          <w:szCs w:val="22"/>
        </w:rPr>
        <w:t>, 31(3), p.39.</w:t>
      </w:r>
    </w:p>
    <w:p w14:paraId="172E5ECA" w14:textId="77777777" w:rsidR="001F4DF9" w:rsidRPr="001F4DF9" w:rsidRDefault="001F4DF9" w:rsidP="001F4DF9">
      <w:pPr>
        <w:spacing w:line="360" w:lineRule="auto"/>
        <w:jc w:val="both"/>
        <w:rPr>
          <w:rFonts w:ascii="Arial" w:hAnsi="Arial" w:cs="Arial"/>
          <w:sz w:val="22"/>
          <w:szCs w:val="22"/>
        </w:rPr>
      </w:pPr>
    </w:p>
    <w:p w14:paraId="50032CBD" w14:textId="77777777" w:rsidR="001F4DF9" w:rsidRPr="001F4DF9" w:rsidRDefault="001F4DF9" w:rsidP="001F4DF9">
      <w:pPr>
        <w:spacing w:line="360" w:lineRule="auto"/>
        <w:jc w:val="both"/>
        <w:rPr>
          <w:rFonts w:ascii="Arial" w:hAnsi="Arial" w:cs="Arial"/>
          <w:sz w:val="22"/>
          <w:szCs w:val="22"/>
        </w:rPr>
      </w:pPr>
    </w:p>
    <w:p w14:paraId="36A17D08" w14:textId="77777777" w:rsidR="001F4DF9" w:rsidRPr="00560223" w:rsidRDefault="001F4DF9" w:rsidP="001F4DF9">
      <w:pPr>
        <w:spacing w:line="360" w:lineRule="auto"/>
        <w:jc w:val="both"/>
        <w:rPr>
          <w:rFonts w:ascii="Arial" w:hAnsi="Arial" w:cs="Arial"/>
          <w:sz w:val="22"/>
          <w:szCs w:val="22"/>
        </w:rPr>
      </w:pPr>
    </w:p>
    <w:p w14:paraId="3BC77E89" w14:textId="77777777" w:rsidR="008604FE" w:rsidRPr="001F4DF9" w:rsidRDefault="008604FE" w:rsidP="001F4DF9">
      <w:pPr>
        <w:spacing w:line="360" w:lineRule="auto"/>
        <w:jc w:val="both"/>
        <w:rPr>
          <w:rFonts w:ascii="Arial" w:hAnsi="Arial" w:cs="Arial"/>
          <w:sz w:val="22"/>
          <w:szCs w:val="22"/>
        </w:rPr>
      </w:pPr>
    </w:p>
    <w:p w14:paraId="6D2AB421" w14:textId="6775C781" w:rsidR="00094EB2" w:rsidRPr="001F4DF9" w:rsidRDefault="00094EB2" w:rsidP="001F4DF9">
      <w:pPr>
        <w:spacing w:line="360" w:lineRule="auto"/>
        <w:jc w:val="both"/>
        <w:rPr>
          <w:rFonts w:ascii="Arial" w:hAnsi="Arial" w:cs="Arial"/>
          <w:sz w:val="22"/>
          <w:szCs w:val="22"/>
        </w:rPr>
      </w:pPr>
    </w:p>
    <w:p w14:paraId="0A72DB85" w14:textId="77777777" w:rsidR="00094EB2" w:rsidRPr="001F4DF9" w:rsidRDefault="00094EB2" w:rsidP="001F4DF9">
      <w:pPr>
        <w:spacing w:line="360" w:lineRule="auto"/>
        <w:jc w:val="both"/>
        <w:rPr>
          <w:rFonts w:ascii="Arial" w:hAnsi="Arial" w:cs="Arial"/>
          <w:sz w:val="22"/>
          <w:szCs w:val="22"/>
        </w:rPr>
      </w:pPr>
    </w:p>
    <w:p w14:paraId="674963A6" w14:textId="77777777" w:rsidR="00094EB2" w:rsidRPr="001F4DF9" w:rsidRDefault="00094EB2" w:rsidP="001F4DF9">
      <w:pPr>
        <w:spacing w:line="360" w:lineRule="auto"/>
        <w:jc w:val="both"/>
        <w:rPr>
          <w:rFonts w:ascii="Arial" w:hAnsi="Arial" w:cs="Arial"/>
          <w:sz w:val="22"/>
          <w:szCs w:val="22"/>
        </w:rPr>
      </w:pPr>
    </w:p>
    <w:p w14:paraId="7CFF3BDB" w14:textId="77777777" w:rsidR="00094EB2" w:rsidRPr="001F4DF9" w:rsidRDefault="00094EB2" w:rsidP="001F4DF9">
      <w:pPr>
        <w:spacing w:line="360" w:lineRule="auto"/>
        <w:jc w:val="both"/>
        <w:rPr>
          <w:rFonts w:ascii="Arial" w:hAnsi="Arial" w:cs="Arial"/>
          <w:sz w:val="22"/>
          <w:szCs w:val="22"/>
        </w:rPr>
      </w:pPr>
    </w:p>
    <w:sectPr w:rsidR="00094EB2" w:rsidRPr="001F4D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F94DC2"/>
    <w:multiLevelType w:val="hybridMultilevel"/>
    <w:tmpl w:val="CE88E52C"/>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0223"/>
    <w:rsid w:val="00094EB2"/>
    <w:rsid w:val="00191CE1"/>
    <w:rsid w:val="001F4DF9"/>
    <w:rsid w:val="00555794"/>
    <w:rsid w:val="006C0223"/>
    <w:rsid w:val="008604FE"/>
    <w:rsid w:val="00880B96"/>
    <w:rsid w:val="009514B6"/>
    <w:rsid w:val="00BB06D1"/>
    <w:rsid w:val="00C7280F"/>
    <w:rsid w:val="00D333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67406E"/>
  <w15:chartTrackingRefBased/>
  <w15:docId w15:val="{2711FF94-4568-5E4B-9AB2-8CC2FB659B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4EB2"/>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4EB2"/>
    <w:pPr>
      <w:ind w:left="720"/>
      <w:contextualSpacing/>
    </w:pPr>
  </w:style>
  <w:style w:type="character" w:styleId="Hyperlink">
    <w:name w:val="Hyperlink"/>
    <w:basedOn w:val="DefaultParagraphFont"/>
    <w:uiPriority w:val="99"/>
    <w:unhideWhenUsed/>
    <w:rsid w:val="001F4DF9"/>
    <w:rPr>
      <w:color w:val="0563C1" w:themeColor="hyperlink"/>
      <w:u w:val="single"/>
    </w:rPr>
  </w:style>
  <w:style w:type="character" w:styleId="UnresolvedMention">
    <w:name w:val="Unresolved Mention"/>
    <w:basedOn w:val="DefaultParagraphFont"/>
    <w:uiPriority w:val="99"/>
    <w:semiHidden/>
    <w:unhideWhenUsed/>
    <w:rsid w:val="00555794"/>
    <w:rPr>
      <w:color w:val="605E5C"/>
      <w:shd w:val="clear" w:color="auto" w:fill="E1DFDD"/>
    </w:rPr>
  </w:style>
  <w:style w:type="character" w:customStyle="1" w:styleId="apple-converted-space">
    <w:name w:val="apple-converted-space"/>
    <w:basedOn w:val="DefaultParagraphFont"/>
    <w:rsid w:val="005557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caterer.com/news/hospitality-lag-post-covid-recovery" TargetMode="External"/><Relationship Id="rId3" Type="http://schemas.openxmlformats.org/officeDocument/2006/relationships/settings" Target="settings.xml"/><Relationship Id="rId7" Type="http://schemas.openxmlformats.org/officeDocument/2006/relationships/hyperlink" Target="https://www.youtube.com/watch?v=mYF2_FBCvXw"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caterer.com/news/hotel/hospitality-sector-to-reach-annual-turnover-of-102b-in-2018"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wc.co.uk/hospitality-leisure/assets/pwc-uk-hotels-forecast-2019-20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TotalTime>
  <Pages>4</Pages>
  <Words>828</Words>
  <Characters>4720</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Zlatina Kirilova Tyulyusheva (1919008)</dc:creator>
  <cp:keywords/>
  <dc:description/>
  <cp:lastModifiedBy>Zlatina Kirilova Tyulyusheva (1919008)</cp:lastModifiedBy>
  <cp:revision>2</cp:revision>
  <dcterms:created xsi:type="dcterms:W3CDTF">2021-07-24T13:42:00Z</dcterms:created>
  <dcterms:modified xsi:type="dcterms:W3CDTF">2021-07-24T15:20:00Z</dcterms:modified>
</cp:coreProperties>
</file>