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87E20" w:rsidRPr="004B66D7" w:rsidRDefault="004B66D7" w:rsidP="004B66D7">
      <w:pPr>
        <w:jc w:val="center"/>
        <w:rPr>
          <w:u w:val="single"/>
        </w:rPr>
      </w:pPr>
      <w:r w:rsidRPr="004B66D7">
        <w:rPr>
          <w:u w:val="single"/>
        </w:rPr>
        <w:t xml:space="preserve">What can Iambulos’ Island of the Sun and </w:t>
      </w:r>
      <w:r w:rsidR="00B77B03">
        <w:rPr>
          <w:u w:val="single"/>
        </w:rPr>
        <w:t>Euhemeros</w:t>
      </w:r>
      <w:r w:rsidRPr="004B66D7">
        <w:rPr>
          <w:u w:val="single"/>
        </w:rPr>
        <w:t xml:space="preserve">’ Island of Panchaea (as related by Diodorus) tell us about Greek notions of the ideal society? </w:t>
      </w:r>
    </w:p>
    <w:p w:rsidR="004B66D7" w:rsidRDefault="0020702B" w:rsidP="00565D6C">
      <w:pPr>
        <w:spacing w:line="360" w:lineRule="auto"/>
      </w:pPr>
      <w:r>
        <w:t>A utopian society is one in which there are no problems, where every person has their role and they are content in doing that role. Where people do not need to worry about matters such as money, or food, or warmth, for they are all provided. Throughout history, there have been different attempts in writing about such places, and usually, they reflect on the society in which they are written. The most important example of such a narrative is seen in Sir Thomas More’s 1516</w:t>
      </w:r>
      <w:r w:rsidR="009121E4">
        <w:t xml:space="preserve"> socio-political criticism </w:t>
      </w:r>
      <w:r w:rsidR="009121E4">
        <w:rPr>
          <w:i/>
        </w:rPr>
        <w:t>Utopia.</w:t>
      </w:r>
      <w:r w:rsidR="009121E4">
        <w:t xml:space="preserve"> This style of criticism is also seen in George Orwell’s </w:t>
      </w:r>
      <w:r w:rsidR="009121E4">
        <w:rPr>
          <w:i/>
        </w:rPr>
        <w:t>Nineteen Eighty-Four</w:t>
      </w:r>
      <w:r w:rsidR="009121E4">
        <w:t xml:space="preserve">, Ursula K. Le Guin’s </w:t>
      </w:r>
      <w:r w:rsidR="009121E4">
        <w:rPr>
          <w:i/>
        </w:rPr>
        <w:t>The Dispossessed</w:t>
      </w:r>
      <w:r w:rsidR="009121E4">
        <w:t xml:space="preserve"> and many other books of the Utopia/Dystopia genre. </w:t>
      </w:r>
      <w:r w:rsidR="00273A1E">
        <w:t>This is also true</w:t>
      </w:r>
      <w:r w:rsidR="009121E4">
        <w:t xml:space="preserve"> </w:t>
      </w:r>
      <w:r w:rsidR="00171EF1">
        <w:t>in</w:t>
      </w:r>
      <w:r w:rsidR="009121E4">
        <w:t xml:space="preserve"> Iambulos’ </w:t>
      </w:r>
      <w:r w:rsidR="009121E4">
        <w:rPr>
          <w:i/>
        </w:rPr>
        <w:t>Island of the Sun</w:t>
      </w:r>
      <w:r w:rsidR="009121E4">
        <w:t xml:space="preserve"> and </w:t>
      </w:r>
      <w:r w:rsidR="00B77B03">
        <w:t>Euhemeros</w:t>
      </w:r>
      <w:r w:rsidR="009121E4">
        <w:t xml:space="preserve">’ </w:t>
      </w:r>
      <w:r w:rsidR="009121E4">
        <w:rPr>
          <w:i/>
        </w:rPr>
        <w:t>Island of Panchaea</w:t>
      </w:r>
      <w:r w:rsidR="009121E4">
        <w:t xml:space="preserve">. </w:t>
      </w:r>
    </w:p>
    <w:p w:rsidR="0034589B" w:rsidRDefault="00346AE3" w:rsidP="00565D6C">
      <w:pPr>
        <w:spacing w:line="360" w:lineRule="auto"/>
      </w:pPr>
      <w:r>
        <w:t>One of the main ideas that is present in both works, is the idea that each man, woman, child and inhabitant of the islands do not want for much, because it is provided for them, either by the land or by the priests. Iambulos writes “</w:t>
      </w:r>
      <w:r w:rsidRPr="00346AE3">
        <w:t>they practise simplicity and take for their food only what suffices for their needs.</w:t>
      </w:r>
      <w:r>
        <w:t>”</w:t>
      </w:r>
      <w:r w:rsidR="003C5ABC">
        <w:rPr>
          <w:rStyle w:val="FootnoteReference"/>
        </w:rPr>
        <w:footnoteReference w:id="1"/>
      </w:r>
      <w:r w:rsidR="006016A8">
        <w:t xml:space="preserve"> </w:t>
      </w:r>
      <w:r w:rsidR="00B77B03">
        <w:t>Euhemeros</w:t>
      </w:r>
      <w:r w:rsidR="006016A8">
        <w:t xml:space="preserve"> writes </w:t>
      </w:r>
      <w:r w:rsidR="006016A8" w:rsidRPr="006016A8">
        <w:t>“There is not a thing except a home and a garden which a man may possess for his own, but all the products and the revenues are taken over by the priests, who portion out with justice to each man his share, and to the priests alone is given two-fold.”</w:t>
      </w:r>
      <w:r w:rsidR="006016A8" w:rsidRPr="006016A8">
        <w:rPr>
          <w:rStyle w:val="FootnoteReference"/>
        </w:rPr>
        <w:t xml:space="preserve"> </w:t>
      </w:r>
      <w:r w:rsidR="006016A8">
        <w:rPr>
          <w:rStyle w:val="FootnoteReference"/>
        </w:rPr>
        <w:footnoteReference w:id="2"/>
      </w:r>
      <w:r w:rsidR="00314C5C">
        <w:t xml:space="preserve"> This suggest</w:t>
      </w:r>
      <w:r w:rsidR="00A771F5">
        <w:t>s</w:t>
      </w:r>
      <w:r w:rsidR="00314C5C">
        <w:t xml:space="preserve"> that</w:t>
      </w:r>
      <w:r w:rsidR="0034589B">
        <w:t xml:space="preserve"> the first Greek notion of an ideal society is one in which there is an abundance of foods and areas to live. Of course, this is true for any society and is not particular to just a Greek society.</w:t>
      </w:r>
    </w:p>
    <w:p w:rsidR="006016A8" w:rsidRDefault="0034589B" w:rsidP="00565D6C">
      <w:pPr>
        <w:spacing w:line="360" w:lineRule="auto"/>
      </w:pPr>
      <w:r>
        <w:t xml:space="preserve">One of the most important aspects of Greek society is religion, which would go a long way to explain why </w:t>
      </w:r>
      <w:r w:rsidR="00B77B03">
        <w:t>Euhemeros</w:t>
      </w:r>
      <w:r>
        <w:t xml:space="preserve"> tells us much about the religious aspects of Panchaea. </w:t>
      </w:r>
      <w:r w:rsidR="00B77B03">
        <w:t>Euhemeros</w:t>
      </w:r>
      <w:r>
        <w:t xml:space="preserve"> tells of the temples of Panchaea, whereby they are all lavishly decorated, and constructed by the greatest craftsmen, perhaps in the world. The temples are huge spaces, suggesting that this would be an area that the gods themselves would visit, and therefore need the space to accommodate both the gods and their offerings. The area that surrounds the temple is also emphasised and talked about in </w:t>
      </w:r>
      <w:proofErr w:type="gramStart"/>
      <w:r>
        <w:t>great detail</w:t>
      </w:r>
      <w:proofErr w:type="gramEnd"/>
      <w:r>
        <w:t xml:space="preserve">. The area that surrounds the temple is “ </w:t>
      </w:r>
      <w:r w:rsidRPr="0034589B">
        <w:t>thickly covered with trees of every kind, not only such as bear fruit, but those also which possess the power of pleasing the eye</w:t>
      </w:r>
      <w:r>
        <w:t>.”</w:t>
      </w:r>
      <w:r>
        <w:rPr>
          <w:rStyle w:val="FootnoteReference"/>
        </w:rPr>
        <w:footnoteReference w:id="3"/>
      </w:r>
      <w:r>
        <w:t xml:space="preserve"> This gives us an indication into what the Greeks believed that the gods would like, akin to a garden of </w:t>
      </w:r>
      <w:r w:rsidR="00234284">
        <w:t>Eden</w:t>
      </w:r>
      <w:r>
        <w:t xml:space="preserve">, far away from </w:t>
      </w:r>
      <w:r w:rsidR="00234284">
        <w:t>civilisation</w:t>
      </w:r>
      <w:r>
        <w:t>, where the gods can visit and see the perfect world that they have created.</w:t>
      </w:r>
    </w:p>
    <w:p w:rsidR="006B21EF" w:rsidRDefault="00A472A1" w:rsidP="00565D6C">
      <w:pPr>
        <w:spacing w:line="360" w:lineRule="auto"/>
      </w:pPr>
      <w:r>
        <w:lastRenderedPageBreak/>
        <w:t xml:space="preserve">In Panchaea, there exists a caste system, where priests are placed above all others. This reinforces the adoration of the gods because only those that serve the gods are at the top of the hierarchy. </w:t>
      </w:r>
      <w:r w:rsidR="00B77B03">
        <w:t>Euhemeros</w:t>
      </w:r>
      <w:r>
        <w:t xml:space="preserve"> gives a lot of detail to the spring that gives life to the island and irrigates all the crops that allow the people to sustain themselves and gives the many plants that decorate the area around the temple life. The spring of sweet water is almost held in reverence, akin to the gods themselves. Only the priests are allowed to go </w:t>
      </w:r>
      <w:r w:rsidR="003E6481">
        <w:t>near</w:t>
      </w:r>
      <w:bookmarkStart w:id="0" w:name="_GoBack"/>
      <w:bookmarkEnd w:id="0"/>
      <w:r>
        <w:t xml:space="preserve"> the spring, and the rest of the inhabitants of the island must remain behind a designated area. This indicates that the Greeks believed that  an ideal society is one in which the sources of life, the water and by extension, the control of the population, are controlled by a select number of people chosen by the gods themselves. Of course, this would not be sustainable in a real society, for even in the greatest, kindest society, there will surely be at least one person, if not many who wish to do harm.   </w:t>
      </w:r>
    </w:p>
    <w:p w:rsidR="00171EF1" w:rsidRDefault="00C62D8E" w:rsidP="00565D6C">
      <w:pPr>
        <w:spacing w:line="360" w:lineRule="auto"/>
      </w:pPr>
      <w:r>
        <w:t>In Iambulos’ work, there is a description of the people of the Island of the Sun. The description shows qualities that are both masculine and feminine, that a man should possess. The men on the Island of the Sun are “exceedingly tender in respect to their bodies.” However, they possess great strength, as indicated by this passage: “when they have seized any object in their hands no man can extract it from the grasp of their fingers.”</w:t>
      </w:r>
      <w:r w:rsidR="0026167A">
        <w:t xml:space="preserve"> The bodies of the men had no hair below the </w:t>
      </w:r>
      <w:r w:rsidR="00171EF1">
        <w:t>neckline and</w:t>
      </w:r>
      <w:r w:rsidR="0026167A">
        <w:t xml:space="preserve"> are remarkably beautiful and well proportioned.</w:t>
      </w:r>
      <w:r w:rsidR="0026167A">
        <w:rPr>
          <w:rStyle w:val="FootnoteReference"/>
        </w:rPr>
        <w:footnoteReference w:id="4"/>
      </w:r>
      <w:r w:rsidR="0026167A">
        <w:t xml:space="preserve"> One only needs to look at a handful of sculptures from the period to understand that these descriptions conform with what was thought of as the ideal male body, as shown in Polykleitos’ Doryphoros, circa 440 B.C.</w:t>
      </w:r>
      <w:r w:rsidR="00171EF1">
        <w:t xml:space="preserve"> It is odd</w:t>
      </w:r>
      <w:r w:rsidR="00A771F5">
        <w:t>,</w:t>
      </w:r>
      <w:r w:rsidR="00171EF1">
        <w:t xml:space="preserve"> however, that those members of society who would have the largest muscles and be the strongest, the soldiers and the farmers, were lower on the caste system.  </w:t>
      </w:r>
    </w:p>
    <w:p w:rsidR="00EA523C" w:rsidRDefault="00EA523C" w:rsidP="00565D6C">
      <w:pPr>
        <w:spacing w:line="360" w:lineRule="auto"/>
      </w:pPr>
      <w:r>
        <w:t xml:space="preserve">One interesting point that Iambulos </w:t>
      </w:r>
      <w:r w:rsidR="00240046">
        <w:t>makes is</w:t>
      </w:r>
      <w:r>
        <w:t xml:space="preserve"> that the people</w:t>
      </w:r>
      <w:r w:rsidR="00240046">
        <w:t xml:space="preserve"> “</w:t>
      </w:r>
      <w:r w:rsidR="00240046" w:rsidRPr="00240046">
        <w:t>live in groups which are based on kinship and on political organizations</w:t>
      </w:r>
      <w:r w:rsidR="00240046">
        <w:t>.”</w:t>
      </w:r>
      <w:r w:rsidR="00240046">
        <w:rPr>
          <w:rStyle w:val="FootnoteReference"/>
        </w:rPr>
        <w:footnoteReference w:id="5"/>
      </w:r>
      <w:r w:rsidR="006565B1">
        <w:t xml:space="preserve"> The reason this is of interest is that there was a lot of political groups in Ancient Greece, and the political system was full of corruption and criticism. Such critics include Thucydides and Aristophanes, who said that “the demos could be too easily swayed by a good orator or popular leaders … and get carried away with their emotions</w:t>
      </w:r>
      <w:r w:rsidR="00457177">
        <w:t>.</w:t>
      </w:r>
      <w:r w:rsidR="006565B1">
        <w:t>”</w:t>
      </w:r>
      <w:r w:rsidR="006565B1">
        <w:rPr>
          <w:rStyle w:val="FootnoteReference"/>
        </w:rPr>
        <w:footnoteReference w:id="6"/>
      </w:r>
      <w:r w:rsidR="00457177">
        <w:t xml:space="preserve"> To combat the many political groups, Iambulos gives us the political system of the Island of the Sun, in which the political groups band together and don’t like with any other political groups. A leader would be elected from the group, and when they died, the next oldest would be elected. This shows us an insight into the Greek’s notions of an ideal society.  </w:t>
      </w:r>
    </w:p>
    <w:p w:rsidR="00457177" w:rsidRDefault="003D32EF" w:rsidP="00565D6C">
      <w:pPr>
        <w:spacing w:line="360" w:lineRule="auto"/>
      </w:pPr>
      <w:r>
        <w:lastRenderedPageBreak/>
        <w:t>Regarding</w:t>
      </w:r>
      <w:r w:rsidR="00457177">
        <w:t xml:space="preserve"> the system by which the leaders of each tribe </w:t>
      </w:r>
      <w:r w:rsidR="00796CBE">
        <w:t>were</w:t>
      </w:r>
      <w:r w:rsidR="00457177">
        <w:t xml:space="preserve"> elected (i.e. when the leader dies, the next oldest takes over), ties in nicely with the notions of old age in a Greek’s ideal society. Iambulos states that “</w:t>
      </w:r>
      <w:r w:rsidR="00FE60E1" w:rsidRPr="00FE60E1">
        <w:t>there is also a law among them that they should live only for a stipulated number of years, and that at the completion of this period they should make away with themselves of their own accord</w:t>
      </w:r>
      <w:r w:rsidR="00FE60E1">
        <w:t>.”</w:t>
      </w:r>
      <w:r w:rsidR="00FE60E1">
        <w:rPr>
          <w:rStyle w:val="FootnoteReference"/>
        </w:rPr>
        <w:footnoteReference w:id="7"/>
      </w:r>
      <w:r w:rsidR="00FE60E1">
        <w:t xml:space="preserve"> While archaic to us, whoever wrote these rules for the island’s population clearly intended for the</w:t>
      </w:r>
      <w:r w:rsidR="00796CBE">
        <w:t>re</w:t>
      </w:r>
      <w:r w:rsidR="00FE60E1">
        <w:t xml:space="preserve"> to be a lack of an elderly, aged population. The </w:t>
      </w:r>
      <w:r w:rsidR="00796CBE">
        <w:t>age must have been decided to be before they got too old to be of use to the community.</w:t>
      </w:r>
      <w:r w:rsidR="007D3C6B">
        <w:t xml:space="preserve"> This notion is also reflected in the way that “</w:t>
      </w:r>
      <w:r w:rsidR="007D3C6B">
        <w:t>Anyone also among them who has become crippled or suffers, in general, from any physical infirmity is forced by them, in accordance with an inexorable law, to remove himself from life</w:t>
      </w:r>
      <w:r w:rsidR="007D3C6B">
        <w:t>.”</w:t>
      </w:r>
      <w:r w:rsidR="007D3C6B">
        <w:rPr>
          <w:rStyle w:val="FootnoteReference"/>
        </w:rPr>
        <w:footnoteReference w:id="8"/>
      </w:r>
      <w:r w:rsidR="007D3C6B">
        <w:t xml:space="preserve"> </w:t>
      </w:r>
      <w:r w:rsidR="000604A9">
        <w:t>Perhaps the notion of an ideal Greek society was that in which every member of society was useful, and those who weren’t should remove themselves, before they either infect someone else with a disease or cause</w:t>
      </w:r>
      <w:r w:rsidR="00A771F5">
        <w:t xml:space="preserve"> an</w:t>
      </w:r>
      <w:r w:rsidR="000604A9">
        <w:t xml:space="preserve"> unnecessary burden to others around them. </w:t>
      </w:r>
    </w:p>
    <w:p w:rsidR="00495C0B" w:rsidRDefault="00103A82" w:rsidP="00565D6C">
      <w:pPr>
        <w:spacing w:line="360" w:lineRule="auto"/>
      </w:pPr>
      <w:r>
        <w:t>On Panchaea, in contrast to the Island of the Sun, there are no tribes, but instead</w:t>
      </w:r>
      <w:r w:rsidR="00BE4D7C">
        <w:t>,</w:t>
      </w:r>
      <w:r>
        <w:t xml:space="preserve"> a tribunal of three magistrates are elected each year. In the cast</w:t>
      </w:r>
      <w:r w:rsidR="0008535B">
        <w:t>e</w:t>
      </w:r>
      <w:r>
        <w:t xml:space="preserve"> system and hierarchy of Panchaea, the magistrates fall below the priests, showing that religion has precedence over the law. The magistrates do not possess the power to judge over capital crimes, which are sent to the priests. This is suggesting that in an ideal Greek society, perhaps the gods would take a higher position</w:t>
      </w:r>
      <w:r w:rsidR="00A453DF">
        <w:t>,</w:t>
      </w:r>
      <w:r>
        <w:t xml:space="preserve"> </w:t>
      </w:r>
      <w:r w:rsidR="00A453DF">
        <w:t>regarding</w:t>
      </w:r>
      <w:r>
        <w:t xml:space="preserve"> judgement</w:t>
      </w:r>
      <w:r w:rsidR="00A453DF">
        <w:t>,</w:t>
      </w:r>
      <w:r>
        <w:t xml:space="preserve"> </w:t>
      </w:r>
      <w:r w:rsidR="00495C0B">
        <w:t>than the law.</w:t>
      </w:r>
    </w:p>
    <w:p w:rsidR="002130E7" w:rsidRDefault="00A771F5" w:rsidP="00565D6C">
      <w:pPr>
        <w:spacing w:line="360" w:lineRule="auto"/>
      </w:pPr>
      <w:r>
        <w:t>G</w:t>
      </w:r>
      <w:r w:rsidR="002130E7">
        <w:t>reat importance is placed on learning, by both writers. On Panchaea, the emphasis is on learning how to be better at your job, and the encouraging of competition as a method of improving oneself. Euhemeros states “</w:t>
      </w:r>
      <w:r w:rsidR="002130E7" w:rsidRPr="002130E7">
        <w:t>the man among them who is thought to have practised the best farming receives a special reward when the fruits are portioned out</w:t>
      </w:r>
      <w:r w:rsidR="002130E7">
        <w:t xml:space="preserve"> … this being done in order to spur on the rest.”</w:t>
      </w:r>
      <w:r w:rsidR="002130E7">
        <w:rPr>
          <w:rStyle w:val="FootnoteReference"/>
        </w:rPr>
        <w:footnoteReference w:id="9"/>
      </w:r>
      <w:r w:rsidR="002130E7">
        <w:t xml:space="preserve"> </w:t>
      </w:r>
      <w:r w:rsidR="004C0C6F">
        <w:t>The competition is designed to encourage farmers to improve their work, which would require learning new techniques. Iambulos states “</w:t>
      </w:r>
      <w:r w:rsidR="00903DD3" w:rsidRPr="00903DD3">
        <w:t>the inhabitants give attention to every branch of learning and especially to astrology</w:t>
      </w:r>
      <w:r w:rsidR="00903DD3">
        <w:t>.”</w:t>
      </w:r>
      <w:r w:rsidR="00903DD3">
        <w:rPr>
          <w:rStyle w:val="FootnoteReference"/>
        </w:rPr>
        <w:footnoteReference w:id="10"/>
      </w:r>
      <w:r w:rsidR="00E3776A">
        <w:t xml:space="preserve"> This shows us that in a Greek’s ideal world, learning would have a large emphasis place</w:t>
      </w:r>
      <w:r w:rsidR="0008535B">
        <w:t>d</w:t>
      </w:r>
      <w:r w:rsidR="00E3776A">
        <w:t xml:space="preserve"> upon it. </w:t>
      </w:r>
    </w:p>
    <w:p w:rsidR="00103A82" w:rsidRDefault="00E07D54" w:rsidP="00565D6C">
      <w:pPr>
        <w:spacing w:line="360" w:lineRule="auto"/>
      </w:pPr>
      <w:r>
        <w:t xml:space="preserve">In criticism of </w:t>
      </w:r>
      <w:r w:rsidR="00B77B03">
        <w:t>Euhemeros</w:t>
      </w:r>
      <w:r>
        <w:t xml:space="preserve">, Marek </w:t>
      </w:r>
      <w:proofErr w:type="spellStart"/>
      <w:r>
        <w:t>Winiarczyk</w:t>
      </w:r>
      <w:proofErr w:type="spellEnd"/>
      <w:r>
        <w:t xml:space="preserve"> states “Let us add that the author [</w:t>
      </w:r>
      <w:r w:rsidR="00B77B03">
        <w:t>Euhemeros</w:t>
      </w:r>
      <w:r>
        <w:t xml:space="preserve">]  was most probably not even a philosopher but only a philosophising writer.” </w:t>
      </w:r>
      <w:r w:rsidR="00B77B03">
        <w:t>And that “some modern scholars believed that Euhemeros was an atheist.”</w:t>
      </w:r>
      <w:r w:rsidR="00B77B03">
        <w:rPr>
          <w:rStyle w:val="FootnoteReference"/>
        </w:rPr>
        <w:footnoteReference w:id="11"/>
      </w:r>
      <w:r w:rsidR="005716E5">
        <w:t xml:space="preserve"> </w:t>
      </w:r>
      <w:r w:rsidR="00AA38C1">
        <w:t xml:space="preserve">From this criticism, questions begin to arise </w:t>
      </w:r>
      <w:r w:rsidR="00AA38C1">
        <w:lastRenderedPageBreak/>
        <w:t>about the intended meaning of his writing. It can be argued that by giving a description of such a large temple, so far away from a city, surrounded by unachievable lands that spring forth from a hole in the ground that is guarded by priests, he is attempting to criticise how much importance is put on the temples of his own world and time. As modern scholars suggest: “His work was intended to  destroy belief in the Olympian gods.”</w:t>
      </w:r>
      <w:r w:rsidR="00AA38C1">
        <w:rPr>
          <w:rStyle w:val="FootnoteReference"/>
        </w:rPr>
        <w:footnoteReference w:id="12"/>
      </w:r>
      <w:r w:rsidR="00AA38C1">
        <w:t xml:space="preserve"> </w:t>
      </w:r>
    </w:p>
    <w:p w:rsidR="00333890" w:rsidRDefault="00333890" w:rsidP="00565D6C">
      <w:pPr>
        <w:spacing w:line="360" w:lineRule="auto"/>
        <w:rPr>
          <w:bCs/>
        </w:rPr>
      </w:pPr>
      <w:r>
        <w:t>In criticism of Iambulos, Tarn suggests that “Iambulos’ work is a patchwork of ideas typical for Hellenistic age (true or quasi-scientific details, speculation on the ideal state, travel story, romance, desire for the simple life.”</w:t>
      </w:r>
      <w:r w:rsidR="00F548F3">
        <w:rPr>
          <w:rStyle w:val="FootnoteReference"/>
        </w:rPr>
        <w:footnoteReference w:id="13"/>
      </w:r>
      <w:r w:rsidR="00662301">
        <w:t xml:space="preserve"> This then, gives us the criticism that perhaps Iambulos wasn’t writing </w:t>
      </w:r>
      <w:r w:rsidR="00117426">
        <w:t xml:space="preserve">a socio-political statement, but instead as a work of entertainment, akin to </w:t>
      </w:r>
      <w:proofErr w:type="spellStart"/>
      <w:r w:rsidR="00117426">
        <w:t>Ctesias</w:t>
      </w:r>
      <w:proofErr w:type="spellEnd"/>
      <w:r w:rsidR="00117426">
        <w:t>, or Lucian, and indeed Lucian does state that Iambulos “</w:t>
      </w:r>
      <w:r w:rsidR="00117426" w:rsidRPr="00117426">
        <w:rPr>
          <w:bCs/>
        </w:rPr>
        <w:t>wrote much that was incredible about the lands in the great sea, but though obviously fabulous, it was not an unpleasing story.</w:t>
      </w:r>
      <w:r w:rsidR="00117426">
        <w:rPr>
          <w:bCs/>
        </w:rPr>
        <w:t>”</w:t>
      </w:r>
      <w:r w:rsidR="00117426">
        <w:rPr>
          <w:rStyle w:val="FootnoteReference"/>
          <w:bCs/>
        </w:rPr>
        <w:footnoteReference w:id="14"/>
      </w:r>
      <w:r w:rsidR="00117426">
        <w:rPr>
          <w:bCs/>
        </w:rPr>
        <w:t xml:space="preserve"> However, if we take Tarn’s criticism that Iambulos’ work was written with speculation on the ideal state in mind, then it is not impossible that his ideas could be representative of the general Greek population’s notions of an ideal society. </w:t>
      </w:r>
    </w:p>
    <w:p w:rsidR="0036500C" w:rsidRDefault="0036500C" w:rsidP="00565D6C">
      <w:pPr>
        <w:spacing w:line="360" w:lineRule="auto"/>
      </w:pPr>
      <w:r>
        <w:t xml:space="preserve">There is one criticism that can be made of bother Iambulos’ </w:t>
      </w:r>
      <w:r>
        <w:rPr>
          <w:i/>
        </w:rPr>
        <w:t>Island of the Sun</w:t>
      </w:r>
      <w:r>
        <w:t xml:space="preserve"> and Euhemeros’ </w:t>
      </w:r>
      <w:r>
        <w:rPr>
          <w:i/>
        </w:rPr>
        <w:t xml:space="preserve">Island of Panchaea, </w:t>
      </w:r>
      <w:r>
        <w:t xml:space="preserve">and that is that they do not represent the thoughts of the entire Greek population. And as such, we cannot assume that these beliefs were held by </w:t>
      </w:r>
      <w:proofErr w:type="gramStart"/>
      <w:r>
        <w:t>the majority of</w:t>
      </w:r>
      <w:proofErr w:type="gramEnd"/>
      <w:r>
        <w:t xml:space="preserve"> the population. Indeed, it would be inherently unwise to assume so. These two accounts represent only the views of Iambulos and Euhemeros. It is also worth noting that the island</w:t>
      </w:r>
      <w:r w:rsidR="00A771F5">
        <w:t>s</w:t>
      </w:r>
      <w:r>
        <w:t xml:space="preserve"> are complete fiction, much like Utopia in More’s </w:t>
      </w:r>
      <w:r>
        <w:rPr>
          <w:i/>
        </w:rPr>
        <w:t>Utopia</w:t>
      </w:r>
      <w:r>
        <w:t xml:space="preserve">, </w:t>
      </w:r>
      <w:r w:rsidR="00D35FF1">
        <w:t>it</w:t>
      </w:r>
      <w:r>
        <w:t xml:space="preserve"> can be assumed that Iambulos and Euhemeros wrote these books as a socio-political criticism of their world; and that they were written to encourage those who read them to really think about the things that the population were unhappy about, and perhaps even to encourage change to</w:t>
      </w:r>
      <w:r w:rsidR="003B79B6">
        <w:t xml:space="preserve"> happen.</w:t>
      </w:r>
    </w:p>
    <w:p w:rsidR="006868C2" w:rsidRDefault="006868C2" w:rsidP="0036500C"/>
    <w:p w:rsidR="009B0C9A" w:rsidRDefault="009B0C9A" w:rsidP="0036500C"/>
    <w:p w:rsidR="00565D6C" w:rsidRDefault="00565D6C" w:rsidP="0036500C"/>
    <w:p w:rsidR="00565D6C" w:rsidRDefault="00565D6C" w:rsidP="0036500C"/>
    <w:p w:rsidR="009B0C9A" w:rsidRDefault="009B0C9A" w:rsidP="0036500C"/>
    <w:p w:rsidR="009B0C9A" w:rsidRDefault="009B0C9A" w:rsidP="0036500C"/>
    <w:p w:rsidR="009B0C9A" w:rsidRPr="009B0C9A" w:rsidRDefault="009B0C9A" w:rsidP="009B0C9A">
      <w:pPr>
        <w:jc w:val="center"/>
        <w:rPr>
          <w:u w:val="single"/>
        </w:rPr>
      </w:pPr>
      <w:r w:rsidRPr="009B0C9A">
        <w:rPr>
          <w:u w:val="single"/>
        </w:rPr>
        <w:lastRenderedPageBreak/>
        <w:t>Bibliography</w:t>
      </w:r>
    </w:p>
    <w:p w:rsidR="00A72C93" w:rsidRDefault="00A72C93" w:rsidP="009B0C9A">
      <w:pPr>
        <w:rPr>
          <w:rFonts w:ascii="Arial" w:hAnsi="Arial" w:cs="Arial"/>
          <w:color w:val="000000"/>
          <w:sz w:val="20"/>
          <w:szCs w:val="20"/>
          <w:shd w:val="clear" w:color="auto" w:fill="FFFFFF"/>
        </w:rPr>
      </w:pPr>
      <w:r>
        <w:rPr>
          <w:rFonts w:ascii="Arial" w:hAnsi="Arial" w:cs="Arial"/>
          <w:color w:val="000000"/>
          <w:sz w:val="20"/>
          <w:szCs w:val="20"/>
          <w:shd w:val="clear" w:color="auto" w:fill="FFFFFF"/>
        </w:rPr>
        <w:t>Cartwright, Mark, "Ancient Greek Government", </w:t>
      </w:r>
      <w:r>
        <w:rPr>
          <w:rFonts w:ascii="Arial" w:hAnsi="Arial" w:cs="Arial"/>
          <w:i/>
          <w:iCs/>
          <w:color w:val="000000"/>
          <w:sz w:val="20"/>
          <w:szCs w:val="20"/>
          <w:shd w:val="clear" w:color="auto" w:fill="FFFFFF"/>
        </w:rPr>
        <w:t xml:space="preserve">Ancient History </w:t>
      </w:r>
      <w:proofErr w:type="spellStart"/>
      <w:r>
        <w:rPr>
          <w:rFonts w:ascii="Arial" w:hAnsi="Arial" w:cs="Arial"/>
          <w:i/>
          <w:iCs/>
          <w:color w:val="000000"/>
          <w:sz w:val="20"/>
          <w:szCs w:val="20"/>
          <w:shd w:val="clear" w:color="auto" w:fill="FFFFFF"/>
        </w:rPr>
        <w:t>Encyclopedia</w:t>
      </w:r>
      <w:proofErr w:type="spellEnd"/>
      <w:r>
        <w:rPr>
          <w:rFonts w:ascii="Arial" w:hAnsi="Arial" w:cs="Arial"/>
          <w:color w:val="000000"/>
          <w:sz w:val="20"/>
          <w:szCs w:val="20"/>
          <w:shd w:val="clear" w:color="auto" w:fill="FFFFFF"/>
        </w:rPr>
        <w:t>, 2018 &lt;https://www.ancient.eu/Greek_Government/&gt; [Accessed 20 December 2018]</w:t>
      </w:r>
    </w:p>
    <w:p w:rsidR="00A72C93" w:rsidRDefault="00A72C93" w:rsidP="009B0C9A">
      <w:pPr>
        <w:rPr>
          <w:rFonts w:ascii="Arial" w:hAnsi="Arial" w:cs="Arial"/>
          <w:color w:val="000000"/>
          <w:sz w:val="20"/>
          <w:szCs w:val="20"/>
          <w:shd w:val="clear" w:color="auto" w:fill="FFFFFF"/>
        </w:rPr>
      </w:pPr>
      <w:r>
        <w:rPr>
          <w:rFonts w:ascii="Arial" w:hAnsi="Arial" w:cs="Arial"/>
          <w:color w:val="000000"/>
          <w:sz w:val="20"/>
          <w:szCs w:val="20"/>
          <w:shd w:val="clear" w:color="auto" w:fill="FFFFFF"/>
        </w:rPr>
        <w:t>Siculus, Diodorus, and Charles Henry Oldfather, </w:t>
      </w:r>
      <w:r>
        <w:rPr>
          <w:rFonts w:ascii="Arial" w:hAnsi="Arial" w:cs="Arial"/>
          <w:i/>
          <w:iCs/>
          <w:color w:val="000000"/>
          <w:sz w:val="20"/>
          <w:szCs w:val="20"/>
          <w:shd w:val="clear" w:color="auto" w:fill="FFFFFF"/>
        </w:rPr>
        <w:t>Diodorus Of Sicily In Twelve Volumes: Books II (Continued) 35-IV, 58</w:t>
      </w:r>
      <w:r>
        <w:rPr>
          <w:rFonts w:ascii="Arial" w:hAnsi="Arial" w:cs="Arial"/>
          <w:color w:val="000000"/>
          <w:sz w:val="20"/>
          <w:szCs w:val="20"/>
          <w:shd w:val="clear" w:color="auto" w:fill="FFFFFF"/>
        </w:rPr>
        <w:t> (London: Harvard University Press, 1967), pp. 77-79</w:t>
      </w:r>
    </w:p>
    <w:p w:rsidR="00A72C93" w:rsidRDefault="00A72C93" w:rsidP="009B0C9A">
      <w:pPr>
        <w:rPr>
          <w:rFonts w:ascii="Arial" w:hAnsi="Arial" w:cs="Arial"/>
          <w:color w:val="000000"/>
          <w:sz w:val="20"/>
          <w:szCs w:val="20"/>
          <w:shd w:val="clear" w:color="auto" w:fill="FFFFFF"/>
        </w:rPr>
      </w:pPr>
      <w:r>
        <w:rPr>
          <w:rFonts w:ascii="Arial" w:hAnsi="Arial" w:cs="Arial"/>
          <w:color w:val="000000"/>
          <w:sz w:val="20"/>
          <w:szCs w:val="20"/>
          <w:shd w:val="clear" w:color="auto" w:fill="FFFFFF"/>
        </w:rPr>
        <w:t>Siculus, Diodorus, and Charles Henry Oldfather, </w:t>
      </w:r>
      <w:r>
        <w:rPr>
          <w:rFonts w:ascii="Arial" w:hAnsi="Arial" w:cs="Arial"/>
          <w:i/>
          <w:iCs/>
          <w:color w:val="000000"/>
          <w:sz w:val="20"/>
          <w:szCs w:val="20"/>
          <w:shd w:val="clear" w:color="auto" w:fill="FFFFFF"/>
        </w:rPr>
        <w:t xml:space="preserve">Library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History (Books III - VIII)</w:t>
      </w:r>
      <w:r>
        <w:rPr>
          <w:rFonts w:ascii="Arial" w:hAnsi="Arial" w:cs="Arial"/>
          <w:color w:val="000000"/>
          <w:sz w:val="20"/>
          <w:szCs w:val="20"/>
          <w:shd w:val="clear" w:color="auto" w:fill="FFFFFF"/>
        </w:rPr>
        <w:t>(London: Harvard University Press, 1935)</w:t>
      </w:r>
    </w:p>
    <w:p w:rsidR="00A72C93" w:rsidRDefault="00A72C93" w:rsidP="009B0C9A">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Winiarczyk</w:t>
      </w:r>
      <w:proofErr w:type="spellEnd"/>
      <w:r>
        <w:rPr>
          <w:rFonts w:ascii="Arial" w:hAnsi="Arial" w:cs="Arial"/>
          <w:color w:val="000000"/>
          <w:sz w:val="20"/>
          <w:szCs w:val="20"/>
          <w:shd w:val="clear" w:color="auto" w:fill="FFFFFF"/>
        </w:rPr>
        <w:t>, Marek, </w:t>
      </w:r>
      <w:r>
        <w:rPr>
          <w:rFonts w:ascii="Arial" w:hAnsi="Arial" w:cs="Arial"/>
          <w:i/>
          <w:iCs/>
          <w:color w:val="000000"/>
          <w:sz w:val="20"/>
          <w:szCs w:val="20"/>
          <w:shd w:val="clear" w:color="auto" w:fill="FFFFFF"/>
        </w:rPr>
        <w:t xml:space="preserve">The "Sacred History" Of </w:t>
      </w:r>
      <w:proofErr w:type="spellStart"/>
      <w:r>
        <w:rPr>
          <w:rFonts w:ascii="Arial" w:hAnsi="Arial" w:cs="Arial"/>
          <w:i/>
          <w:iCs/>
          <w:color w:val="000000"/>
          <w:sz w:val="20"/>
          <w:szCs w:val="20"/>
          <w:shd w:val="clear" w:color="auto" w:fill="FFFFFF"/>
        </w:rPr>
        <w:t>Euhemerus</w:t>
      </w:r>
      <w:proofErr w:type="spellEnd"/>
      <w:r>
        <w:rPr>
          <w:rFonts w:ascii="Arial" w:hAnsi="Arial" w:cs="Arial"/>
          <w:i/>
          <w:iCs/>
          <w:color w:val="000000"/>
          <w:sz w:val="20"/>
          <w:szCs w:val="20"/>
          <w:shd w:val="clear" w:color="auto" w:fill="FFFFFF"/>
        </w:rPr>
        <w:t xml:space="preserve"> Of Messene</w:t>
      </w:r>
      <w:r>
        <w:rPr>
          <w:rFonts w:ascii="Arial" w:hAnsi="Arial" w:cs="Arial"/>
          <w:color w:val="000000"/>
          <w:sz w:val="20"/>
          <w:szCs w:val="20"/>
          <w:shd w:val="clear" w:color="auto" w:fill="FFFFFF"/>
        </w:rPr>
        <w:t> (Berlin: De Gruyter, 2013)</w:t>
      </w:r>
    </w:p>
    <w:p w:rsidR="0036500C" w:rsidRPr="00E07D54" w:rsidRDefault="00A72C93">
      <w:r>
        <w:rPr>
          <w:rFonts w:ascii="Arial" w:hAnsi="Arial" w:cs="Arial"/>
          <w:color w:val="000000"/>
          <w:sz w:val="20"/>
          <w:szCs w:val="20"/>
          <w:shd w:val="clear" w:color="auto" w:fill="FFFFFF"/>
        </w:rPr>
        <w:t>Winston, David, "</w:t>
      </w:r>
      <w:proofErr w:type="spellStart"/>
      <w:r>
        <w:rPr>
          <w:rFonts w:ascii="Arial" w:hAnsi="Arial" w:cs="Arial"/>
          <w:color w:val="000000"/>
          <w:sz w:val="20"/>
          <w:szCs w:val="20"/>
          <w:shd w:val="clear" w:color="auto" w:fill="FFFFFF"/>
        </w:rPr>
        <w:t>Iambulus</w:t>
      </w:r>
      <w:proofErr w:type="spellEnd"/>
      <w:r>
        <w:rPr>
          <w:rFonts w:ascii="Arial" w:hAnsi="Arial" w:cs="Arial"/>
          <w:color w:val="000000"/>
          <w:sz w:val="20"/>
          <w:szCs w:val="20"/>
          <w:shd w:val="clear" w:color="auto" w:fill="FFFFFF"/>
        </w:rPr>
        <w:t xml:space="preserve">’ Islands </w:t>
      </w:r>
      <w:proofErr w:type="gramStart"/>
      <w:r>
        <w:rPr>
          <w:rFonts w:ascii="Arial" w:hAnsi="Arial" w:cs="Arial"/>
          <w:color w:val="000000"/>
          <w:sz w:val="20"/>
          <w:szCs w:val="20"/>
          <w:shd w:val="clear" w:color="auto" w:fill="FFFFFF"/>
        </w:rPr>
        <w:t>Of</w:t>
      </w:r>
      <w:proofErr w:type="gramEnd"/>
      <w:r>
        <w:rPr>
          <w:rFonts w:ascii="Arial" w:hAnsi="Arial" w:cs="Arial"/>
          <w:color w:val="000000"/>
          <w:sz w:val="20"/>
          <w:szCs w:val="20"/>
          <w:shd w:val="clear" w:color="auto" w:fill="FFFFFF"/>
        </w:rPr>
        <w:t xml:space="preserve"> The Sun And </w:t>
      </w:r>
      <w:proofErr w:type="spellStart"/>
      <w:r>
        <w:rPr>
          <w:rFonts w:ascii="Arial" w:hAnsi="Arial" w:cs="Arial"/>
          <w:color w:val="000000"/>
          <w:sz w:val="20"/>
          <w:szCs w:val="20"/>
          <w:shd w:val="clear" w:color="auto" w:fill="FFFFFF"/>
        </w:rPr>
        <w:t>Hellenisticliterary</w:t>
      </w:r>
      <w:proofErr w:type="spellEnd"/>
      <w:r>
        <w:rPr>
          <w:rFonts w:ascii="Arial" w:hAnsi="Arial" w:cs="Arial"/>
          <w:color w:val="000000"/>
          <w:sz w:val="20"/>
          <w:szCs w:val="20"/>
          <w:shd w:val="clear" w:color="auto" w:fill="FFFFFF"/>
        </w:rPr>
        <w:t xml:space="preserve"> Utopias", </w:t>
      </w:r>
      <w:r>
        <w:rPr>
          <w:rFonts w:ascii="Arial" w:hAnsi="Arial" w:cs="Arial"/>
          <w:i/>
          <w:iCs/>
          <w:color w:val="000000"/>
          <w:sz w:val="20"/>
          <w:szCs w:val="20"/>
          <w:shd w:val="clear" w:color="auto" w:fill="FFFFFF"/>
        </w:rPr>
        <w:t>Science Fiction Studies</w:t>
      </w:r>
      <w:r>
        <w:rPr>
          <w:rFonts w:ascii="Arial" w:hAnsi="Arial" w:cs="Arial"/>
          <w:color w:val="000000"/>
          <w:sz w:val="20"/>
          <w:szCs w:val="20"/>
          <w:shd w:val="clear" w:color="auto" w:fill="FFFFFF"/>
        </w:rPr>
        <w:t>, 3 (2018)</w:t>
      </w:r>
    </w:p>
    <w:sectPr w:rsidR="0036500C" w:rsidRPr="00E07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1FEB" w:rsidRDefault="00BF1FEB" w:rsidP="00346AE3">
      <w:pPr>
        <w:spacing w:after="0" w:line="240" w:lineRule="auto"/>
      </w:pPr>
      <w:r>
        <w:separator/>
      </w:r>
    </w:p>
  </w:endnote>
  <w:endnote w:type="continuationSeparator" w:id="0">
    <w:p w:rsidR="00BF1FEB" w:rsidRDefault="00BF1FEB" w:rsidP="00346A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1FEB" w:rsidRDefault="00BF1FEB" w:rsidP="00346AE3">
      <w:pPr>
        <w:spacing w:after="0" w:line="240" w:lineRule="auto"/>
      </w:pPr>
      <w:r>
        <w:separator/>
      </w:r>
    </w:p>
  </w:footnote>
  <w:footnote w:type="continuationSeparator" w:id="0">
    <w:p w:rsidR="00BF1FEB" w:rsidRDefault="00BF1FEB" w:rsidP="00346AE3">
      <w:pPr>
        <w:spacing w:after="0" w:line="240" w:lineRule="auto"/>
      </w:pPr>
      <w:r>
        <w:continuationSeparator/>
      </w:r>
    </w:p>
  </w:footnote>
  <w:footnote w:id="1">
    <w:p w:rsidR="003C5ABC" w:rsidRPr="0034589B" w:rsidRDefault="003C5ABC">
      <w:pPr>
        <w:pStyle w:val="FootnoteText"/>
        <w:rPr>
          <w:rFonts w:cstheme="minorHAnsi"/>
        </w:rPr>
      </w:pPr>
      <w:r>
        <w:rPr>
          <w:rStyle w:val="FootnoteReference"/>
        </w:rPr>
        <w:footnoteRef/>
      </w:r>
      <w:r>
        <w:t xml:space="preserve"> </w:t>
      </w:r>
      <w:r w:rsidRPr="0034589B">
        <w:rPr>
          <w:rFonts w:cstheme="minorHAnsi"/>
          <w:color w:val="000000"/>
          <w:shd w:val="clear" w:color="auto" w:fill="FFFFFF"/>
        </w:rPr>
        <w:t xml:space="preserve">Diodorus </w:t>
      </w:r>
      <w:r w:rsidR="00DC7078">
        <w:rPr>
          <w:rFonts w:cstheme="minorHAnsi"/>
          <w:color w:val="000000"/>
          <w:shd w:val="clear" w:color="auto" w:fill="FFFFFF"/>
        </w:rPr>
        <w:t xml:space="preserve">Siculus </w:t>
      </w:r>
      <w:r w:rsidRPr="0034589B">
        <w:rPr>
          <w:rFonts w:cstheme="minorHAnsi"/>
          <w:color w:val="000000"/>
          <w:shd w:val="clear" w:color="auto" w:fill="FFFFFF"/>
        </w:rPr>
        <w:t>and Charles Henry Oldfather, </w:t>
      </w:r>
      <w:r w:rsidRPr="0034589B">
        <w:rPr>
          <w:rFonts w:cstheme="minorHAnsi"/>
          <w:i/>
          <w:iCs/>
          <w:color w:val="000000"/>
          <w:shd w:val="clear" w:color="auto" w:fill="FFFFFF"/>
        </w:rPr>
        <w:t>Diodorus Of Sicily In Twelve Volumes: Books II (Continued) 35-IV, 58</w:t>
      </w:r>
      <w:r w:rsidRPr="0034589B">
        <w:rPr>
          <w:rFonts w:cstheme="minorHAnsi"/>
          <w:color w:val="000000"/>
          <w:shd w:val="clear" w:color="auto" w:fill="FFFFFF"/>
        </w:rPr>
        <w:t> (London: Harvard University Press, 1967), pp. 77-79.</w:t>
      </w:r>
    </w:p>
  </w:footnote>
  <w:footnote w:id="2">
    <w:p w:rsidR="006016A8" w:rsidRDefault="006016A8" w:rsidP="006016A8">
      <w:pPr>
        <w:pStyle w:val="FootnoteText"/>
      </w:pPr>
      <w:r w:rsidRPr="0034589B">
        <w:rPr>
          <w:rStyle w:val="FootnoteReference"/>
          <w:rFonts w:cstheme="minorHAnsi"/>
        </w:rPr>
        <w:footnoteRef/>
      </w:r>
      <w:r w:rsidRPr="0034589B">
        <w:rPr>
          <w:rFonts w:cstheme="minorHAnsi"/>
        </w:rPr>
        <w:t xml:space="preserve"> </w:t>
      </w:r>
      <w:r w:rsidRPr="0034589B">
        <w:rPr>
          <w:rFonts w:cstheme="minorHAnsi"/>
          <w:color w:val="000000"/>
          <w:shd w:val="clear" w:color="auto" w:fill="FFFFFF"/>
        </w:rPr>
        <w:t>Diodorus Siculus and Charles Henry Oldfather, </w:t>
      </w:r>
      <w:r w:rsidRPr="0034589B">
        <w:rPr>
          <w:rFonts w:cstheme="minorHAnsi"/>
          <w:i/>
          <w:iCs/>
          <w:color w:val="000000"/>
          <w:shd w:val="clear" w:color="auto" w:fill="FFFFFF"/>
        </w:rPr>
        <w:t xml:space="preserve">Library </w:t>
      </w:r>
      <w:proofErr w:type="gramStart"/>
      <w:r w:rsidRPr="0034589B">
        <w:rPr>
          <w:rFonts w:cstheme="minorHAnsi"/>
          <w:i/>
          <w:iCs/>
          <w:color w:val="000000"/>
          <w:shd w:val="clear" w:color="auto" w:fill="FFFFFF"/>
        </w:rPr>
        <w:t>Of</w:t>
      </w:r>
      <w:proofErr w:type="gramEnd"/>
      <w:r w:rsidRPr="0034589B">
        <w:rPr>
          <w:rFonts w:cstheme="minorHAnsi"/>
          <w:i/>
          <w:iCs/>
          <w:color w:val="000000"/>
          <w:shd w:val="clear" w:color="auto" w:fill="FFFFFF"/>
        </w:rPr>
        <w:t xml:space="preserve"> History (Books III - VIII)</w:t>
      </w:r>
      <w:r w:rsidRPr="0034589B">
        <w:rPr>
          <w:rFonts w:cstheme="minorHAnsi"/>
          <w:color w:val="000000"/>
          <w:shd w:val="clear" w:color="auto" w:fill="FFFFFF"/>
        </w:rPr>
        <w:t> (London: Harvard University Press, 1935).</w:t>
      </w:r>
    </w:p>
  </w:footnote>
  <w:footnote w:id="3">
    <w:p w:rsidR="0034589B" w:rsidRDefault="0034589B">
      <w:pPr>
        <w:pStyle w:val="FootnoteText"/>
      </w:pPr>
      <w:r>
        <w:rPr>
          <w:rStyle w:val="FootnoteReference"/>
        </w:rPr>
        <w:footnoteRef/>
      </w:r>
      <w:r>
        <w:t xml:space="preserve"> Ibid. </w:t>
      </w:r>
    </w:p>
  </w:footnote>
  <w:footnote w:id="4">
    <w:p w:rsidR="0026167A" w:rsidRDefault="0026167A">
      <w:pPr>
        <w:pStyle w:val="FootnoteText"/>
      </w:pPr>
      <w:r>
        <w:rPr>
          <w:rStyle w:val="FootnoteReference"/>
        </w:rPr>
        <w:footnoteRef/>
      </w:r>
      <w:r>
        <w:t xml:space="preserve"> Diodorus </w:t>
      </w:r>
      <w:r w:rsidR="00DC7078">
        <w:t xml:space="preserve">Siculus </w:t>
      </w:r>
      <w:r>
        <w:t>and Charles Henry Oldfather, 1967, p. 69.</w:t>
      </w:r>
    </w:p>
  </w:footnote>
  <w:footnote w:id="5">
    <w:p w:rsidR="00240046" w:rsidRDefault="00240046">
      <w:pPr>
        <w:pStyle w:val="FootnoteText"/>
      </w:pPr>
      <w:r>
        <w:rPr>
          <w:rStyle w:val="FootnoteReference"/>
        </w:rPr>
        <w:footnoteRef/>
      </w:r>
      <w:r>
        <w:t xml:space="preserve"> Ibid, p. 71</w:t>
      </w:r>
    </w:p>
  </w:footnote>
  <w:footnote w:id="6">
    <w:p w:rsidR="006565B1" w:rsidRDefault="006565B1">
      <w:pPr>
        <w:pStyle w:val="FootnoteText"/>
      </w:pPr>
      <w:r>
        <w:rPr>
          <w:rStyle w:val="FootnoteReference"/>
        </w:rPr>
        <w:footnoteRef/>
      </w:r>
      <w:r>
        <w:t xml:space="preserve"> </w:t>
      </w:r>
      <w:r w:rsidRPr="006565B1">
        <w:t>Mark Cartwright, "Ancient Greek Government", </w:t>
      </w:r>
      <w:r w:rsidRPr="006565B1">
        <w:rPr>
          <w:i/>
          <w:iCs/>
        </w:rPr>
        <w:t xml:space="preserve">Ancient History </w:t>
      </w:r>
      <w:proofErr w:type="spellStart"/>
      <w:r w:rsidRPr="006565B1">
        <w:rPr>
          <w:i/>
          <w:iCs/>
        </w:rPr>
        <w:t>Encyclopedia</w:t>
      </w:r>
      <w:proofErr w:type="spellEnd"/>
      <w:r w:rsidRPr="006565B1">
        <w:t>, 2018 &lt;https://www.ancient.eu/Greek_Government/&gt; [Accessed 20 December 2018].</w:t>
      </w:r>
    </w:p>
  </w:footnote>
  <w:footnote w:id="7">
    <w:p w:rsidR="00FE60E1" w:rsidRDefault="00FE60E1">
      <w:pPr>
        <w:pStyle w:val="FootnoteText"/>
      </w:pPr>
      <w:r>
        <w:rPr>
          <w:rStyle w:val="FootnoteReference"/>
        </w:rPr>
        <w:footnoteRef/>
      </w:r>
      <w:r>
        <w:t xml:space="preserve"> Diodorus </w:t>
      </w:r>
      <w:r w:rsidR="00DC7078">
        <w:t xml:space="preserve">Siculus </w:t>
      </w:r>
      <w:r>
        <w:t>and Charles Henry Oldfather, 1967, pp. 73-75</w:t>
      </w:r>
      <w:r w:rsidR="007D3C6B">
        <w:t>.</w:t>
      </w:r>
    </w:p>
  </w:footnote>
  <w:footnote w:id="8">
    <w:p w:rsidR="007D3C6B" w:rsidRDefault="007D3C6B">
      <w:pPr>
        <w:pStyle w:val="FootnoteText"/>
      </w:pPr>
      <w:r>
        <w:rPr>
          <w:rStyle w:val="FootnoteReference"/>
        </w:rPr>
        <w:footnoteRef/>
      </w:r>
      <w:r>
        <w:t xml:space="preserve"> Ibid, p. 73.</w:t>
      </w:r>
    </w:p>
  </w:footnote>
  <w:footnote w:id="9">
    <w:p w:rsidR="002130E7" w:rsidRDefault="002130E7">
      <w:pPr>
        <w:pStyle w:val="FootnoteText"/>
      </w:pPr>
      <w:r>
        <w:rPr>
          <w:rStyle w:val="FootnoteReference"/>
        </w:rPr>
        <w:footnoteRef/>
      </w:r>
      <w:r>
        <w:t xml:space="preserve"> </w:t>
      </w:r>
      <w:r w:rsidR="00717331">
        <w:t>Diodorus</w:t>
      </w:r>
      <w:r w:rsidR="00903DD3">
        <w:t xml:space="preserve"> Siculus</w:t>
      </w:r>
      <w:r w:rsidR="00717331">
        <w:t xml:space="preserve"> and Charles Henry Oldfather, 1935.</w:t>
      </w:r>
    </w:p>
  </w:footnote>
  <w:footnote w:id="10">
    <w:p w:rsidR="00903DD3" w:rsidRDefault="00903DD3">
      <w:pPr>
        <w:pStyle w:val="FootnoteText"/>
      </w:pPr>
      <w:r>
        <w:rPr>
          <w:rStyle w:val="FootnoteReference"/>
        </w:rPr>
        <w:footnoteRef/>
      </w:r>
      <w:r>
        <w:t xml:space="preserve"> Diodorus Siculus and Charles Henry Oldfather</w:t>
      </w:r>
      <w:r w:rsidR="00DF0BCD">
        <w:t>, 1967, p. 73.</w:t>
      </w:r>
    </w:p>
  </w:footnote>
  <w:footnote w:id="11">
    <w:p w:rsidR="00B77B03" w:rsidRDefault="00B77B03">
      <w:pPr>
        <w:pStyle w:val="FootnoteText"/>
      </w:pPr>
      <w:r>
        <w:rPr>
          <w:rStyle w:val="FootnoteReference"/>
        </w:rPr>
        <w:footnoteRef/>
      </w:r>
      <w:r>
        <w:t xml:space="preserve"> </w:t>
      </w:r>
      <w:r w:rsidR="005716E5" w:rsidRPr="005716E5">
        <w:t xml:space="preserve">Marek </w:t>
      </w:r>
      <w:proofErr w:type="spellStart"/>
      <w:r w:rsidR="005716E5" w:rsidRPr="005716E5">
        <w:t>Winiarczyk</w:t>
      </w:r>
      <w:proofErr w:type="spellEnd"/>
      <w:r w:rsidR="005716E5" w:rsidRPr="005716E5">
        <w:t>, </w:t>
      </w:r>
      <w:r w:rsidR="005716E5" w:rsidRPr="005716E5">
        <w:rPr>
          <w:i/>
          <w:iCs/>
        </w:rPr>
        <w:t xml:space="preserve">The "Sacred History" Of </w:t>
      </w:r>
      <w:proofErr w:type="spellStart"/>
      <w:r w:rsidR="005716E5" w:rsidRPr="005716E5">
        <w:rPr>
          <w:i/>
          <w:iCs/>
        </w:rPr>
        <w:t>Euhemerus</w:t>
      </w:r>
      <w:proofErr w:type="spellEnd"/>
      <w:r w:rsidR="005716E5" w:rsidRPr="005716E5">
        <w:rPr>
          <w:i/>
          <w:iCs/>
        </w:rPr>
        <w:t xml:space="preserve"> Of Messene</w:t>
      </w:r>
      <w:r w:rsidR="005716E5" w:rsidRPr="005716E5">
        <w:t> (Berlin: De Gruyter, 2013), p. 99.</w:t>
      </w:r>
    </w:p>
  </w:footnote>
  <w:footnote w:id="12">
    <w:p w:rsidR="00AA38C1" w:rsidRDefault="00AA38C1">
      <w:pPr>
        <w:pStyle w:val="FootnoteText"/>
      </w:pPr>
      <w:r>
        <w:rPr>
          <w:rStyle w:val="FootnoteReference"/>
        </w:rPr>
        <w:footnoteRef/>
      </w:r>
      <w:r>
        <w:t xml:space="preserve"> Ibid.</w:t>
      </w:r>
    </w:p>
  </w:footnote>
  <w:footnote w:id="13">
    <w:p w:rsidR="00F548F3" w:rsidRDefault="00F548F3">
      <w:pPr>
        <w:pStyle w:val="FootnoteText"/>
      </w:pPr>
      <w:r>
        <w:rPr>
          <w:rStyle w:val="FootnoteReference"/>
        </w:rPr>
        <w:footnoteRef/>
      </w:r>
      <w:r>
        <w:t xml:space="preserve"> </w:t>
      </w:r>
      <w:r w:rsidRPr="00F548F3">
        <w:t>David Winston, "</w:t>
      </w:r>
      <w:proofErr w:type="spellStart"/>
      <w:r w:rsidRPr="00F548F3">
        <w:t>Iambulus</w:t>
      </w:r>
      <w:proofErr w:type="spellEnd"/>
      <w:r w:rsidRPr="00F548F3">
        <w:t xml:space="preserve">’ Islands </w:t>
      </w:r>
      <w:proofErr w:type="gramStart"/>
      <w:r w:rsidRPr="00F548F3">
        <w:t>Of</w:t>
      </w:r>
      <w:proofErr w:type="gramEnd"/>
      <w:r w:rsidRPr="00F548F3">
        <w:t xml:space="preserve"> The Sun And Hellenistic</w:t>
      </w:r>
      <w:r w:rsidR="0008535B">
        <w:t xml:space="preserve"> L</w:t>
      </w:r>
      <w:r w:rsidRPr="00F548F3">
        <w:t>iterary Utopias", </w:t>
      </w:r>
      <w:r w:rsidRPr="00F548F3">
        <w:rPr>
          <w:i/>
          <w:iCs/>
        </w:rPr>
        <w:t>Science Fiction Studies</w:t>
      </w:r>
      <w:r w:rsidRPr="00F548F3">
        <w:t>, 3 (2018).</w:t>
      </w:r>
    </w:p>
  </w:footnote>
  <w:footnote w:id="14">
    <w:p w:rsidR="00117426" w:rsidRDefault="00117426">
      <w:pPr>
        <w:pStyle w:val="FootnoteText"/>
      </w:pPr>
      <w:r>
        <w:rPr>
          <w:rStyle w:val="FootnoteReference"/>
        </w:rPr>
        <w:footnoteRef/>
      </w:r>
      <w:r>
        <w:t xml:space="preserve"> Ibid.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836512"/>
    <w:multiLevelType w:val="hybridMultilevel"/>
    <w:tmpl w:val="2CE6EB08"/>
    <w:lvl w:ilvl="0" w:tplc="B6B264C4">
      <w:numFmt w:val="bullet"/>
      <w:lvlText w:val="-"/>
      <w:lvlJc w:val="left"/>
      <w:pPr>
        <w:ind w:left="405" w:hanging="360"/>
      </w:pPr>
      <w:rPr>
        <w:rFonts w:ascii="Calibri" w:eastAsiaTheme="minorEastAsia" w:hAnsi="Calibri" w:cs="Calibri" w:hint="default"/>
      </w:rPr>
    </w:lvl>
    <w:lvl w:ilvl="1" w:tplc="08090003">
      <w:start w:val="1"/>
      <w:numFmt w:val="bullet"/>
      <w:lvlText w:val="o"/>
      <w:lvlJc w:val="left"/>
      <w:pPr>
        <w:ind w:left="1125" w:hanging="360"/>
      </w:pPr>
      <w:rPr>
        <w:rFonts w:ascii="Courier New" w:hAnsi="Courier New" w:cs="Courier New" w:hint="default"/>
      </w:rPr>
    </w:lvl>
    <w:lvl w:ilvl="2" w:tplc="08090005">
      <w:start w:val="1"/>
      <w:numFmt w:val="bullet"/>
      <w:lvlText w:val=""/>
      <w:lvlJc w:val="left"/>
      <w:pPr>
        <w:ind w:left="1845" w:hanging="360"/>
      </w:pPr>
      <w:rPr>
        <w:rFonts w:ascii="Wingdings" w:hAnsi="Wingdings" w:hint="default"/>
      </w:rPr>
    </w:lvl>
    <w:lvl w:ilvl="3" w:tplc="08090001">
      <w:start w:val="1"/>
      <w:numFmt w:val="bullet"/>
      <w:lvlText w:val=""/>
      <w:lvlJc w:val="left"/>
      <w:pPr>
        <w:ind w:left="2565" w:hanging="360"/>
      </w:pPr>
      <w:rPr>
        <w:rFonts w:ascii="Symbol" w:hAnsi="Symbol" w:hint="default"/>
      </w:rPr>
    </w:lvl>
    <w:lvl w:ilvl="4" w:tplc="08090003">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6B9C"/>
    <w:rsid w:val="000604A9"/>
    <w:rsid w:val="0008535B"/>
    <w:rsid w:val="000A2121"/>
    <w:rsid w:val="000E4C1A"/>
    <w:rsid w:val="00103A82"/>
    <w:rsid w:val="00113D45"/>
    <w:rsid w:val="00117426"/>
    <w:rsid w:val="00155AEC"/>
    <w:rsid w:val="00171EF1"/>
    <w:rsid w:val="001B7B78"/>
    <w:rsid w:val="001D72AB"/>
    <w:rsid w:val="0020702B"/>
    <w:rsid w:val="002130E7"/>
    <w:rsid w:val="00234284"/>
    <w:rsid w:val="00240046"/>
    <w:rsid w:val="0026167A"/>
    <w:rsid w:val="00273A1E"/>
    <w:rsid w:val="002B651D"/>
    <w:rsid w:val="002E1ABD"/>
    <w:rsid w:val="00314C5C"/>
    <w:rsid w:val="00333890"/>
    <w:rsid w:val="0034589B"/>
    <w:rsid w:val="00346AE3"/>
    <w:rsid w:val="0036500C"/>
    <w:rsid w:val="003842C2"/>
    <w:rsid w:val="003B79B6"/>
    <w:rsid w:val="003C5ABC"/>
    <w:rsid w:val="003D32EF"/>
    <w:rsid w:val="003E6481"/>
    <w:rsid w:val="00457177"/>
    <w:rsid w:val="0047264E"/>
    <w:rsid w:val="00495C0B"/>
    <w:rsid w:val="004B66D7"/>
    <w:rsid w:val="004C0C6F"/>
    <w:rsid w:val="00565D6C"/>
    <w:rsid w:val="005716E5"/>
    <w:rsid w:val="005F514B"/>
    <w:rsid w:val="006016A8"/>
    <w:rsid w:val="006565B1"/>
    <w:rsid w:val="00662301"/>
    <w:rsid w:val="006868C2"/>
    <w:rsid w:val="00692866"/>
    <w:rsid w:val="006B21EF"/>
    <w:rsid w:val="00717331"/>
    <w:rsid w:val="00796CBE"/>
    <w:rsid w:val="007D2180"/>
    <w:rsid w:val="007D3C6B"/>
    <w:rsid w:val="00844948"/>
    <w:rsid w:val="00903DD3"/>
    <w:rsid w:val="009121E4"/>
    <w:rsid w:val="009A5979"/>
    <w:rsid w:val="009B0C9A"/>
    <w:rsid w:val="009F203A"/>
    <w:rsid w:val="00A453DF"/>
    <w:rsid w:val="00A472A1"/>
    <w:rsid w:val="00A72C93"/>
    <w:rsid w:val="00A771F5"/>
    <w:rsid w:val="00A97DC1"/>
    <w:rsid w:val="00AA38C1"/>
    <w:rsid w:val="00AE78AC"/>
    <w:rsid w:val="00AF565E"/>
    <w:rsid w:val="00AF6B9C"/>
    <w:rsid w:val="00B16F26"/>
    <w:rsid w:val="00B77B03"/>
    <w:rsid w:val="00B87E20"/>
    <w:rsid w:val="00BE4D7C"/>
    <w:rsid w:val="00BF1FEB"/>
    <w:rsid w:val="00C62D8E"/>
    <w:rsid w:val="00D32732"/>
    <w:rsid w:val="00D35FF1"/>
    <w:rsid w:val="00D93394"/>
    <w:rsid w:val="00DB3CF5"/>
    <w:rsid w:val="00DC7078"/>
    <w:rsid w:val="00DF0BCD"/>
    <w:rsid w:val="00E07D54"/>
    <w:rsid w:val="00E3776A"/>
    <w:rsid w:val="00E94E05"/>
    <w:rsid w:val="00EA523C"/>
    <w:rsid w:val="00F548F3"/>
    <w:rsid w:val="00FE60E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AE42A"/>
  <w15:chartTrackingRefBased/>
  <w15:docId w15:val="{EA25A538-0AFD-4272-B17D-8E6A8564D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46A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6AE3"/>
    <w:rPr>
      <w:sz w:val="20"/>
      <w:szCs w:val="20"/>
    </w:rPr>
  </w:style>
  <w:style w:type="character" w:styleId="FootnoteReference">
    <w:name w:val="footnote reference"/>
    <w:basedOn w:val="DefaultParagraphFont"/>
    <w:uiPriority w:val="99"/>
    <w:semiHidden/>
    <w:unhideWhenUsed/>
    <w:rsid w:val="00346AE3"/>
    <w:rPr>
      <w:vertAlign w:val="superscript"/>
    </w:rPr>
  </w:style>
  <w:style w:type="paragraph" w:styleId="ListParagraph">
    <w:name w:val="List Paragraph"/>
    <w:basedOn w:val="Normal"/>
    <w:uiPriority w:val="34"/>
    <w:qFormat/>
    <w:rsid w:val="006016A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62FA15-BE88-46FF-B9EA-93701ED35A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5</Pages>
  <Words>1940</Words>
  <Characters>8967</Characters>
  <Application>Microsoft Office Word</Application>
  <DocSecurity>0</DocSecurity>
  <Lines>113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84</cp:revision>
  <dcterms:created xsi:type="dcterms:W3CDTF">2018-12-20T09:48:00Z</dcterms:created>
  <dcterms:modified xsi:type="dcterms:W3CDTF">2018-12-20T14:45:00Z</dcterms:modified>
</cp:coreProperties>
</file>