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E31823" w14:textId="77777777" w:rsidR="009C042D" w:rsidRDefault="009C042D" w:rsidP="009C042D">
      <w:pPr>
        <w:jc w:val="center"/>
        <w:rPr>
          <w:rFonts w:ascii="Times New Roman" w:hAnsi="Times New Roman" w:cs="Times New Roman"/>
        </w:rPr>
      </w:pPr>
      <w:r>
        <w:rPr>
          <w:rFonts w:ascii="Times New Roman" w:hAnsi="Times New Roman" w:cs="Times New Roman"/>
          <w:b/>
          <w:bCs/>
        </w:rPr>
        <w:t>A Critical Review of Three Primary Source Documents</w:t>
      </w:r>
    </w:p>
    <w:p w14:paraId="4521BB20" w14:textId="77777777" w:rsidR="009C042D" w:rsidRDefault="009C042D" w:rsidP="009C042D">
      <w:pPr>
        <w:jc w:val="center"/>
        <w:rPr>
          <w:rFonts w:ascii="Times New Roman" w:hAnsi="Times New Roman" w:cs="Times New Roman"/>
        </w:rPr>
      </w:pPr>
      <w:r>
        <w:rPr>
          <w:rFonts w:ascii="Times New Roman" w:hAnsi="Times New Roman" w:cs="Times New Roman"/>
        </w:rPr>
        <w:t>Word Count 1156</w:t>
      </w:r>
    </w:p>
    <w:p w14:paraId="3A148E3F" w14:textId="77777777" w:rsidR="009C042D" w:rsidRDefault="009C042D" w:rsidP="009C042D">
      <w:pPr>
        <w:rPr>
          <w:rFonts w:ascii="Times New Roman" w:hAnsi="Times New Roman" w:cs="Times New Roman"/>
        </w:rPr>
      </w:pPr>
      <w:r>
        <w:rPr>
          <w:rFonts w:ascii="Times New Roman" w:hAnsi="Times New Roman" w:cs="Times New Roman"/>
        </w:rPr>
        <w:tab/>
      </w:r>
    </w:p>
    <w:p w14:paraId="41A1D5A3" w14:textId="77777777" w:rsidR="009C042D" w:rsidRDefault="009C042D" w:rsidP="009C042D">
      <w:pPr>
        <w:rPr>
          <w:rFonts w:ascii="Times New Roman" w:hAnsi="Times New Roman" w:cs="Times New Roman"/>
          <w:kern w:val="0"/>
        </w:rPr>
      </w:pPr>
      <w:r>
        <w:rPr>
          <w:rFonts w:ascii="Times New Roman" w:hAnsi="Times New Roman" w:cs="Times New Roman"/>
          <w:kern w:val="0"/>
        </w:rPr>
        <w:tab/>
        <w:t>The</w:t>
      </w:r>
      <w:r w:rsidRPr="00B34DB4">
        <w:rPr>
          <w:rFonts w:ascii="Times New Roman" w:hAnsi="Times New Roman" w:cs="Times New Roman"/>
          <w:kern w:val="0"/>
        </w:rPr>
        <w:t xml:space="preserve"> purpose of this essay is to compare and critically review </w:t>
      </w:r>
      <w:r>
        <w:rPr>
          <w:rFonts w:ascii="Times New Roman" w:hAnsi="Times New Roman" w:cs="Times New Roman"/>
          <w:kern w:val="0"/>
        </w:rPr>
        <w:t xml:space="preserve">three </w:t>
      </w:r>
      <w:r w:rsidRPr="00B34DB4">
        <w:rPr>
          <w:rFonts w:ascii="Times New Roman" w:hAnsi="Times New Roman" w:cs="Times New Roman"/>
          <w:kern w:val="0"/>
        </w:rPr>
        <w:t xml:space="preserve">primary sources that </w:t>
      </w:r>
      <w:r w:rsidRPr="00FC1882">
        <w:rPr>
          <w:rFonts w:ascii="Times New Roman" w:hAnsi="Times New Roman" w:cs="Times New Roman"/>
          <w:kern w:val="0"/>
        </w:rPr>
        <w:t>reference</w:t>
      </w:r>
      <w:r w:rsidRPr="00E3336E">
        <w:rPr>
          <w:rFonts w:ascii="Times New Roman" w:hAnsi="Times New Roman" w:cs="Times New Roman"/>
          <w:kern w:val="0"/>
        </w:rPr>
        <w:t xml:space="preserve"> the </w:t>
      </w:r>
      <w:r>
        <w:rPr>
          <w:rFonts w:ascii="Times New Roman" w:hAnsi="Times New Roman" w:cs="Times New Roman"/>
          <w:kern w:val="0"/>
        </w:rPr>
        <w:t xml:space="preserve">Pleiades, </w:t>
      </w:r>
      <w:r w:rsidRPr="00E3336E">
        <w:rPr>
          <w:rFonts w:ascii="Times New Roman" w:hAnsi="Times New Roman" w:cs="Times New Roman"/>
          <w:kern w:val="0"/>
        </w:rPr>
        <w:t xml:space="preserve">a </w:t>
      </w:r>
      <w:r>
        <w:rPr>
          <w:rFonts w:ascii="Times New Roman" w:hAnsi="Times New Roman" w:cs="Times New Roman"/>
          <w:kern w:val="0"/>
        </w:rPr>
        <w:t>star cluster</w:t>
      </w:r>
      <w:r w:rsidRPr="00E3336E">
        <w:rPr>
          <w:rFonts w:ascii="Times New Roman" w:hAnsi="Times New Roman" w:cs="Times New Roman"/>
          <w:kern w:val="0"/>
        </w:rPr>
        <w:t xml:space="preserve"> </w:t>
      </w:r>
      <w:r w:rsidRPr="00EB3503">
        <w:rPr>
          <w:rFonts w:ascii="Times New Roman" w:hAnsi="Times New Roman" w:cs="Times New Roman"/>
          <w:kern w:val="0"/>
        </w:rPr>
        <w:t xml:space="preserve">located in the vicinity of </w:t>
      </w:r>
      <w:r>
        <w:rPr>
          <w:rFonts w:ascii="Times New Roman" w:hAnsi="Times New Roman" w:cs="Times New Roman"/>
          <w:kern w:val="0"/>
        </w:rPr>
        <w:t>the constellation Taurus</w:t>
      </w:r>
      <w:r w:rsidRPr="00AB0FAF">
        <w:rPr>
          <w:rFonts w:ascii="Times New Roman" w:hAnsi="Times New Roman" w:cs="Times New Roman"/>
          <w:kern w:val="0"/>
        </w:rPr>
        <w:t xml:space="preserve">. </w:t>
      </w:r>
      <w:r>
        <w:rPr>
          <w:rFonts w:ascii="Times New Roman" w:hAnsi="Times New Roman" w:cs="Times New Roman"/>
          <w:kern w:val="0"/>
        </w:rPr>
        <w:t xml:space="preserve">Specifically, each </w:t>
      </w:r>
      <w:r w:rsidRPr="00AB0FAF">
        <w:rPr>
          <w:rFonts w:ascii="Times New Roman" w:hAnsi="Times New Roman" w:cs="Times New Roman"/>
          <w:kern w:val="0"/>
        </w:rPr>
        <w:t xml:space="preserve">source will </w:t>
      </w:r>
      <w:r w:rsidRPr="00772289">
        <w:rPr>
          <w:rFonts w:ascii="Times New Roman" w:hAnsi="Times New Roman" w:cs="Times New Roman"/>
          <w:kern w:val="0"/>
        </w:rPr>
        <w:t>reflect</w:t>
      </w:r>
      <w:r w:rsidRPr="000C0AD4">
        <w:rPr>
          <w:rFonts w:ascii="Times New Roman" w:hAnsi="Times New Roman" w:cs="Times New Roman"/>
          <w:kern w:val="0"/>
        </w:rPr>
        <w:t xml:space="preserve"> </w:t>
      </w:r>
      <w:r>
        <w:rPr>
          <w:rFonts w:ascii="Times New Roman" w:hAnsi="Times New Roman" w:cs="Times New Roman"/>
          <w:kern w:val="0"/>
        </w:rPr>
        <w:t>the</w:t>
      </w:r>
      <w:r w:rsidRPr="000C0AD4">
        <w:rPr>
          <w:rFonts w:ascii="Times New Roman" w:hAnsi="Times New Roman" w:cs="Times New Roman"/>
          <w:kern w:val="0"/>
        </w:rPr>
        <w:t xml:space="preserve"> time</w:t>
      </w:r>
      <w:r>
        <w:rPr>
          <w:rFonts w:ascii="Times New Roman" w:hAnsi="Times New Roman" w:cs="Times New Roman"/>
          <w:kern w:val="0"/>
        </w:rPr>
        <w:t xml:space="preserve"> </w:t>
      </w:r>
      <w:r w:rsidRPr="000C0AD4">
        <w:rPr>
          <w:rFonts w:ascii="Times New Roman" w:hAnsi="Times New Roman" w:cs="Times New Roman"/>
          <w:kern w:val="0"/>
        </w:rPr>
        <w:t>that they were written in</w:t>
      </w:r>
      <w:r>
        <w:rPr>
          <w:rFonts w:ascii="Times New Roman" w:hAnsi="Times New Roman" w:cs="Times New Roman"/>
          <w:kern w:val="0"/>
        </w:rPr>
        <w:t>. F</w:t>
      </w:r>
      <w:r w:rsidRPr="000C0AD4">
        <w:rPr>
          <w:rFonts w:ascii="Times New Roman" w:hAnsi="Times New Roman" w:cs="Times New Roman"/>
          <w:kern w:val="0"/>
        </w:rPr>
        <w:t>irstly</w:t>
      </w:r>
      <w:r>
        <w:rPr>
          <w:rFonts w:ascii="Times New Roman" w:hAnsi="Times New Roman" w:cs="Times New Roman"/>
          <w:kern w:val="0"/>
        </w:rPr>
        <w:t>,</w:t>
      </w:r>
      <w:r w:rsidRPr="000C0AD4">
        <w:rPr>
          <w:rFonts w:ascii="Times New Roman" w:hAnsi="Times New Roman" w:cs="Times New Roman"/>
          <w:kern w:val="0"/>
        </w:rPr>
        <w:t xml:space="preserve"> an ancient work from around 700 BC</w:t>
      </w:r>
      <w:r>
        <w:rPr>
          <w:rFonts w:ascii="Times New Roman" w:hAnsi="Times New Roman" w:cs="Times New Roman"/>
          <w:kern w:val="0"/>
        </w:rPr>
        <w:t xml:space="preserve">E, </w:t>
      </w:r>
      <w:r w:rsidRPr="00B64839">
        <w:rPr>
          <w:rFonts w:ascii="Times New Roman" w:hAnsi="Times New Roman" w:cs="Times New Roman"/>
          <w:kern w:val="0"/>
        </w:rPr>
        <w:t>Hesiod’s</w:t>
      </w:r>
      <w:r>
        <w:rPr>
          <w:rFonts w:ascii="Times New Roman" w:hAnsi="Times New Roman" w:cs="Times New Roman"/>
          <w:kern w:val="0"/>
        </w:rPr>
        <w:t xml:space="preserve"> (</w:t>
      </w:r>
      <w:r w:rsidRPr="00535BD4">
        <w:rPr>
          <w:rFonts w:ascii="Times New Roman" w:hAnsi="Times New Roman" w:cs="Times New Roman"/>
          <w:kern w:val="0"/>
        </w:rPr>
        <w:t>c. 750-650 BCE)</w:t>
      </w:r>
      <w:r w:rsidRPr="00B64839">
        <w:rPr>
          <w:rFonts w:ascii="Times New Roman" w:hAnsi="Times New Roman" w:cs="Times New Roman"/>
          <w:kern w:val="0"/>
        </w:rPr>
        <w:t xml:space="preserve"> </w:t>
      </w:r>
      <w:r>
        <w:rPr>
          <w:rFonts w:ascii="Times New Roman" w:hAnsi="Times New Roman" w:cs="Times New Roman"/>
          <w:i/>
          <w:iCs/>
          <w:kern w:val="0"/>
        </w:rPr>
        <w:t>W</w:t>
      </w:r>
      <w:r w:rsidRPr="00B64839">
        <w:rPr>
          <w:rFonts w:ascii="Times New Roman" w:hAnsi="Times New Roman" w:cs="Times New Roman"/>
          <w:i/>
          <w:iCs/>
          <w:kern w:val="0"/>
        </w:rPr>
        <w:t>ork</w:t>
      </w:r>
      <w:r>
        <w:rPr>
          <w:rFonts w:ascii="Times New Roman" w:hAnsi="Times New Roman" w:cs="Times New Roman"/>
          <w:i/>
          <w:iCs/>
          <w:kern w:val="0"/>
        </w:rPr>
        <w:t>s</w:t>
      </w:r>
      <w:r w:rsidRPr="00B64839">
        <w:rPr>
          <w:rFonts w:ascii="Times New Roman" w:hAnsi="Times New Roman" w:cs="Times New Roman"/>
          <w:i/>
          <w:iCs/>
          <w:kern w:val="0"/>
        </w:rPr>
        <w:t xml:space="preserve"> and </w:t>
      </w:r>
      <w:r>
        <w:rPr>
          <w:rFonts w:ascii="Times New Roman" w:hAnsi="Times New Roman" w:cs="Times New Roman"/>
          <w:i/>
          <w:iCs/>
          <w:kern w:val="0"/>
        </w:rPr>
        <w:t>D</w:t>
      </w:r>
      <w:r w:rsidRPr="00B64839">
        <w:rPr>
          <w:rFonts w:ascii="Times New Roman" w:hAnsi="Times New Roman" w:cs="Times New Roman"/>
          <w:i/>
          <w:iCs/>
          <w:kern w:val="0"/>
        </w:rPr>
        <w:t>ays</w:t>
      </w:r>
      <w:r>
        <w:rPr>
          <w:rStyle w:val="FootnoteReference"/>
          <w:rFonts w:ascii="Times New Roman" w:hAnsi="Times New Roman" w:cs="Times New Roman"/>
          <w:i/>
          <w:iCs/>
          <w:kern w:val="0"/>
        </w:rPr>
        <w:footnoteReference w:id="1"/>
      </w:r>
      <w:r>
        <w:rPr>
          <w:rFonts w:ascii="Times New Roman" w:hAnsi="Times New Roman" w:cs="Times New Roman"/>
          <w:kern w:val="0"/>
        </w:rPr>
        <w:t>.</w:t>
      </w:r>
      <w:r w:rsidRPr="00B64839">
        <w:rPr>
          <w:rFonts w:ascii="Times New Roman" w:hAnsi="Times New Roman" w:cs="Times New Roman"/>
          <w:kern w:val="0"/>
        </w:rPr>
        <w:t xml:space="preserve"> </w:t>
      </w:r>
      <w:r>
        <w:rPr>
          <w:rFonts w:ascii="Times New Roman" w:hAnsi="Times New Roman" w:cs="Times New Roman"/>
          <w:kern w:val="0"/>
        </w:rPr>
        <w:t>T</w:t>
      </w:r>
      <w:r w:rsidRPr="00B64839">
        <w:rPr>
          <w:rFonts w:ascii="Times New Roman" w:hAnsi="Times New Roman" w:cs="Times New Roman"/>
          <w:kern w:val="0"/>
        </w:rPr>
        <w:t>he second</w:t>
      </w:r>
      <w:r>
        <w:rPr>
          <w:rFonts w:ascii="Times New Roman" w:hAnsi="Times New Roman" w:cs="Times New Roman"/>
          <w:kern w:val="0"/>
        </w:rPr>
        <w:t xml:space="preserve">, from 1531, </w:t>
      </w:r>
      <w:r w:rsidRPr="00942E83">
        <w:rPr>
          <w:rFonts w:ascii="Times New Roman" w:hAnsi="Times New Roman" w:cs="Times New Roman"/>
          <w:kern w:val="0"/>
        </w:rPr>
        <w:t>Heinrich Cornelius Agrippa</w:t>
      </w:r>
      <w:r>
        <w:rPr>
          <w:rFonts w:ascii="Times New Roman" w:hAnsi="Times New Roman" w:cs="Times New Roman"/>
          <w:kern w:val="0"/>
        </w:rPr>
        <w:t xml:space="preserve"> (1486-1535)</w:t>
      </w:r>
      <w:r w:rsidRPr="00942E83">
        <w:rPr>
          <w:rFonts w:ascii="Times New Roman" w:hAnsi="Times New Roman" w:cs="Times New Roman"/>
          <w:kern w:val="0"/>
        </w:rPr>
        <w:t> </w:t>
      </w:r>
      <w:r w:rsidRPr="00F660A6">
        <w:rPr>
          <w:rFonts w:ascii="Times New Roman" w:hAnsi="Times New Roman" w:cs="Times New Roman"/>
          <w:i/>
          <w:iCs/>
          <w:kern w:val="0"/>
          <w:highlight w:val="yellow"/>
        </w:rPr>
        <w:t>Three Books of Occult Philosophy (De Occulta Philosophia libri III)</w:t>
      </w:r>
      <w:r w:rsidRPr="00F660A6">
        <w:rPr>
          <w:rFonts w:ascii="Times New Roman" w:hAnsi="Times New Roman" w:cs="Times New Roman"/>
          <w:kern w:val="0"/>
          <w:highlight w:val="yellow"/>
        </w:rPr>
        <w:t xml:space="preserve"> and</w:t>
      </w:r>
      <w:r>
        <w:rPr>
          <w:rFonts w:ascii="Times New Roman" w:hAnsi="Times New Roman" w:cs="Times New Roman"/>
          <w:kern w:val="0"/>
        </w:rPr>
        <w:t xml:space="preserve"> finally the third source will be </w:t>
      </w:r>
      <w:r w:rsidRPr="00F660A6">
        <w:rPr>
          <w:rFonts w:ascii="Times New Roman" w:hAnsi="Times New Roman" w:cs="Times New Roman"/>
          <w:kern w:val="0"/>
          <w:highlight w:val="yellow"/>
        </w:rPr>
        <w:t xml:space="preserve">Vivian E. Robson </w:t>
      </w:r>
      <w:r>
        <w:rPr>
          <w:rFonts w:ascii="Times New Roman" w:hAnsi="Times New Roman" w:cs="Times New Roman"/>
          <w:kern w:val="0"/>
          <w:highlight w:val="yellow"/>
        </w:rPr>
        <w:t xml:space="preserve">(1890-1942) </w:t>
      </w:r>
      <w:r w:rsidRPr="00F660A6">
        <w:rPr>
          <w:rFonts w:ascii="Times New Roman" w:hAnsi="Times New Roman" w:cs="Times New Roman"/>
          <w:kern w:val="0"/>
          <w:highlight w:val="yellow"/>
        </w:rPr>
        <w:t>1923 book </w:t>
      </w:r>
      <w:r w:rsidRPr="00F660A6">
        <w:rPr>
          <w:rFonts w:ascii="Times New Roman" w:hAnsi="Times New Roman" w:cs="Times New Roman"/>
          <w:i/>
          <w:iCs/>
          <w:kern w:val="0"/>
          <w:highlight w:val="yellow"/>
        </w:rPr>
        <w:t>Fixed Stars and Constellations in Astrology</w:t>
      </w:r>
      <w:r>
        <w:rPr>
          <w:rFonts w:ascii="Times New Roman" w:hAnsi="Times New Roman" w:cs="Times New Roman"/>
          <w:kern w:val="0"/>
        </w:rPr>
        <w:t xml:space="preserve">. The relationship between how each source piece assigns a role to the constellation will be addressed and the different interpretations will be discussed as they have changed over the three time periods of Antiquity, the Renaissance, and the modern commentator. This essay will also discuss the overall material and the context that the Pleiades are presented within each source. That is, as part of Greek literature and epic poetry in </w:t>
      </w:r>
      <w:r w:rsidRPr="006132A4">
        <w:rPr>
          <w:rFonts w:ascii="Times New Roman" w:hAnsi="Times New Roman" w:cs="Times New Roman"/>
          <w:i/>
          <w:iCs/>
          <w:kern w:val="0"/>
        </w:rPr>
        <w:t>Works and Days</w:t>
      </w:r>
      <w:r>
        <w:rPr>
          <w:rFonts w:ascii="Times New Roman" w:hAnsi="Times New Roman" w:cs="Times New Roman"/>
          <w:kern w:val="0"/>
        </w:rPr>
        <w:t>, in Renaissance philosophic interpretation by Agrippa, and as an astrological tool by Robson.</w:t>
      </w:r>
    </w:p>
    <w:p w14:paraId="788DA461" w14:textId="77777777" w:rsidR="009C042D" w:rsidRDefault="009C042D" w:rsidP="009C042D">
      <w:pPr>
        <w:rPr>
          <w:rFonts w:ascii="Times New Roman" w:hAnsi="Times New Roman" w:cs="Times New Roman"/>
          <w:kern w:val="0"/>
        </w:rPr>
      </w:pPr>
    </w:p>
    <w:p w14:paraId="6CE81918" w14:textId="77777777" w:rsidR="009C042D" w:rsidRDefault="009C042D" w:rsidP="009C042D">
      <w:pPr>
        <w:rPr>
          <w:rFonts w:ascii="Times New Roman" w:hAnsi="Times New Roman" w:cs="Times New Roman"/>
          <w:kern w:val="0"/>
        </w:rPr>
      </w:pPr>
      <w:r w:rsidRPr="001C0453">
        <w:rPr>
          <w:rFonts w:ascii="Times New Roman" w:hAnsi="Times New Roman" w:cs="Times New Roman"/>
          <w:noProof/>
          <w:kern w:val="0"/>
        </w:rPr>
        <w:drawing>
          <wp:inline distT="0" distB="0" distL="0" distR="0" wp14:anchorId="5C7F60A6" wp14:editId="1DABB592">
            <wp:extent cx="2228850" cy="3543300"/>
            <wp:effectExtent l="0" t="0" r="0" b="0"/>
            <wp:docPr id="1183961891" name="Picture 4" descr="A screen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961891" name="Picture 4" descr="A screenshot of a cellphon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1380" cy="3547322"/>
                    </a:xfrm>
                    <a:prstGeom prst="rect">
                      <a:avLst/>
                    </a:prstGeom>
                    <a:noFill/>
                    <a:ln>
                      <a:noFill/>
                    </a:ln>
                  </pic:spPr>
                </pic:pic>
              </a:graphicData>
            </a:graphic>
          </wp:inline>
        </w:drawing>
      </w:r>
    </w:p>
    <w:p w14:paraId="1F17914D" w14:textId="77777777" w:rsidR="009C042D" w:rsidRDefault="009C042D" w:rsidP="009C042D">
      <w:pPr>
        <w:rPr>
          <w:rFonts w:ascii="Times New Roman" w:hAnsi="Times New Roman" w:cs="Times New Roman"/>
          <w:kern w:val="0"/>
        </w:rPr>
      </w:pPr>
    </w:p>
    <w:p w14:paraId="662DF9E2" w14:textId="77777777" w:rsidR="009C042D" w:rsidRDefault="009C042D" w:rsidP="009C042D">
      <w:pPr>
        <w:rPr>
          <w:rFonts w:ascii="Times New Roman" w:hAnsi="Times New Roman" w:cs="Times New Roman"/>
          <w:kern w:val="0"/>
        </w:rPr>
      </w:pPr>
      <w:r w:rsidRPr="0012662E">
        <w:rPr>
          <w:rFonts w:ascii="Times New Roman" w:hAnsi="Times New Roman" w:cs="Times New Roman"/>
          <w:b/>
          <w:bCs/>
          <w:kern w:val="0"/>
          <w:highlight w:val="yellow"/>
        </w:rPr>
        <w:t>(Stellarium stills</w:t>
      </w:r>
      <w:r w:rsidRPr="00AB2113">
        <w:rPr>
          <w:rFonts w:ascii="Times New Roman" w:hAnsi="Times New Roman" w:cs="Times New Roman"/>
          <w:b/>
          <w:bCs/>
          <w:kern w:val="0"/>
        </w:rPr>
        <w:t>)</w:t>
      </w:r>
    </w:p>
    <w:p w14:paraId="0CD834D0" w14:textId="77777777" w:rsidR="009C042D" w:rsidRDefault="009C042D" w:rsidP="009C042D">
      <w:pPr>
        <w:rPr>
          <w:rFonts w:ascii="Times New Roman" w:hAnsi="Times New Roman" w:cs="Times New Roman"/>
          <w:kern w:val="0"/>
        </w:rPr>
      </w:pPr>
    </w:p>
    <w:p w14:paraId="5D6EBDA4" w14:textId="77777777" w:rsidR="009C042D" w:rsidRDefault="009C042D" w:rsidP="009C042D">
      <w:pPr>
        <w:rPr>
          <w:rFonts w:ascii="Times New Roman" w:hAnsi="Times New Roman" w:cs="Times New Roman"/>
          <w:kern w:val="0"/>
        </w:rPr>
      </w:pPr>
    </w:p>
    <w:p w14:paraId="7C6E319D" w14:textId="77777777" w:rsidR="009C042D" w:rsidRDefault="009C042D" w:rsidP="009C042D">
      <w:pPr>
        <w:rPr>
          <w:rFonts w:ascii="Times New Roman" w:hAnsi="Times New Roman" w:cs="Times New Roman"/>
          <w:b/>
          <w:bCs/>
          <w:kern w:val="0"/>
        </w:rPr>
      </w:pPr>
      <w:r>
        <w:rPr>
          <w:rFonts w:ascii="Times New Roman" w:hAnsi="Times New Roman" w:cs="Times New Roman"/>
          <w:b/>
          <w:bCs/>
          <w:kern w:val="0"/>
        </w:rPr>
        <w:t>The A</w:t>
      </w:r>
      <w:r w:rsidRPr="00AB2113">
        <w:rPr>
          <w:rFonts w:ascii="Times New Roman" w:hAnsi="Times New Roman" w:cs="Times New Roman"/>
          <w:b/>
          <w:bCs/>
          <w:kern w:val="0"/>
        </w:rPr>
        <w:t xml:space="preserve">stronomy </w:t>
      </w:r>
      <w:r>
        <w:rPr>
          <w:rFonts w:ascii="Times New Roman" w:hAnsi="Times New Roman" w:cs="Times New Roman"/>
          <w:b/>
          <w:bCs/>
          <w:kern w:val="0"/>
        </w:rPr>
        <w:t xml:space="preserve">and Astrology </w:t>
      </w:r>
      <w:r w:rsidRPr="00AB2113">
        <w:rPr>
          <w:rFonts w:ascii="Times New Roman" w:hAnsi="Times New Roman" w:cs="Times New Roman"/>
          <w:b/>
          <w:bCs/>
          <w:kern w:val="0"/>
        </w:rPr>
        <w:t>of the Pleiades</w:t>
      </w:r>
      <w:r>
        <w:rPr>
          <w:rFonts w:ascii="Times New Roman" w:hAnsi="Times New Roman" w:cs="Times New Roman"/>
          <w:b/>
          <w:bCs/>
          <w:kern w:val="0"/>
        </w:rPr>
        <w:t xml:space="preserve">: </w:t>
      </w:r>
    </w:p>
    <w:p w14:paraId="2A724999" w14:textId="77777777" w:rsidR="009C042D" w:rsidRDefault="009C042D" w:rsidP="009C042D">
      <w:pPr>
        <w:rPr>
          <w:rFonts w:ascii="Times New Roman" w:hAnsi="Times New Roman" w:cs="Times New Roman"/>
          <w:b/>
          <w:bCs/>
          <w:kern w:val="0"/>
        </w:rPr>
      </w:pPr>
    </w:p>
    <w:p w14:paraId="7D7E4C45" w14:textId="77777777" w:rsidR="009C042D" w:rsidRDefault="009C042D" w:rsidP="009C042D">
      <w:pPr>
        <w:rPr>
          <w:rFonts w:ascii="Times New Roman" w:hAnsi="Times New Roman" w:cs="Times New Roman"/>
          <w:kern w:val="0"/>
        </w:rPr>
      </w:pPr>
      <w:r>
        <w:rPr>
          <w:rFonts w:ascii="Times New Roman" w:hAnsi="Times New Roman" w:cs="Times New Roman"/>
          <w:b/>
          <w:bCs/>
          <w:kern w:val="0"/>
        </w:rPr>
        <w:tab/>
      </w:r>
      <w:r>
        <w:rPr>
          <w:rFonts w:ascii="Times New Roman" w:hAnsi="Times New Roman" w:cs="Times New Roman"/>
          <w:kern w:val="0"/>
        </w:rPr>
        <w:t xml:space="preserve">The Pleiades are a collection of approximately one thousand stars, known as a cluster, found in the constellation of Taurus. Because seven of the stars are clearly visible to the naked eye, the Pleiades are also known by the name “the Seven Sisters” and have various folkloric allegories regarding the seven stars in different cultures. According to astronomer </w:t>
      </w:r>
      <w:r>
        <w:rPr>
          <w:rFonts w:ascii="Times New Roman" w:hAnsi="Times New Roman" w:cs="Times New Roman"/>
          <w:kern w:val="0"/>
        </w:rPr>
        <w:lastRenderedPageBreak/>
        <w:t xml:space="preserve">Brian </w:t>
      </w:r>
      <w:r w:rsidRPr="00AA3051">
        <w:rPr>
          <w:rFonts w:ascii="Times New Roman" w:hAnsi="Times New Roman" w:cs="Times New Roman"/>
          <w:kern w:val="0"/>
        </w:rPr>
        <w:t>Koberlein</w:t>
      </w:r>
      <w:r>
        <w:rPr>
          <w:rFonts w:ascii="Times New Roman" w:hAnsi="Times New Roman" w:cs="Times New Roman"/>
          <w:kern w:val="0"/>
        </w:rPr>
        <w:t xml:space="preserve">, the cluster is about one hundred and twenty million years old and may have been ‘a stellar nursery, [like] the Orion Nebula’, in its </w:t>
      </w:r>
      <w:r w:rsidRPr="00AA3051">
        <w:rPr>
          <w:rFonts w:ascii="Times New Roman" w:hAnsi="Times New Roman" w:cs="Times New Roman"/>
          <w:kern w:val="0"/>
          <w:highlight w:val="yellow"/>
        </w:rPr>
        <w:t>younger phase</w:t>
      </w:r>
      <w:r>
        <w:rPr>
          <w:rStyle w:val="FootnoteReference"/>
          <w:rFonts w:ascii="Times New Roman" w:hAnsi="Times New Roman" w:cs="Times New Roman"/>
          <w:kern w:val="0"/>
        </w:rPr>
        <w:footnoteReference w:id="2"/>
      </w:r>
      <w:r>
        <w:rPr>
          <w:rFonts w:ascii="Times New Roman" w:hAnsi="Times New Roman" w:cs="Times New Roman"/>
          <w:kern w:val="0"/>
        </w:rPr>
        <w:t>.</w:t>
      </w:r>
    </w:p>
    <w:p w14:paraId="7140DD2A" w14:textId="77777777" w:rsidR="009C042D" w:rsidRDefault="009C042D" w:rsidP="009C042D">
      <w:pPr>
        <w:rPr>
          <w:rFonts w:ascii="Times New Roman" w:hAnsi="Times New Roman" w:cs="Times New Roman"/>
          <w:kern w:val="0"/>
        </w:rPr>
      </w:pPr>
    </w:p>
    <w:p w14:paraId="607175E3" w14:textId="77777777" w:rsidR="009C042D" w:rsidRDefault="009C042D" w:rsidP="009C042D">
      <w:pPr>
        <w:rPr>
          <w:rFonts w:ascii="Times New Roman" w:hAnsi="Times New Roman" w:cs="Times New Roman"/>
          <w:kern w:val="0"/>
        </w:rPr>
      </w:pPr>
      <w:r>
        <w:rPr>
          <w:rFonts w:ascii="Times New Roman" w:hAnsi="Times New Roman" w:cs="Times New Roman"/>
          <w:kern w:val="0"/>
        </w:rPr>
        <w:tab/>
        <w:t>A traditional interpretation of the Pleiades in astrology is as being harbingers of periods of creativity an</w:t>
      </w:r>
      <w:r w:rsidRPr="007F7A81">
        <w:rPr>
          <w:rFonts w:ascii="Times New Roman" w:hAnsi="Times New Roman" w:cs="Times New Roman"/>
          <w:kern w:val="0"/>
          <w:highlight w:val="yellow"/>
        </w:rPr>
        <w:t>d spirituality</w:t>
      </w:r>
      <w:r>
        <w:rPr>
          <w:rStyle w:val="FootnoteReference"/>
          <w:rFonts w:ascii="Times New Roman" w:hAnsi="Times New Roman" w:cs="Times New Roman"/>
          <w:kern w:val="0"/>
        </w:rPr>
        <w:footnoteReference w:id="3"/>
      </w:r>
      <w:r>
        <w:rPr>
          <w:rFonts w:ascii="Times New Roman" w:hAnsi="Times New Roman" w:cs="Times New Roman"/>
          <w:kern w:val="0"/>
        </w:rPr>
        <w:t>, and because of their shared similarities to the seven “Muses” from Greco-Roman mythos they are often present in connection to art, literature and music too. This corresponds to the characterization of the Pleiades as manifestations of inspiration and creativeness.</w:t>
      </w:r>
    </w:p>
    <w:p w14:paraId="7BC47960" w14:textId="77777777" w:rsidR="009C042D" w:rsidRPr="00AB2113" w:rsidRDefault="009C042D" w:rsidP="009C042D">
      <w:pPr>
        <w:rPr>
          <w:rFonts w:ascii="Times New Roman" w:hAnsi="Times New Roman" w:cs="Times New Roman"/>
          <w:b/>
          <w:bCs/>
          <w:kern w:val="0"/>
        </w:rPr>
      </w:pPr>
    </w:p>
    <w:p w14:paraId="3B715801" w14:textId="77777777" w:rsidR="009C042D" w:rsidRDefault="009C042D" w:rsidP="009C042D">
      <w:pPr>
        <w:rPr>
          <w:rFonts w:ascii="Times New Roman" w:hAnsi="Times New Roman" w:cs="Times New Roman"/>
          <w:b/>
          <w:bCs/>
          <w:kern w:val="0"/>
        </w:rPr>
      </w:pPr>
      <w:r w:rsidRPr="00AB2113">
        <w:rPr>
          <w:rFonts w:ascii="Times New Roman" w:hAnsi="Times New Roman" w:cs="Times New Roman"/>
          <w:b/>
          <w:bCs/>
          <w:kern w:val="0"/>
        </w:rPr>
        <w:t xml:space="preserve">History of the Pleiades in </w:t>
      </w:r>
      <w:r>
        <w:rPr>
          <w:rFonts w:ascii="Times New Roman" w:hAnsi="Times New Roman" w:cs="Times New Roman"/>
          <w:b/>
          <w:bCs/>
          <w:kern w:val="0"/>
        </w:rPr>
        <w:t>H</w:t>
      </w:r>
      <w:r w:rsidRPr="00AB2113">
        <w:rPr>
          <w:rFonts w:ascii="Times New Roman" w:hAnsi="Times New Roman" w:cs="Times New Roman"/>
          <w:b/>
          <w:bCs/>
          <w:kern w:val="0"/>
        </w:rPr>
        <w:t xml:space="preserve">uman </w:t>
      </w:r>
      <w:r>
        <w:rPr>
          <w:rFonts w:ascii="Times New Roman" w:hAnsi="Times New Roman" w:cs="Times New Roman"/>
          <w:b/>
          <w:bCs/>
          <w:kern w:val="0"/>
        </w:rPr>
        <w:t>U</w:t>
      </w:r>
      <w:r w:rsidRPr="00AB2113">
        <w:rPr>
          <w:rFonts w:ascii="Times New Roman" w:hAnsi="Times New Roman" w:cs="Times New Roman"/>
          <w:b/>
          <w:bCs/>
          <w:kern w:val="0"/>
        </w:rPr>
        <w:t>nderstanding</w:t>
      </w:r>
      <w:r>
        <w:rPr>
          <w:rFonts w:ascii="Times New Roman" w:hAnsi="Times New Roman" w:cs="Times New Roman"/>
          <w:b/>
          <w:bCs/>
          <w:kern w:val="0"/>
        </w:rPr>
        <w:t>:</w:t>
      </w:r>
    </w:p>
    <w:p w14:paraId="0649E938" w14:textId="77777777" w:rsidR="009C042D" w:rsidRDefault="009C042D" w:rsidP="009C042D">
      <w:pPr>
        <w:rPr>
          <w:rFonts w:ascii="Times New Roman" w:hAnsi="Times New Roman" w:cs="Times New Roman"/>
          <w:b/>
          <w:bCs/>
          <w:kern w:val="0"/>
        </w:rPr>
      </w:pPr>
    </w:p>
    <w:p w14:paraId="5C84CE6D" w14:textId="77777777" w:rsidR="009C042D" w:rsidRDefault="009C042D" w:rsidP="009C042D">
      <w:pPr>
        <w:ind w:firstLine="720"/>
        <w:rPr>
          <w:rFonts w:ascii="Times New Roman" w:hAnsi="Times New Roman" w:cs="Times New Roman"/>
          <w:kern w:val="0"/>
        </w:rPr>
      </w:pPr>
      <w:r>
        <w:rPr>
          <w:rFonts w:ascii="Times New Roman" w:hAnsi="Times New Roman" w:cs="Times New Roman"/>
          <w:kern w:val="0"/>
        </w:rPr>
        <w:t xml:space="preserve">The relationship between the Pleiades and human societies has been observable for millennia, with two of the earliest artistic representations of the star cluster being found in the Palaeolithic wall paintings in the Hall of the Bulls, Lascaux Caves in France (French: </w:t>
      </w:r>
      <w:r>
        <w:rPr>
          <w:rFonts w:ascii="Times New Roman" w:hAnsi="Times New Roman" w:cs="Times New Roman"/>
          <w:i/>
          <w:iCs/>
          <w:kern w:val="0"/>
        </w:rPr>
        <w:t>La Salle des Taureaux, Grotte de Lascaux</w:t>
      </w:r>
      <w:r>
        <w:rPr>
          <w:rFonts w:ascii="Times New Roman" w:hAnsi="Times New Roman" w:cs="Times New Roman"/>
          <w:kern w:val="0"/>
        </w:rPr>
        <w:t xml:space="preserve">) dated between fifteen and seventeen thousand years </w:t>
      </w:r>
      <w:r w:rsidRPr="00F973FE">
        <w:rPr>
          <w:rFonts w:ascii="Times New Roman" w:hAnsi="Times New Roman" w:cs="Times New Roman"/>
          <w:kern w:val="0"/>
          <w:highlight w:val="yellow"/>
        </w:rPr>
        <w:t>ago</w:t>
      </w:r>
      <w:r>
        <w:rPr>
          <w:rStyle w:val="FootnoteReference"/>
          <w:rFonts w:ascii="Times New Roman" w:hAnsi="Times New Roman" w:cs="Times New Roman"/>
          <w:kern w:val="0"/>
        </w:rPr>
        <w:footnoteReference w:id="4"/>
      </w:r>
      <w:r>
        <w:rPr>
          <w:rFonts w:ascii="Times New Roman" w:hAnsi="Times New Roman" w:cs="Times New Roman"/>
          <w:kern w:val="0"/>
        </w:rPr>
        <w:t xml:space="preserve">; and inset in gold on the Nebra Sky Disc (German: </w:t>
      </w:r>
      <w:r w:rsidRPr="0069627D">
        <w:rPr>
          <w:rFonts w:ascii="Times New Roman" w:hAnsi="Times New Roman" w:cs="Times New Roman"/>
          <w:i/>
          <w:iCs/>
          <w:kern w:val="0"/>
          <w:lang w:val="de-DE"/>
        </w:rPr>
        <w:t>Himmelsscheibe von Nebra</w:t>
      </w:r>
      <w:r>
        <w:rPr>
          <w:rFonts w:ascii="Times New Roman" w:hAnsi="Times New Roman" w:cs="Times New Roman"/>
          <w:kern w:val="0"/>
        </w:rPr>
        <w:t>), estimated to be from approximately 1800BCE</w:t>
      </w:r>
      <w:r>
        <w:rPr>
          <w:rStyle w:val="FootnoteReference"/>
          <w:rFonts w:ascii="Times New Roman" w:hAnsi="Times New Roman" w:cs="Times New Roman"/>
          <w:kern w:val="0"/>
        </w:rPr>
        <w:footnoteReference w:id="5"/>
      </w:r>
      <w:r>
        <w:rPr>
          <w:rFonts w:ascii="Times New Roman" w:hAnsi="Times New Roman" w:cs="Times New Roman"/>
          <w:kern w:val="0"/>
        </w:rPr>
        <w:t xml:space="preserve">. </w:t>
      </w:r>
    </w:p>
    <w:p w14:paraId="6DF01791" w14:textId="77777777" w:rsidR="009C042D" w:rsidRDefault="009C042D" w:rsidP="009C042D">
      <w:pPr>
        <w:ind w:firstLine="720"/>
        <w:rPr>
          <w:rFonts w:ascii="Times New Roman" w:hAnsi="Times New Roman" w:cs="Times New Roman"/>
          <w:kern w:val="0"/>
        </w:rPr>
      </w:pPr>
    </w:p>
    <w:p w14:paraId="2EC50C10" w14:textId="77777777" w:rsidR="009C042D" w:rsidRDefault="009C042D" w:rsidP="009C042D">
      <w:pPr>
        <w:ind w:firstLine="720"/>
        <w:rPr>
          <w:rFonts w:ascii="Times New Roman" w:hAnsi="Times New Roman" w:cs="Times New Roman"/>
          <w:kern w:val="0"/>
        </w:rPr>
      </w:pPr>
      <w:r>
        <w:rPr>
          <w:rFonts w:ascii="Times New Roman" w:hAnsi="Times New Roman" w:cs="Times New Roman"/>
          <w:kern w:val="0"/>
        </w:rPr>
        <w:t>The suggestion that in the Hall of the Bulls, the Pleiades have been represented in cave art has been put forward by several researchers, for example German ethnoastronomer Michael Rappenglück</w:t>
      </w:r>
      <w:r>
        <w:rPr>
          <w:rStyle w:val="FootnoteReference"/>
          <w:rFonts w:ascii="Times New Roman" w:hAnsi="Times New Roman" w:cs="Times New Roman"/>
          <w:kern w:val="0"/>
        </w:rPr>
        <w:footnoteReference w:id="6"/>
      </w:r>
      <w:r>
        <w:rPr>
          <w:rFonts w:ascii="Times New Roman" w:hAnsi="Times New Roman" w:cs="Times New Roman"/>
          <w:kern w:val="0"/>
        </w:rPr>
        <w:t xml:space="preserve">, and particularly French archaeo-astronomer </w:t>
      </w:r>
      <w:r w:rsidRPr="00E25350">
        <w:rPr>
          <w:rFonts w:ascii="Times New Roman" w:hAnsi="Times New Roman" w:cs="Times New Roman"/>
          <w:kern w:val="0"/>
        </w:rPr>
        <w:t>Chantal Jegues-Wolkiewiez</w:t>
      </w:r>
      <w:r>
        <w:rPr>
          <w:rFonts w:ascii="Times New Roman" w:hAnsi="Times New Roman" w:cs="Times New Roman"/>
          <w:kern w:val="0"/>
        </w:rPr>
        <w:t xml:space="preserve"> who identified the Pleiades above a cave painting of an aurochs bull, an extinct wild, bovine species, (pictograph No. 18), and reasoned that ‘[if] the sun passed through all of the constellations […and…] if the Hall of the Bulls was in glass, you would see the constellations behind them.’</w:t>
      </w:r>
      <w:r>
        <w:rPr>
          <w:rStyle w:val="FootnoteReference"/>
          <w:rFonts w:ascii="Times New Roman" w:hAnsi="Times New Roman" w:cs="Times New Roman"/>
          <w:kern w:val="0"/>
        </w:rPr>
        <w:footnoteReference w:id="7"/>
      </w:r>
      <w:r>
        <w:rPr>
          <w:rFonts w:ascii="Times New Roman" w:hAnsi="Times New Roman" w:cs="Times New Roman"/>
          <w:kern w:val="0"/>
        </w:rPr>
        <w:t>. UNESCO also recognises the painted dots above the pictograph and corresponding points at Lascaux Cave as being, ‘</w:t>
      </w:r>
      <w:r w:rsidRPr="0028507B">
        <w:rPr>
          <w:rFonts w:ascii="Times New Roman" w:hAnsi="Times New Roman" w:cs="Times New Roman"/>
          <w:kern w:val="0"/>
        </w:rPr>
        <w:t>Representations of asterisms</w:t>
      </w:r>
      <w:r>
        <w:rPr>
          <w:rFonts w:ascii="Times New Roman" w:hAnsi="Times New Roman" w:cs="Times New Roman"/>
          <w:kern w:val="0"/>
        </w:rPr>
        <w:t xml:space="preserve"> (a pattern or group of stars smaller than a constellation)</w:t>
      </w:r>
      <w:r w:rsidRPr="0028507B">
        <w:rPr>
          <w:rFonts w:ascii="Times New Roman" w:hAnsi="Times New Roman" w:cs="Times New Roman"/>
          <w:kern w:val="0"/>
        </w:rPr>
        <w:t>, particularly the Pleiades and Hyades.</w:t>
      </w:r>
      <w:r>
        <w:rPr>
          <w:rStyle w:val="FootnoteReference"/>
          <w:rFonts w:ascii="Times New Roman" w:hAnsi="Times New Roman" w:cs="Times New Roman"/>
          <w:kern w:val="0"/>
        </w:rPr>
        <w:footnoteReference w:id="8"/>
      </w:r>
      <w:r>
        <w:rPr>
          <w:rFonts w:ascii="Times New Roman" w:hAnsi="Times New Roman" w:cs="Times New Roman"/>
          <w:kern w:val="0"/>
        </w:rPr>
        <w:t xml:space="preserve"> </w:t>
      </w:r>
    </w:p>
    <w:p w14:paraId="586C9B5A" w14:textId="77777777" w:rsidR="009C042D" w:rsidRDefault="009C042D" w:rsidP="009C042D">
      <w:pPr>
        <w:ind w:firstLine="720"/>
        <w:rPr>
          <w:rFonts w:ascii="Times New Roman" w:hAnsi="Times New Roman" w:cs="Times New Roman"/>
          <w:kern w:val="0"/>
        </w:rPr>
      </w:pPr>
    </w:p>
    <w:p w14:paraId="5990A7DB" w14:textId="77777777" w:rsidR="009C042D" w:rsidRDefault="009C042D" w:rsidP="009C042D">
      <w:pPr>
        <w:ind w:firstLine="720"/>
        <w:rPr>
          <w:rFonts w:ascii="Times New Roman" w:hAnsi="Times New Roman" w:cs="Times New Roman"/>
          <w:kern w:val="0"/>
        </w:rPr>
      </w:pPr>
      <w:r>
        <w:rPr>
          <w:rFonts w:ascii="Times New Roman" w:hAnsi="Times New Roman" w:cs="Times New Roman"/>
          <w:kern w:val="0"/>
        </w:rPr>
        <w:t>Using the Pleiades on the Nebra Sky Disc as a feature of an astronomical calendar, would not have been possible ‘</w:t>
      </w:r>
      <w:r w:rsidRPr="002F0AFA">
        <w:rPr>
          <w:rFonts w:ascii="Times New Roman" w:hAnsi="Times New Roman" w:cs="Times New Roman"/>
          <w:kern w:val="0"/>
        </w:rPr>
        <w:t>without decades of intensive observation,</w:t>
      </w:r>
      <w:r>
        <w:rPr>
          <w:rFonts w:ascii="Times New Roman" w:hAnsi="Times New Roman" w:cs="Times New Roman"/>
          <w:kern w:val="0"/>
        </w:rPr>
        <w:t xml:space="preserve"> […because…] </w:t>
      </w:r>
      <w:r w:rsidRPr="002F0AFA">
        <w:rPr>
          <w:rFonts w:ascii="Times New Roman" w:hAnsi="Times New Roman" w:cs="Times New Roman"/>
          <w:kern w:val="0"/>
        </w:rPr>
        <w:t>no one thought prehistoric people capable of such precise astronomical knowledge.</w:t>
      </w:r>
      <w:r>
        <w:rPr>
          <w:rFonts w:ascii="Times New Roman" w:hAnsi="Times New Roman" w:cs="Times New Roman"/>
          <w:kern w:val="0"/>
        </w:rPr>
        <w:t>’</w:t>
      </w:r>
      <w:r>
        <w:rPr>
          <w:rStyle w:val="FootnoteReference"/>
          <w:rFonts w:ascii="Times New Roman" w:hAnsi="Times New Roman" w:cs="Times New Roman"/>
          <w:kern w:val="0"/>
        </w:rPr>
        <w:footnoteReference w:id="9"/>
      </w:r>
      <w:r>
        <w:rPr>
          <w:rFonts w:ascii="Times New Roman" w:hAnsi="Times New Roman" w:cs="Times New Roman"/>
          <w:kern w:val="0"/>
        </w:rPr>
        <w:t xml:space="preserve"> The utilisation of the Pleiades as an indicator for cyclical farming and agricultural practices were prevalent in early agrarian cultures in parts of Eurasia, with the heliacal rising, the first visible appearance of the constellation on the horizon before the sunrise, heralding the beginning of the planting season. </w:t>
      </w:r>
      <w:r w:rsidRPr="00203E4E">
        <w:rPr>
          <w:rFonts w:ascii="Times New Roman" w:hAnsi="Times New Roman" w:cs="Times New Roman"/>
          <w:kern w:val="0"/>
          <w:highlight w:val="yellow"/>
        </w:rPr>
        <w:t>Hesiod,</w:t>
      </w:r>
      <w:r>
        <w:rPr>
          <w:rFonts w:ascii="Times New Roman" w:hAnsi="Times New Roman" w:cs="Times New Roman"/>
          <w:kern w:val="0"/>
          <w:highlight w:val="yellow"/>
        </w:rPr>
        <w:t xml:space="preserve"> (ancient Greek </w:t>
      </w:r>
      <w:proofErr w:type="spellStart"/>
      <w:r w:rsidRPr="005D63D3">
        <w:rPr>
          <w:rFonts w:ascii="Times New Roman" w:hAnsi="Times New Roman" w:cs="Times New Roman"/>
          <w:kern w:val="0"/>
          <w:highlight w:val="yellow"/>
        </w:rPr>
        <w:t>Ἡσίοδος</w:t>
      </w:r>
      <w:proofErr w:type="spellEnd"/>
      <w:r>
        <w:rPr>
          <w:rFonts w:ascii="Times New Roman" w:hAnsi="Times New Roman" w:cs="Times New Roman"/>
          <w:kern w:val="0"/>
          <w:highlight w:val="yellow"/>
        </w:rPr>
        <w:t>)</w:t>
      </w:r>
      <w:r w:rsidRPr="00203E4E">
        <w:rPr>
          <w:rFonts w:ascii="Times New Roman" w:hAnsi="Times New Roman" w:cs="Times New Roman"/>
          <w:kern w:val="0"/>
          <w:highlight w:val="yellow"/>
        </w:rPr>
        <w:t xml:space="preserve"> believed that the Pleiades were crucial markers for the agricultural and naval year, advising his audience to plant forty days after the helical rising and as the setting of the Pleiades saw the end of the sailing season and the time to harvest</w:t>
      </w:r>
      <w:r>
        <w:rPr>
          <w:rFonts w:ascii="Times New Roman" w:hAnsi="Times New Roman" w:cs="Times New Roman"/>
          <w:kern w:val="0"/>
        </w:rPr>
        <w:t>.</w:t>
      </w:r>
      <w:r>
        <w:rPr>
          <w:rStyle w:val="FootnoteReference"/>
          <w:rFonts w:ascii="Times New Roman" w:hAnsi="Times New Roman" w:cs="Times New Roman"/>
          <w:kern w:val="0"/>
        </w:rPr>
        <w:footnoteReference w:id="10"/>
      </w:r>
    </w:p>
    <w:p w14:paraId="1D84666F" w14:textId="77777777" w:rsidR="009C042D" w:rsidRDefault="009C042D" w:rsidP="009C042D">
      <w:pPr>
        <w:ind w:firstLine="720"/>
        <w:rPr>
          <w:rFonts w:ascii="Times New Roman" w:hAnsi="Times New Roman" w:cs="Times New Roman"/>
          <w:kern w:val="0"/>
        </w:rPr>
      </w:pPr>
      <w:r w:rsidRPr="00887249">
        <w:rPr>
          <w:rFonts w:ascii="Times New Roman" w:hAnsi="Times New Roman" w:cs="Times New Roman"/>
          <w:kern w:val="0"/>
        </w:rPr>
        <w:lastRenderedPageBreak/>
        <w:t>When the Pleiades, daughters of Atlas, are rising</w:t>
      </w:r>
      <w:r>
        <w:rPr>
          <w:rStyle w:val="FootnoteReference"/>
          <w:rFonts w:ascii="Times New Roman" w:hAnsi="Times New Roman" w:cs="Times New Roman"/>
          <w:kern w:val="0"/>
        </w:rPr>
        <w:footnoteReference w:id="11"/>
      </w:r>
      <w:r w:rsidRPr="00887249">
        <w:rPr>
          <w:rFonts w:ascii="Times New Roman" w:hAnsi="Times New Roman" w:cs="Times New Roman"/>
          <w:kern w:val="0"/>
        </w:rPr>
        <w:t>,</w:t>
      </w:r>
      <w:r>
        <w:rPr>
          <w:rFonts w:ascii="Times New Roman" w:hAnsi="Times New Roman" w:cs="Times New Roman"/>
          <w:kern w:val="0"/>
        </w:rPr>
        <w:t xml:space="preserve"> </w:t>
      </w:r>
    </w:p>
    <w:p w14:paraId="7B5A7D0C" w14:textId="77777777" w:rsidR="009C042D" w:rsidRDefault="009C042D" w:rsidP="009C042D">
      <w:pPr>
        <w:ind w:firstLine="720"/>
        <w:rPr>
          <w:rFonts w:ascii="Times New Roman" w:hAnsi="Times New Roman" w:cs="Times New Roman"/>
          <w:kern w:val="0"/>
        </w:rPr>
      </w:pPr>
      <w:r w:rsidRPr="00887249">
        <w:rPr>
          <w:rFonts w:ascii="Times New Roman" w:hAnsi="Times New Roman" w:cs="Times New Roman"/>
          <w:kern w:val="0"/>
        </w:rPr>
        <w:t xml:space="preserve">begin your harvest, </w:t>
      </w:r>
    </w:p>
    <w:p w14:paraId="597C358F" w14:textId="77777777" w:rsidR="009C042D" w:rsidRDefault="009C042D" w:rsidP="009C042D">
      <w:pPr>
        <w:ind w:firstLine="720"/>
        <w:rPr>
          <w:rFonts w:ascii="Times New Roman" w:hAnsi="Times New Roman" w:cs="Times New Roman"/>
          <w:kern w:val="0"/>
        </w:rPr>
      </w:pPr>
      <w:r w:rsidRPr="00887249">
        <w:rPr>
          <w:rFonts w:ascii="Times New Roman" w:hAnsi="Times New Roman" w:cs="Times New Roman"/>
          <w:kern w:val="0"/>
        </w:rPr>
        <w:t xml:space="preserve">and </w:t>
      </w:r>
      <w:proofErr w:type="gramStart"/>
      <w:r w:rsidRPr="00887249">
        <w:rPr>
          <w:rFonts w:ascii="Times New Roman" w:hAnsi="Times New Roman" w:cs="Times New Roman"/>
          <w:kern w:val="0"/>
        </w:rPr>
        <w:t>your</w:t>
      </w:r>
      <w:proofErr w:type="gramEnd"/>
      <w:r w:rsidRPr="00887249">
        <w:rPr>
          <w:rFonts w:ascii="Times New Roman" w:hAnsi="Times New Roman" w:cs="Times New Roman"/>
          <w:kern w:val="0"/>
        </w:rPr>
        <w:t xml:space="preserve"> ploughing when they are going to set.</w:t>
      </w:r>
      <w:r>
        <w:rPr>
          <w:rStyle w:val="FootnoteReference"/>
          <w:rFonts w:ascii="Times New Roman" w:hAnsi="Times New Roman" w:cs="Times New Roman"/>
          <w:kern w:val="0"/>
        </w:rPr>
        <w:footnoteReference w:id="12"/>
      </w:r>
      <w:r w:rsidRPr="00887249">
        <w:rPr>
          <w:rFonts w:ascii="Times New Roman" w:hAnsi="Times New Roman" w:cs="Times New Roman"/>
          <w:kern w:val="0"/>
        </w:rPr>
        <w:t xml:space="preserve"> </w:t>
      </w:r>
    </w:p>
    <w:p w14:paraId="0D1FA710" w14:textId="77777777" w:rsidR="009C042D" w:rsidRDefault="009C042D" w:rsidP="009C042D">
      <w:pPr>
        <w:ind w:firstLine="720"/>
        <w:rPr>
          <w:rFonts w:ascii="Times New Roman" w:hAnsi="Times New Roman" w:cs="Times New Roman"/>
          <w:kern w:val="0"/>
        </w:rPr>
      </w:pPr>
      <w:r w:rsidRPr="00887249">
        <w:rPr>
          <w:rFonts w:ascii="Times New Roman" w:hAnsi="Times New Roman" w:cs="Times New Roman"/>
          <w:kern w:val="0"/>
        </w:rPr>
        <w:t xml:space="preserve">Forty nights and days they are hidden and appear again as the year moves round, </w:t>
      </w:r>
    </w:p>
    <w:p w14:paraId="1258CACF" w14:textId="77777777" w:rsidR="009C042D" w:rsidRDefault="009C042D" w:rsidP="009C042D">
      <w:pPr>
        <w:ind w:firstLine="720"/>
        <w:rPr>
          <w:rFonts w:ascii="Times New Roman" w:hAnsi="Times New Roman" w:cs="Times New Roman"/>
          <w:kern w:val="0"/>
        </w:rPr>
      </w:pPr>
      <w:r w:rsidRPr="00887249">
        <w:rPr>
          <w:rFonts w:ascii="Times New Roman" w:hAnsi="Times New Roman" w:cs="Times New Roman"/>
          <w:kern w:val="0"/>
        </w:rPr>
        <w:t xml:space="preserve">when first you sharpen your sickle. </w:t>
      </w:r>
    </w:p>
    <w:p w14:paraId="7369314D" w14:textId="77777777" w:rsidR="009C042D" w:rsidRDefault="009C042D" w:rsidP="009C042D">
      <w:pPr>
        <w:ind w:firstLine="720"/>
        <w:rPr>
          <w:rFonts w:ascii="Times New Roman" w:hAnsi="Times New Roman" w:cs="Times New Roman"/>
          <w:kern w:val="0"/>
        </w:rPr>
      </w:pPr>
      <w:r w:rsidRPr="00887249">
        <w:rPr>
          <w:rFonts w:ascii="Times New Roman" w:hAnsi="Times New Roman" w:cs="Times New Roman"/>
          <w:kern w:val="0"/>
        </w:rPr>
        <w:t>This is the law of the plains, and of those who live near the sea</w:t>
      </w:r>
      <w:r>
        <w:rPr>
          <w:rStyle w:val="FootnoteReference"/>
          <w:rFonts w:ascii="Times New Roman" w:hAnsi="Times New Roman" w:cs="Times New Roman"/>
          <w:kern w:val="0"/>
        </w:rPr>
        <w:footnoteReference w:id="13"/>
      </w:r>
    </w:p>
    <w:p w14:paraId="25954977" w14:textId="77777777" w:rsidR="009C042D" w:rsidRDefault="009C042D" w:rsidP="009C042D">
      <w:pPr>
        <w:ind w:firstLine="720"/>
        <w:rPr>
          <w:rFonts w:ascii="Times New Roman" w:hAnsi="Times New Roman" w:cs="Times New Roman"/>
          <w:kern w:val="0"/>
        </w:rPr>
      </w:pPr>
    </w:p>
    <w:p w14:paraId="6B3022AF" w14:textId="77777777" w:rsidR="009C042D" w:rsidRDefault="009C042D" w:rsidP="009C042D">
      <w:pPr>
        <w:ind w:firstLine="720"/>
        <w:rPr>
          <w:rFonts w:ascii="Times New Roman" w:hAnsi="Times New Roman" w:cs="Times New Roman"/>
          <w:kern w:val="0"/>
        </w:rPr>
      </w:pPr>
      <w:r>
        <w:rPr>
          <w:rFonts w:ascii="Times New Roman" w:hAnsi="Times New Roman" w:cs="Times New Roman"/>
          <w:kern w:val="0"/>
        </w:rPr>
        <w:t xml:space="preserve">Hesiod uses the mythos of the Pleiades in </w:t>
      </w:r>
      <w:r>
        <w:rPr>
          <w:rFonts w:ascii="Times New Roman" w:hAnsi="Times New Roman" w:cs="Times New Roman"/>
          <w:i/>
          <w:iCs/>
          <w:kern w:val="0"/>
        </w:rPr>
        <w:t xml:space="preserve">Works and Days </w:t>
      </w:r>
      <w:r>
        <w:rPr>
          <w:rFonts w:ascii="Times New Roman" w:hAnsi="Times New Roman" w:cs="Times New Roman"/>
          <w:kern w:val="0"/>
        </w:rPr>
        <w:t>as a celestial calendar to advise when to plant, harvest and sail. From an ancient Greek farming family, and as an epic poet, Hesiod describes the practical significance of the Pleiades while alluding to their cosmic divinity ‘</w:t>
      </w:r>
      <w:r w:rsidRPr="00887249">
        <w:rPr>
          <w:rFonts w:ascii="Times New Roman" w:hAnsi="Times New Roman" w:cs="Times New Roman"/>
          <w:kern w:val="0"/>
        </w:rPr>
        <w:t>the Pleiades, daughters of Atlas</w:t>
      </w:r>
      <w:r>
        <w:rPr>
          <w:rFonts w:ascii="Times New Roman" w:hAnsi="Times New Roman" w:cs="Times New Roman"/>
          <w:kern w:val="0"/>
        </w:rPr>
        <w:t xml:space="preserve">’. In Greek mythology, the Pleiades get their name from their mother, the Oceanid Pleione, oceanids being akin to a water nymph, as well as the Greek word meaning to sail </w:t>
      </w:r>
      <w:r>
        <w:rPr>
          <w:rFonts w:ascii="Times New Roman" w:hAnsi="Times New Roman" w:cs="Times New Roman"/>
          <w:i/>
          <w:iCs/>
          <w:kern w:val="0"/>
        </w:rPr>
        <w:t>plein</w:t>
      </w:r>
      <w:r>
        <w:rPr>
          <w:rFonts w:ascii="Times New Roman" w:hAnsi="Times New Roman" w:cs="Times New Roman"/>
          <w:kern w:val="0"/>
        </w:rPr>
        <w:t xml:space="preserve"> (</w:t>
      </w:r>
      <w:r w:rsidRPr="00D464F0">
        <w:rPr>
          <w:rFonts w:ascii="Times New Roman" w:hAnsi="Times New Roman" w:cs="Times New Roman"/>
          <w:kern w:val="0"/>
        </w:rPr>
        <w:t>π</w:t>
      </w:r>
      <w:proofErr w:type="spellStart"/>
      <w:r w:rsidRPr="00D464F0">
        <w:rPr>
          <w:rFonts w:ascii="Times New Roman" w:hAnsi="Times New Roman" w:cs="Times New Roman"/>
          <w:kern w:val="0"/>
        </w:rPr>
        <w:t>λέω</w:t>
      </w:r>
      <w:proofErr w:type="spellEnd"/>
      <w:r>
        <w:rPr>
          <w:rFonts w:ascii="Times New Roman" w:hAnsi="Times New Roman" w:cs="Times New Roman"/>
          <w:kern w:val="0"/>
        </w:rPr>
        <w:t>) they were viewed as seven mortal women (maidens) who were altered into the asterism by the transformative power of Zeus, who pitied them for being pursued by the hunter Orion, who in turn was pursued by a plague of scorpions, according to some lore, the inference being the Pleiades being followed by the constellation Orion, and Orion being followed by the constellation Scorpio. Hard expressed the opinion that ‘in ancient […] folklore […] stars gathered together in conspicuous clusters are commonly identified either as maidens or animals of one kind or another [with Greeks believing] they were the daughters of [the Titan] Atlas (citing Hesiod) while the Romans called them Septentriones […] seven plough-oxen.’</w:t>
      </w:r>
      <w:r>
        <w:rPr>
          <w:rStyle w:val="FootnoteReference"/>
          <w:rFonts w:ascii="Times New Roman" w:hAnsi="Times New Roman" w:cs="Times New Roman"/>
          <w:kern w:val="0"/>
        </w:rPr>
        <w:footnoteReference w:id="14"/>
      </w:r>
    </w:p>
    <w:p w14:paraId="30AF8637" w14:textId="77777777" w:rsidR="009C042D" w:rsidRDefault="009C042D" w:rsidP="009C042D">
      <w:pPr>
        <w:ind w:firstLine="720"/>
        <w:rPr>
          <w:rFonts w:ascii="Times New Roman" w:hAnsi="Times New Roman" w:cs="Times New Roman"/>
          <w:kern w:val="0"/>
        </w:rPr>
      </w:pPr>
    </w:p>
    <w:p w14:paraId="58BCC285" w14:textId="77777777" w:rsidR="009C042D" w:rsidRPr="005A3E93" w:rsidRDefault="009C042D" w:rsidP="009C042D">
      <w:pPr>
        <w:ind w:firstLine="720"/>
        <w:rPr>
          <w:rFonts w:ascii="Times New Roman" w:hAnsi="Times New Roman" w:cs="Times New Roman"/>
          <w:kern w:val="0"/>
        </w:rPr>
      </w:pPr>
      <w:r>
        <w:rPr>
          <w:rFonts w:ascii="Times New Roman" w:hAnsi="Times New Roman" w:cs="Times New Roman"/>
          <w:kern w:val="0"/>
        </w:rPr>
        <w:t xml:space="preserve">Hesiod’s two main surviving works are the </w:t>
      </w:r>
      <w:r>
        <w:rPr>
          <w:rFonts w:ascii="Times New Roman" w:hAnsi="Times New Roman" w:cs="Times New Roman"/>
          <w:i/>
          <w:iCs/>
          <w:kern w:val="0"/>
        </w:rPr>
        <w:t>Theogony</w:t>
      </w:r>
      <w:r>
        <w:rPr>
          <w:rFonts w:ascii="Times New Roman" w:hAnsi="Times New Roman" w:cs="Times New Roman"/>
          <w:kern w:val="0"/>
        </w:rPr>
        <w:t xml:space="preserve"> and </w:t>
      </w:r>
      <w:r>
        <w:rPr>
          <w:rFonts w:ascii="Times New Roman" w:hAnsi="Times New Roman" w:cs="Times New Roman"/>
          <w:i/>
          <w:iCs/>
          <w:kern w:val="0"/>
        </w:rPr>
        <w:t>Works and Days</w:t>
      </w:r>
      <w:r>
        <w:rPr>
          <w:rFonts w:ascii="Times New Roman" w:hAnsi="Times New Roman" w:cs="Times New Roman"/>
          <w:kern w:val="0"/>
        </w:rPr>
        <w:t xml:space="preserve">, with the </w:t>
      </w:r>
      <w:r>
        <w:rPr>
          <w:rFonts w:ascii="Times New Roman" w:hAnsi="Times New Roman" w:cs="Times New Roman"/>
          <w:i/>
          <w:iCs/>
          <w:kern w:val="0"/>
        </w:rPr>
        <w:t>Theogony</w:t>
      </w:r>
      <w:r>
        <w:rPr>
          <w:rFonts w:ascii="Times New Roman" w:hAnsi="Times New Roman" w:cs="Times New Roman"/>
          <w:kern w:val="0"/>
        </w:rPr>
        <w:t xml:space="preserve"> being the source of much of our knowledge about the mythological origins of the world and deities, while </w:t>
      </w:r>
      <w:r>
        <w:rPr>
          <w:rFonts w:ascii="Times New Roman" w:hAnsi="Times New Roman" w:cs="Times New Roman"/>
          <w:i/>
          <w:iCs/>
          <w:kern w:val="0"/>
        </w:rPr>
        <w:t xml:space="preserve">Works and Days </w:t>
      </w:r>
      <w:r>
        <w:rPr>
          <w:rFonts w:ascii="Times New Roman" w:hAnsi="Times New Roman" w:cs="Times New Roman"/>
          <w:kern w:val="0"/>
        </w:rPr>
        <w:t xml:space="preserve">is an instructional and ethical poem that espouses the Greek archetypal principles. Hesiod claimed to be similarly inspired in his poetry by the Muses and this is a secondary link between the Muses and the Pleiades as ‘divine sisters’. </w:t>
      </w:r>
    </w:p>
    <w:p w14:paraId="2B59BD68" w14:textId="77777777" w:rsidR="009C042D" w:rsidRDefault="009C042D"/>
    <w:sectPr w:rsidR="009C04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AAA97" w14:textId="77777777" w:rsidR="009C042D" w:rsidRDefault="009C042D" w:rsidP="009C042D">
      <w:r>
        <w:separator/>
      </w:r>
    </w:p>
  </w:endnote>
  <w:endnote w:type="continuationSeparator" w:id="0">
    <w:p w14:paraId="6D73B491" w14:textId="77777777" w:rsidR="009C042D" w:rsidRDefault="009C042D" w:rsidP="009C0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A8033E" w14:textId="77777777" w:rsidR="009C042D" w:rsidRDefault="009C042D" w:rsidP="009C042D">
      <w:r>
        <w:separator/>
      </w:r>
    </w:p>
  </w:footnote>
  <w:footnote w:type="continuationSeparator" w:id="0">
    <w:p w14:paraId="55DE147D" w14:textId="77777777" w:rsidR="009C042D" w:rsidRDefault="009C042D" w:rsidP="009C042D">
      <w:r>
        <w:continuationSeparator/>
      </w:r>
    </w:p>
  </w:footnote>
  <w:footnote w:id="1">
    <w:p w14:paraId="5F615FC7" w14:textId="77777777" w:rsidR="009C042D" w:rsidRDefault="009C042D" w:rsidP="009C042D">
      <w:pPr>
        <w:pStyle w:val="FootnoteText"/>
      </w:pPr>
      <w:r>
        <w:rPr>
          <w:rStyle w:val="FootnoteReference"/>
        </w:rPr>
        <w:footnoteRef/>
      </w:r>
      <w:r>
        <w:t xml:space="preserve"> Trans. Hugh G. Evelyn-White, </w:t>
      </w:r>
      <w:r w:rsidRPr="00741CB3">
        <w:rPr>
          <w:i/>
          <w:iCs/>
        </w:rPr>
        <w:t xml:space="preserve">The Homeric Hymns, and </w:t>
      </w:r>
      <w:proofErr w:type="spellStart"/>
      <w:r w:rsidRPr="00741CB3">
        <w:rPr>
          <w:i/>
          <w:iCs/>
        </w:rPr>
        <w:t>Homerica</w:t>
      </w:r>
      <w:proofErr w:type="spellEnd"/>
      <w:r w:rsidRPr="00741CB3">
        <w:rPr>
          <w:i/>
          <w:iCs/>
        </w:rPr>
        <w:t xml:space="preserve"> by Homer and Hesiod</w:t>
      </w:r>
      <w:r>
        <w:t xml:space="preserve"> (1914).</w:t>
      </w:r>
    </w:p>
  </w:footnote>
  <w:footnote w:id="2">
    <w:p w14:paraId="35A448E9" w14:textId="77777777" w:rsidR="009C042D" w:rsidRDefault="009C042D" w:rsidP="009C042D">
      <w:pPr>
        <w:pStyle w:val="FootnoteText"/>
      </w:pPr>
      <w:r>
        <w:rPr>
          <w:rStyle w:val="FootnoteReference"/>
        </w:rPr>
        <w:footnoteRef/>
      </w:r>
      <w:r>
        <w:t xml:space="preserve"> </w:t>
      </w:r>
      <w:r>
        <w:rPr>
          <w:rStyle w:val="FootnoteReference"/>
        </w:rPr>
        <w:footnoteRef/>
      </w:r>
      <w:r>
        <w:t xml:space="preserve"> </w:t>
      </w:r>
      <w:r w:rsidRPr="00575A64">
        <w:rPr>
          <w:highlight w:val="yellow"/>
        </w:rPr>
        <w:t>https://briankoberlein.com/blog/seven-sisters</w:t>
      </w:r>
    </w:p>
  </w:footnote>
  <w:footnote w:id="3">
    <w:p w14:paraId="7A8DD088" w14:textId="77777777" w:rsidR="009C042D" w:rsidRDefault="009C042D" w:rsidP="009C042D">
      <w:pPr>
        <w:pStyle w:val="FootnoteText"/>
      </w:pPr>
      <w:r w:rsidRPr="007F7A81">
        <w:rPr>
          <w:rStyle w:val="FootnoteReference"/>
        </w:rPr>
        <w:footnoteRef/>
      </w:r>
      <w:r w:rsidRPr="007F7A81">
        <w:t xml:space="preserve"> </w:t>
      </w:r>
      <w:bookmarkStart w:id="0" w:name="_Hlk182775278"/>
      <w:r w:rsidRPr="007F7A81">
        <w:rPr>
          <w:highlight w:val="yellow"/>
        </w:rPr>
        <w:t>Blah blah</w:t>
      </w:r>
    </w:p>
    <w:bookmarkEnd w:id="0"/>
  </w:footnote>
  <w:footnote w:id="4">
    <w:p w14:paraId="2D85F2F5" w14:textId="77777777" w:rsidR="009C042D" w:rsidRDefault="009C042D" w:rsidP="009C042D">
      <w:pPr>
        <w:pStyle w:val="FootnoteText"/>
      </w:pPr>
      <w:r>
        <w:rPr>
          <w:rStyle w:val="FootnoteReference"/>
        </w:rPr>
        <w:footnoteRef/>
      </w:r>
      <w:r>
        <w:t xml:space="preserve"> </w:t>
      </w:r>
      <w:r w:rsidRPr="007F7A81">
        <w:rPr>
          <w:highlight w:val="yellow"/>
        </w:rPr>
        <w:t>Blah blah</w:t>
      </w:r>
    </w:p>
  </w:footnote>
  <w:footnote w:id="5">
    <w:p w14:paraId="06C67D18" w14:textId="77777777" w:rsidR="009C042D" w:rsidRDefault="009C042D" w:rsidP="009C042D">
      <w:pPr>
        <w:pStyle w:val="FootnoteText"/>
      </w:pPr>
      <w:r>
        <w:rPr>
          <w:rStyle w:val="FootnoteReference"/>
        </w:rPr>
        <w:footnoteRef/>
      </w:r>
      <w:r>
        <w:t xml:space="preserve"> </w:t>
      </w:r>
      <w:proofErr w:type="spellStart"/>
      <w:r>
        <w:t>Landesmuseum</w:t>
      </w:r>
      <w:proofErr w:type="spellEnd"/>
      <w:r>
        <w:t xml:space="preserve"> für </w:t>
      </w:r>
      <w:proofErr w:type="spellStart"/>
      <w:r>
        <w:t>Vorgesschichte</w:t>
      </w:r>
      <w:proofErr w:type="spellEnd"/>
      <w:r>
        <w:t xml:space="preserve">: </w:t>
      </w:r>
      <w:proofErr w:type="spellStart"/>
      <w:r>
        <w:t>Himmelsscheibe</w:t>
      </w:r>
      <w:proofErr w:type="spellEnd"/>
      <w:r>
        <w:t xml:space="preserve"> von Nebra [online].</w:t>
      </w:r>
    </w:p>
  </w:footnote>
  <w:footnote w:id="6">
    <w:p w14:paraId="07B9BE44" w14:textId="77777777" w:rsidR="009C042D" w:rsidRPr="00272E38" w:rsidRDefault="009C042D" w:rsidP="009C042D">
      <w:pPr>
        <w:pStyle w:val="FootnoteText"/>
        <w:rPr>
          <w:rFonts w:ascii="Times New Roman" w:hAnsi="Times New Roman" w:cs="Times New Roman"/>
          <w:kern w:val="0"/>
        </w:rPr>
      </w:pPr>
      <w:r>
        <w:rPr>
          <w:rStyle w:val="FootnoteReference"/>
        </w:rPr>
        <w:footnoteRef/>
      </w:r>
      <w:r>
        <w:t xml:space="preserve"> </w:t>
      </w:r>
      <w:r>
        <w:rPr>
          <w:rFonts w:ascii="Times New Roman" w:hAnsi="Times New Roman" w:cs="Times New Roman"/>
          <w:kern w:val="0"/>
        </w:rPr>
        <w:t xml:space="preserve">Michael Rappenglück, 1997, </w:t>
      </w:r>
      <w:r w:rsidRPr="00712B56">
        <w:rPr>
          <w:rFonts w:ascii="Times New Roman" w:hAnsi="Times New Roman" w:cs="Times New Roman"/>
          <w:i/>
          <w:iCs/>
          <w:kern w:val="0"/>
        </w:rPr>
        <w:t xml:space="preserve">The Pleiades in the "Salle des Taureaux", </w:t>
      </w:r>
      <w:proofErr w:type="spellStart"/>
      <w:r w:rsidRPr="00712B56">
        <w:rPr>
          <w:rFonts w:ascii="Times New Roman" w:hAnsi="Times New Roman" w:cs="Times New Roman"/>
          <w:i/>
          <w:iCs/>
          <w:kern w:val="0"/>
        </w:rPr>
        <w:t>grotte</w:t>
      </w:r>
      <w:proofErr w:type="spellEnd"/>
      <w:r w:rsidRPr="00712B56">
        <w:rPr>
          <w:rFonts w:ascii="Times New Roman" w:hAnsi="Times New Roman" w:cs="Times New Roman"/>
          <w:i/>
          <w:iCs/>
          <w:kern w:val="0"/>
        </w:rPr>
        <w:t xml:space="preserve"> de Lascaux. Does a rock picture in the cave of Lascaux show the open star cluster of the Pleiades at the Magdalénien era (ca 15.300 BC?"</w:t>
      </w:r>
      <w:r>
        <w:rPr>
          <w:rFonts w:ascii="Times New Roman" w:hAnsi="Times New Roman" w:cs="Times New Roman"/>
          <w:i/>
          <w:iCs/>
          <w:kern w:val="0"/>
        </w:rPr>
        <w:t xml:space="preserve"> </w:t>
      </w:r>
      <w:r>
        <w:rPr>
          <w:rFonts w:ascii="Times New Roman" w:hAnsi="Times New Roman" w:cs="Times New Roman"/>
          <w:kern w:val="0"/>
        </w:rPr>
        <w:t>pp. 217-25</w:t>
      </w:r>
    </w:p>
  </w:footnote>
  <w:footnote w:id="7">
    <w:p w14:paraId="7BC4E12F" w14:textId="77777777" w:rsidR="009C042D" w:rsidRDefault="009C042D" w:rsidP="009C042D">
      <w:pPr>
        <w:pStyle w:val="FootnoteText"/>
      </w:pPr>
      <w:r>
        <w:rPr>
          <w:rStyle w:val="FootnoteReference"/>
        </w:rPr>
        <w:footnoteRef/>
      </w:r>
      <w:r>
        <w:t xml:space="preserve"> National Geographic, Stone Age Zodiac, 9 December 2009 [video] YouTube [online].</w:t>
      </w:r>
    </w:p>
  </w:footnote>
  <w:footnote w:id="8">
    <w:p w14:paraId="4AFFC7E7" w14:textId="77777777" w:rsidR="009C042D" w:rsidRPr="00B53717" w:rsidRDefault="009C042D" w:rsidP="009C042D">
      <w:pPr>
        <w:pStyle w:val="FootnoteText"/>
        <w:rPr>
          <w:b/>
          <w:bCs/>
        </w:rPr>
      </w:pPr>
      <w:r>
        <w:rPr>
          <w:rStyle w:val="FootnoteReference"/>
        </w:rPr>
        <w:footnoteRef/>
      </w:r>
      <w:r>
        <w:t xml:space="preserve"> United Nations Educational Scientific and Cultural Organisation (UNESC</w:t>
      </w:r>
      <w:r w:rsidRPr="0060286B">
        <w:t>O</w:t>
      </w:r>
      <w:r>
        <w:t>)</w:t>
      </w:r>
      <w:r w:rsidRPr="0060286B">
        <w:t xml:space="preserve">, </w:t>
      </w:r>
      <w:r w:rsidRPr="0060286B">
        <w:rPr>
          <w:i/>
          <w:iCs/>
        </w:rPr>
        <w:t>The Astronomical Rock Panels in the Lascaux Cave, France</w:t>
      </w:r>
      <w:r>
        <w:t xml:space="preserve"> [online].</w:t>
      </w:r>
    </w:p>
  </w:footnote>
  <w:footnote w:id="9">
    <w:p w14:paraId="51A4BE43" w14:textId="77777777" w:rsidR="009C042D" w:rsidRDefault="009C042D" w:rsidP="009C042D">
      <w:pPr>
        <w:pStyle w:val="FootnoteText"/>
      </w:pPr>
      <w:r>
        <w:rPr>
          <w:rStyle w:val="FootnoteReference"/>
        </w:rPr>
        <w:footnoteRef/>
      </w:r>
      <w:r>
        <w:t xml:space="preserve"> Harald Meller quoted by Jarrett A. Lobell in </w:t>
      </w:r>
      <w:r w:rsidRPr="006B106D">
        <w:rPr>
          <w:i/>
          <w:iCs/>
        </w:rPr>
        <w:t>Archaeology Magazine, Mapping the Past</w:t>
      </w:r>
      <w:r>
        <w:t xml:space="preserve"> May/June 2019</w:t>
      </w:r>
    </w:p>
  </w:footnote>
  <w:footnote w:id="10">
    <w:p w14:paraId="3823E5E9" w14:textId="77777777" w:rsidR="009C042D" w:rsidRDefault="009C042D" w:rsidP="009C042D">
      <w:pPr>
        <w:pStyle w:val="FootnoteText"/>
      </w:pPr>
      <w:r>
        <w:rPr>
          <w:rStyle w:val="FootnoteReference"/>
        </w:rPr>
        <w:footnoteRef/>
      </w:r>
      <w:r>
        <w:t xml:space="preserve"> </w:t>
      </w:r>
      <w:r w:rsidRPr="007F7A81">
        <w:rPr>
          <w:highlight w:val="yellow"/>
        </w:rPr>
        <w:t>Blah blah</w:t>
      </w:r>
    </w:p>
  </w:footnote>
  <w:footnote w:id="11">
    <w:p w14:paraId="5437DFC1" w14:textId="77777777" w:rsidR="009C042D" w:rsidRDefault="009C042D" w:rsidP="009C042D">
      <w:pPr>
        <w:pStyle w:val="FootnoteText"/>
      </w:pPr>
      <w:r>
        <w:rPr>
          <w:rStyle w:val="FootnoteReference"/>
        </w:rPr>
        <w:footnoteRef/>
      </w:r>
      <w:r>
        <w:t xml:space="preserve"> Early May</w:t>
      </w:r>
    </w:p>
  </w:footnote>
  <w:footnote w:id="12">
    <w:p w14:paraId="7E8FCD38" w14:textId="77777777" w:rsidR="009C042D" w:rsidRDefault="009C042D" w:rsidP="009C042D">
      <w:pPr>
        <w:pStyle w:val="FootnoteText"/>
      </w:pPr>
      <w:r>
        <w:rPr>
          <w:rStyle w:val="FootnoteReference"/>
        </w:rPr>
        <w:footnoteRef/>
      </w:r>
      <w:r>
        <w:t xml:space="preserve"> November</w:t>
      </w:r>
    </w:p>
  </w:footnote>
  <w:footnote w:id="13">
    <w:p w14:paraId="6DC0E2F0" w14:textId="77777777" w:rsidR="009C042D" w:rsidRDefault="009C042D" w:rsidP="009C042D">
      <w:pPr>
        <w:pStyle w:val="FootnoteText"/>
      </w:pPr>
      <w:r>
        <w:rPr>
          <w:rStyle w:val="FootnoteReference"/>
        </w:rPr>
        <w:footnoteRef/>
      </w:r>
      <w:r>
        <w:t xml:space="preserve"> Trans. Hugh G. Evelyn-White, </w:t>
      </w:r>
      <w:r w:rsidRPr="00741CB3">
        <w:rPr>
          <w:i/>
          <w:iCs/>
        </w:rPr>
        <w:t xml:space="preserve">The Homeric Hymns, and </w:t>
      </w:r>
      <w:proofErr w:type="spellStart"/>
      <w:r w:rsidRPr="00741CB3">
        <w:rPr>
          <w:i/>
          <w:iCs/>
        </w:rPr>
        <w:t>Homerica</w:t>
      </w:r>
      <w:proofErr w:type="spellEnd"/>
      <w:r w:rsidRPr="00741CB3">
        <w:rPr>
          <w:i/>
          <w:iCs/>
        </w:rPr>
        <w:t xml:space="preserve"> by Homer and Hesiod</w:t>
      </w:r>
      <w:r>
        <w:t xml:space="preserve"> (1914) lines 383-389.</w:t>
      </w:r>
    </w:p>
  </w:footnote>
  <w:footnote w:id="14">
    <w:p w14:paraId="1BCF0C4C" w14:textId="77777777" w:rsidR="009C042D" w:rsidRDefault="009C042D" w:rsidP="009C042D">
      <w:pPr>
        <w:pStyle w:val="FootnoteText"/>
      </w:pPr>
      <w:r>
        <w:rPr>
          <w:rStyle w:val="FootnoteReference"/>
        </w:rPr>
        <w:footnoteRef/>
      </w:r>
      <w:r>
        <w:t xml:space="preserve"> Robin Hard </w:t>
      </w:r>
      <w:proofErr w:type="gramStart"/>
      <w:r>
        <w:rPr>
          <w:i/>
          <w:iCs/>
        </w:rPr>
        <w:t>The</w:t>
      </w:r>
      <w:proofErr w:type="gramEnd"/>
      <w:r>
        <w:rPr>
          <w:i/>
          <w:iCs/>
        </w:rPr>
        <w:t xml:space="preserve"> Routledge Handbook of Greek Mythology</w:t>
      </w:r>
      <w:r>
        <w:t xml:space="preserve"> (2004)</w:t>
      </w:r>
      <w:r>
        <w:rPr>
          <w:i/>
          <w:iCs/>
        </w:rPr>
        <w:t xml:space="preserve"> </w:t>
      </w:r>
      <w:r>
        <w:t>p. 518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42D"/>
    <w:rsid w:val="003E6EC4"/>
    <w:rsid w:val="009C0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AAD6F"/>
  <w15:chartTrackingRefBased/>
  <w15:docId w15:val="{706AA625-B0CA-4FEA-97DB-5295AD1D2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42D"/>
    <w:pPr>
      <w:suppressAutoHyphens/>
      <w:spacing w:after="0" w:line="240" w:lineRule="auto"/>
    </w:pPr>
    <w:rPr>
      <w:rFonts w:ascii="Liberation Serif" w:eastAsia="NSimSun" w:hAnsi="Liberation Serif" w:cs="Lucida Sans"/>
      <w:lang w:eastAsia="zh-CN" w:bidi="hi-IN"/>
      <w14:ligatures w14:val="none"/>
    </w:rPr>
  </w:style>
  <w:style w:type="paragraph" w:styleId="Heading1">
    <w:name w:val="heading 1"/>
    <w:basedOn w:val="Normal"/>
    <w:next w:val="Normal"/>
    <w:link w:val="Heading1Char"/>
    <w:uiPriority w:val="9"/>
    <w:qFormat/>
    <w:rsid w:val="009C042D"/>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sz w:val="40"/>
      <w:szCs w:val="40"/>
      <w:lang w:eastAsia="en-US" w:bidi="ar-SA"/>
      <w14:ligatures w14:val="standardContextual"/>
    </w:rPr>
  </w:style>
  <w:style w:type="paragraph" w:styleId="Heading2">
    <w:name w:val="heading 2"/>
    <w:basedOn w:val="Normal"/>
    <w:next w:val="Normal"/>
    <w:link w:val="Heading2Char"/>
    <w:uiPriority w:val="9"/>
    <w:semiHidden/>
    <w:unhideWhenUsed/>
    <w:qFormat/>
    <w:rsid w:val="009C042D"/>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sz w:val="32"/>
      <w:szCs w:val="32"/>
      <w:lang w:eastAsia="en-US" w:bidi="ar-SA"/>
      <w14:ligatures w14:val="standardContextual"/>
    </w:rPr>
  </w:style>
  <w:style w:type="paragraph" w:styleId="Heading3">
    <w:name w:val="heading 3"/>
    <w:basedOn w:val="Normal"/>
    <w:next w:val="Normal"/>
    <w:link w:val="Heading3Char"/>
    <w:uiPriority w:val="9"/>
    <w:semiHidden/>
    <w:unhideWhenUsed/>
    <w:qFormat/>
    <w:rsid w:val="009C042D"/>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sz w:val="28"/>
      <w:szCs w:val="28"/>
      <w:lang w:eastAsia="en-US" w:bidi="ar-SA"/>
      <w14:ligatures w14:val="standardContextual"/>
    </w:rPr>
  </w:style>
  <w:style w:type="paragraph" w:styleId="Heading4">
    <w:name w:val="heading 4"/>
    <w:basedOn w:val="Normal"/>
    <w:next w:val="Normal"/>
    <w:link w:val="Heading4Char"/>
    <w:uiPriority w:val="9"/>
    <w:semiHidden/>
    <w:unhideWhenUsed/>
    <w:qFormat/>
    <w:rsid w:val="009C042D"/>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lang w:eastAsia="en-US" w:bidi="ar-SA"/>
      <w14:ligatures w14:val="standardContextual"/>
    </w:rPr>
  </w:style>
  <w:style w:type="paragraph" w:styleId="Heading5">
    <w:name w:val="heading 5"/>
    <w:basedOn w:val="Normal"/>
    <w:next w:val="Normal"/>
    <w:link w:val="Heading5Char"/>
    <w:uiPriority w:val="9"/>
    <w:semiHidden/>
    <w:unhideWhenUsed/>
    <w:qFormat/>
    <w:rsid w:val="009C042D"/>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lang w:eastAsia="en-US" w:bidi="ar-SA"/>
      <w14:ligatures w14:val="standardContextual"/>
    </w:rPr>
  </w:style>
  <w:style w:type="paragraph" w:styleId="Heading6">
    <w:name w:val="heading 6"/>
    <w:basedOn w:val="Normal"/>
    <w:next w:val="Normal"/>
    <w:link w:val="Heading6Char"/>
    <w:uiPriority w:val="9"/>
    <w:semiHidden/>
    <w:unhideWhenUsed/>
    <w:qFormat/>
    <w:rsid w:val="009C042D"/>
    <w:pPr>
      <w:keepNext/>
      <w:keepLines/>
      <w:suppressAutoHyphens w:val="0"/>
      <w:spacing w:before="40" w:line="278" w:lineRule="auto"/>
      <w:outlineLvl w:val="5"/>
    </w:pPr>
    <w:rPr>
      <w:rFonts w:asciiTheme="minorHAnsi" w:eastAsiaTheme="majorEastAsia" w:hAnsiTheme="minorHAnsi" w:cstheme="majorBidi"/>
      <w:i/>
      <w:iCs/>
      <w:color w:val="595959" w:themeColor="text1" w:themeTint="A6"/>
      <w:lang w:eastAsia="en-US" w:bidi="ar-SA"/>
      <w14:ligatures w14:val="standardContextual"/>
    </w:rPr>
  </w:style>
  <w:style w:type="paragraph" w:styleId="Heading7">
    <w:name w:val="heading 7"/>
    <w:basedOn w:val="Normal"/>
    <w:next w:val="Normal"/>
    <w:link w:val="Heading7Char"/>
    <w:uiPriority w:val="9"/>
    <w:semiHidden/>
    <w:unhideWhenUsed/>
    <w:qFormat/>
    <w:rsid w:val="009C042D"/>
    <w:pPr>
      <w:keepNext/>
      <w:keepLines/>
      <w:suppressAutoHyphens w:val="0"/>
      <w:spacing w:before="40" w:line="278" w:lineRule="auto"/>
      <w:outlineLvl w:val="6"/>
    </w:pPr>
    <w:rPr>
      <w:rFonts w:asciiTheme="minorHAnsi" w:eastAsiaTheme="majorEastAsia" w:hAnsiTheme="minorHAnsi" w:cstheme="majorBidi"/>
      <w:color w:val="595959" w:themeColor="text1" w:themeTint="A6"/>
      <w:lang w:eastAsia="en-US" w:bidi="ar-SA"/>
      <w14:ligatures w14:val="standardContextual"/>
    </w:rPr>
  </w:style>
  <w:style w:type="paragraph" w:styleId="Heading8">
    <w:name w:val="heading 8"/>
    <w:basedOn w:val="Normal"/>
    <w:next w:val="Normal"/>
    <w:link w:val="Heading8Char"/>
    <w:uiPriority w:val="9"/>
    <w:semiHidden/>
    <w:unhideWhenUsed/>
    <w:qFormat/>
    <w:rsid w:val="009C042D"/>
    <w:pPr>
      <w:keepNext/>
      <w:keepLines/>
      <w:suppressAutoHyphens w:val="0"/>
      <w:spacing w:line="278" w:lineRule="auto"/>
      <w:outlineLvl w:val="7"/>
    </w:pPr>
    <w:rPr>
      <w:rFonts w:asciiTheme="minorHAnsi" w:eastAsiaTheme="majorEastAsia" w:hAnsiTheme="minorHAnsi" w:cstheme="majorBidi"/>
      <w:i/>
      <w:iCs/>
      <w:color w:val="272727" w:themeColor="text1" w:themeTint="D8"/>
      <w:lang w:eastAsia="en-US" w:bidi="ar-SA"/>
      <w14:ligatures w14:val="standardContextual"/>
    </w:rPr>
  </w:style>
  <w:style w:type="paragraph" w:styleId="Heading9">
    <w:name w:val="heading 9"/>
    <w:basedOn w:val="Normal"/>
    <w:next w:val="Normal"/>
    <w:link w:val="Heading9Char"/>
    <w:uiPriority w:val="9"/>
    <w:semiHidden/>
    <w:unhideWhenUsed/>
    <w:qFormat/>
    <w:rsid w:val="009C042D"/>
    <w:pPr>
      <w:keepNext/>
      <w:keepLines/>
      <w:suppressAutoHyphens w:val="0"/>
      <w:spacing w:line="278" w:lineRule="auto"/>
      <w:outlineLvl w:val="8"/>
    </w:pPr>
    <w:rPr>
      <w:rFonts w:asciiTheme="minorHAnsi" w:eastAsiaTheme="majorEastAsia" w:hAnsiTheme="minorHAnsi" w:cstheme="majorBidi"/>
      <w:color w:val="272727" w:themeColor="text1" w:themeTint="D8"/>
      <w:lang w:eastAsia="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4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04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04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04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04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04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04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04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042D"/>
    <w:rPr>
      <w:rFonts w:eastAsiaTheme="majorEastAsia" w:cstheme="majorBidi"/>
      <w:color w:val="272727" w:themeColor="text1" w:themeTint="D8"/>
    </w:rPr>
  </w:style>
  <w:style w:type="paragraph" w:styleId="Title">
    <w:name w:val="Title"/>
    <w:basedOn w:val="Normal"/>
    <w:next w:val="Normal"/>
    <w:link w:val="TitleChar"/>
    <w:uiPriority w:val="10"/>
    <w:qFormat/>
    <w:rsid w:val="009C042D"/>
    <w:pPr>
      <w:suppressAutoHyphens w:val="0"/>
      <w:spacing w:after="80"/>
      <w:contextualSpacing/>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itleChar">
    <w:name w:val="Title Char"/>
    <w:basedOn w:val="DefaultParagraphFont"/>
    <w:link w:val="Title"/>
    <w:uiPriority w:val="10"/>
    <w:rsid w:val="009C04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42D"/>
    <w:pPr>
      <w:numPr>
        <w:ilvl w:val="1"/>
      </w:numPr>
      <w:suppressAutoHyphens w:val="0"/>
      <w:spacing w:after="160" w:line="278" w:lineRule="auto"/>
    </w:pPr>
    <w:rPr>
      <w:rFonts w:asciiTheme="minorHAnsi" w:eastAsiaTheme="majorEastAsia" w:hAnsiTheme="minorHAnsi" w:cstheme="majorBidi"/>
      <w:color w:val="595959" w:themeColor="text1" w:themeTint="A6"/>
      <w:spacing w:val="15"/>
      <w:sz w:val="28"/>
      <w:szCs w:val="28"/>
      <w:lang w:eastAsia="en-US" w:bidi="ar-SA"/>
      <w14:ligatures w14:val="standardContextual"/>
    </w:rPr>
  </w:style>
  <w:style w:type="character" w:customStyle="1" w:styleId="SubtitleChar">
    <w:name w:val="Subtitle Char"/>
    <w:basedOn w:val="DefaultParagraphFont"/>
    <w:link w:val="Subtitle"/>
    <w:uiPriority w:val="11"/>
    <w:rsid w:val="009C04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42D"/>
    <w:pPr>
      <w:suppressAutoHyphens w:val="0"/>
      <w:spacing w:before="160" w:after="160" w:line="278" w:lineRule="auto"/>
      <w:jc w:val="center"/>
    </w:pPr>
    <w:rPr>
      <w:rFonts w:asciiTheme="minorHAnsi" w:eastAsiaTheme="minorHAnsi" w:hAnsiTheme="minorHAnsi" w:cstheme="minorBidi"/>
      <w:i/>
      <w:iCs/>
      <w:color w:val="404040" w:themeColor="text1" w:themeTint="BF"/>
      <w:lang w:eastAsia="en-US" w:bidi="ar-SA"/>
      <w14:ligatures w14:val="standardContextual"/>
    </w:rPr>
  </w:style>
  <w:style w:type="character" w:customStyle="1" w:styleId="QuoteChar">
    <w:name w:val="Quote Char"/>
    <w:basedOn w:val="DefaultParagraphFont"/>
    <w:link w:val="Quote"/>
    <w:uiPriority w:val="29"/>
    <w:rsid w:val="009C042D"/>
    <w:rPr>
      <w:i/>
      <w:iCs/>
      <w:color w:val="404040" w:themeColor="text1" w:themeTint="BF"/>
    </w:rPr>
  </w:style>
  <w:style w:type="paragraph" w:styleId="ListParagraph">
    <w:name w:val="List Paragraph"/>
    <w:basedOn w:val="Normal"/>
    <w:uiPriority w:val="34"/>
    <w:qFormat/>
    <w:rsid w:val="009C042D"/>
    <w:pPr>
      <w:suppressAutoHyphens w:val="0"/>
      <w:spacing w:after="160" w:line="278" w:lineRule="auto"/>
      <w:ind w:left="720"/>
      <w:contextualSpacing/>
    </w:pPr>
    <w:rPr>
      <w:rFonts w:asciiTheme="minorHAnsi" w:eastAsiaTheme="minorHAnsi" w:hAnsiTheme="minorHAnsi" w:cstheme="minorBidi"/>
      <w:lang w:eastAsia="en-US" w:bidi="ar-SA"/>
      <w14:ligatures w14:val="standardContextual"/>
    </w:rPr>
  </w:style>
  <w:style w:type="character" w:styleId="IntenseEmphasis">
    <w:name w:val="Intense Emphasis"/>
    <w:basedOn w:val="DefaultParagraphFont"/>
    <w:uiPriority w:val="21"/>
    <w:qFormat/>
    <w:rsid w:val="009C042D"/>
    <w:rPr>
      <w:i/>
      <w:iCs/>
      <w:color w:val="0F4761" w:themeColor="accent1" w:themeShade="BF"/>
    </w:rPr>
  </w:style>
  <w:style w:type="paragraph" w:styleId="IntenseQuote">
    <w:name w:val="Intense Quote"/>
    <w:basedOn w:val="Normal"/>
    <w:next w:val="Normal"/>
    <w:link w:val="IntenseQuoteChar"/>
    <w:uiPriority w:val="30"/>
    <w:qFormat/>
    <w:rsid w:val="009C042D"/>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lang w:eastAsia="en-US" w:bidi="ar-SA"/>
      <w14:ligatures w14:val="standardContextual"/>
    </w:rPr>
  </w:style>
  <w:style w:type="character" w:customStyle="1" w:styleId="IntenseQuoteChar">
    <w:name w:val="Intense Quote Char"/>
    <w:basedOn w:val="DefaultParagraphFont"/>
    <w:link w:val="IntenseQuote"/>
    <w:uiPriority w:val="30"/>
    <w:rsid w:val="009C042D"/>
    <w:rPr>
      <w:i/>
      <w:iCs/>
      <w:color w:val="0F4761" w:themeColor="accent1" w:themeShade="BF"/>
    </w:rPr>
  </w:style>
  <w:style w:type="character" w:styleId="IntenseReference">
    <w:name w:val="Intense Reference"/>
    <w:basedOn w:val="DefaultParagraphFont"/>
    <w:uiPriority w:val="32"/>
    <w:qFormat/>
    <w:rsid w:val="009C042D"/>
    <w:rPr>
      <w:b/>
      <w:bCs/>
      <w:smallCaps/>
      <w:color w:val="0F4761" w:themeColor="accent1" w:themeShade="BF"/>
      <w:spacing w:val="5"/>
    </w:rPr>
  </w:style>
  <w:style w:type="paragraph" w:styleId="FootnoteText">
    <w:name w:val="footnote text"/>
    <w:basedOn w:val="Normal"/>
    <w:link w:val="FootnoteTextChar"/>
    <w:uiPriority w:val="99"/>
    <w:semiHidden/>
    <w:unhideWhenUsed/>
    <w:rsid w:val="009C042D"/>
    <w:rPr>
      <w:rFonts w:cs="Mangal"/>
      <w:sz w:val="20"/>
      <w:szCs w:val="18"/>
    </w:rPr>
  </w:style>
  <w:style w:type="character" w:customStyle="1" w:styleId="FootnoteTextChar">
    <w:name w:val="Footnote Text Char"/>
    <w:basedOn w:val="DefaultParagraphFont"/>
    <w:link w:val="FootnoteText"/>
    <w:uiPriority w:val="99"/>
    <w:semiHidden/>
    <w:rsid w:val="009C042D"/>
    <w:rPr>
      <w:rFonts w:ascii="Liberation Serif" w:eastAsia="NSimSun" w:hAnsi="Liberation Serif" w:cs="Mangal"/>
      <w:sz w:val="20"/>
      <w:szCs w:val="18"/>
      <w:lang w:eastAsia="zh-CN" w:bidi="hi-IN"/>
      <w14:ligatures w14:val="none"/>
    </w:rPr>
  </w:style>
  <w:style w:type="character" w:styleId="FootnoteReference">
    <w:name w:val="footnote reference"/>
    <w:basedOn w:val="DefaultParagraphFont"/>
    <w:uiPriority w:val="99"/>
    <w:semiHidden/>
    <w:unhideWhenUsed/>
    <w:rsid w:val="009C04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933</Words>
  <Characters>5436</Characters>
  <Application>Microsoft Office Word</Application>
  <DocSecurity>0</DocSecurity>
  <Lines>115</Lines>
  <Paragraphs>31</Paragraphs>
  <ScaleCrop>false</ScaleCrop>
  <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Collins</dc:creator>
  <cp:keywords/>
  <dc:description/>
  <cp:lastModifiedBy>Ruth Collins</cp:lastModifiedBy>
  <cp:revision>1</cp:revision>
  <dcterms:created xsi:type="dcterms:W3CDTF">2024-11-18T00:14:00Z</dcterms:created>
  <dcterms:modified xsi:type="dcterms:W3CDTF">2024-11-18T00:15:00Z</dcterms:modified>
</cp:coreProperties>
</file>