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350" w:line="259" w:lineRule="auto"/>
        <w:ind w:left="77" w:right="0" w:firstLine="0"/>
        <w:jc w:val="center"/>
      </w:pPr>
      <w:r>
        <w:rPr>
          <w:b/>
          <w:sz w:val="32"/>
        </w:rPr>
        <w:t xml:space="preserve"> </w:t>
      </w:r>
    </w:p>
    <w:p>
      <w:pPr>
        <w:spacing w:after="355" w:line="259" w:lineRule="auto"/>
        <w:ind w:left="77" w:right="0" w:firstLine="0"/>
        <w:jc w:val="center"/>
      </w:pPr>
      <w:r>
        <w:rPr>
          <w:b/>
          <w:sz w:val="32"/>
        </w:rPr>
        <w:t xml:space="preserve"> </w:t>
      </w:r>
    </w:p>
    <w:p>
      <w:pPr>
        <w:spacing w:after="350" w:line="259" w:lineRule="auto"/>
        <w:ind w:left="77" w:right="0" w:firstLine="0"/>
        <w:jc w:val="center"/>
      </w:pPr>
      <w:r>
        <w:rPr>
          <w:b/>
          <w:sz w:val="32"/>
        </w:rPr>
        <w:t xml:space="preserve"> </w:t>
      </w:r>
    </w:p>
    <w:p>
      <w:pPr>
        <w:spacing w:after="355" w:line="259" w:lineRule="auto"/>
        <w:ind w:left="77" w:right="0" w:firstLine="0"/>
        <w:jc w:val="center"/>
      </w:pPr>
      <w:r>
        <w:rPr>
          <w:b/>
          <w:sz w:val="32"/>
        </w:rPr>
        <w:t xml:space="preserve"> </w:t>
      </w:r>
    </w:p>
    <w:p>
      <w:pPr>
        <w:spacing w:after="350" w:line="259" w:lineRule="auto"/>
        <w:ind w:left="77" w:right="0" w:firstLine="0"/>
        <w:jc w:val="center"/>
      </w:pPr>
      <w:r>
        <w:rPr>
          <w:b/>
          <w:sz w:val="32"/>
        </w:rPr>
        <w:t xml:space="preserve"> </w:t>
      </w:r>
    </w:p>
    <w:p>
      <w:pPr>
        <w:spacing w:after="350" w:line="259" w:lineRule="auto"/>
        <w:ind w:left="77" w:right="0" w:firstLine="0"/>
        <w:jc w:val="center"/>
      </w:pPr>
      <w:r>
        <w:rPr>
          <w:b/>
          <w:sz w:val="32"/>
        </w:rPr>
        <w:t xml:space="preserve"> </w:t>
      </w:r>
    </w:p>
    <w:p>
      <w:pPr>
        <w:spacing w:after="355" w:line="259" w:lineRule="auto"/>
        <w:ind w:left="77" w:right="0" w:firstLine="0"/>
        <w:jc w:val="center"/>
      </w:pPr>
      <w:r>
        <w:rPr>
          <w:b/>
          <w:sz w:val="32"/>
        </w:rPr>
        <w:t xml:space="preserve"> </w:t>
      </w:r>
    </w:p>
    <w:p>
      <w:pPr>
        <w:spacing w:after="350" w:line="259" w:lineRule="auto"/>
        <w:ind w:left="77" w:right="0" w:firstLine="0"/>
        <w:jc w:val="center"/>
      </w:pPr>
      <w:r>
        <w:rPr>
          <w:b/>
          <w:sz w:val="32"/>
        </w:rPr>
        <w:t xml:space="preserve"> </w:t>
      </w:r>
    </w:p>
    <w:p>
      <w:pPr>
        <w:jc w:val="center"/>
        <w:rPr>
          <w:b/>
          <w:bCs/>
        </w:rPr>
      </w:pPr>
      <w:r>
        <w:rPr>
          <w:b/>
          <w:bCs/>
        </w:rPr>
        <w:t>EXPLAIN THE ADVANTAGES AND DISADVANTAGES OF MAGISTRATES IN THE EXERCISE OF JUSTICE</w:t>
      </w:r>
    </w:p>
    <w:p>
      <w:pPr>
        <w:spacing w:after="270" w:line="259" w:lineRule="auto"/>
        <w:ind w:left="0" w:right="0" w:firstLine="0"/>
        <w:jc w:val="left"/>
      </w:pPr>
      <w:r>
        <w:rPr>
          <w:rFonts w:ascii="Calibri" w:hAnsi="Calibri" w:eastAsia="Calibri" w:cs="Calibri"/>
          <w:sz w:val="22"/>
        </w:rPr>
        <w:t xml:space="preserve"> </w:t>
      </w:r>
    </w:p>
    <w:p>
      <w:pPr>
        <w:spacing w:after="0" w:line="422" w:lineRule="auto"/>
        <w:ind w:left="4682" w:right="4615" w:firstLine="0"/>
      </w:pPr>
      <w:r>
        <w:rPr>
          <w:b/>
          <w:sz w:val="28"/>
        </w:rPr>
        <w:t xml:space="preserve">  </w:t>
      </w:r>
    </w:p>
    <w:p>
      <w:pPr>
        <w:spacing w:after="160" w:line="259" w:lineRule="auto"/>
        <w:ind w:left="0" w:right="0" w:firstLine="0"/>
        <w:jc w:val="left"/>
        <w:rPr>
          <w:b/>
          <w:sz w:val="28"/>
        </w:rPr>
      </w:pPr>
      <w:r>
        <w:rPr>
          <w:b/>
          <w:sz w:val="28"/>
        </w:rPr>
        <w:br w:type="page"/>
      </w:r>
    </w:p>
    <w:p>
      <w:pPr>
        <w:pStyle w:val="2"/>
        <w:numPr>
          <w:ilvl w:val="0"/>
          <w:numId w:val="0"/>
        </w:numPr>
        <w:spacing w:after="244" w:line="480" w:lineRule="auto"/>
        <w:ind w:left="-5"/>
        <w:jc w:val="both"/>
      </w:pPr>
      <w:r>
        <w:t>Introduction</w:t>
      </w:r>
    </w:p>
    <w:p>
      <w:pPr>
        <w:spacing w:after="0" w:line="480" w:lineRule="auto"/>
        <w:ind w:left="0" w:right="0" w:firstLine="720"/>
        <w:rPr>
          <w:color w:val="auto"/>
          <w:kern w:val="0"/>
          <w:szCs w:val="24"/>
          <w14:ligatures w14:val="none"/>
        </w:rPr>
      </w:pPr>
      <w:r>
        <w:t>All the decisions and verdicts of all types of criminal cases pass and begin in the court of the magistrates however, the intense and most serious cases are particularly sent to the   Crown Court such as the cases of murder and rape.</w:t>
      </w:r>
      <w:r>
        <w:rPr>
          <w:rFonts w:ascii="Calibri" w:hAnsi="Calibri" w:eastAsia="Calibri" w:cs="Calibri"/>
          <w:sz w:val="22"/>
        </w:rPr>
        <w:t xml:space="preserve"> </w:t>
      </w:r>
      <w:r>
        <w:rPr>
          <w:highlight w:val="yellow"/>
        </w:rPr>
        <w:t xml:space="preserve">The matters that are generally handled by the magistrates of the UK can be the legal matters associated with licensing and debt collection </w:t>
      </w:r>
      <w:r>
        <w:rPr>
          <w:color w:val="auto"/>
          <w:kern w:val="0"/>
          <w:szCs w:val="24"/>
          <w:highlight w:val="yellow"/>
          <w14:ligatures w14:val="none"/>
        </w:rPr>
        <w:t>(Smith, 2022)</w:t>
      </w:r>
      <w:r>
        <w:rPr>
          <w:highlight w:val="yellow"/>
        </w:rPr>
        <w:t>.</w:t>
      </w:r>
      <w:r>
        <w:t xml:space="preserve"> </w:t>
      </w:r>
    </w:p>
    <w:p>
      <w:pPr>
        <w:pStyle w:val="2"/>
        <w:spacing w:line="480" w:lineRule="auto"/>
        <w:ind w:left="245" w:hanging="260"/>
        <w:jc w:val="both"/>
      </w:pPr>
      <w:r>
        <w:t>Role of magistrate</w:t>
      </w:r>
    </w:p>
    <w:p>
      <w:pPr>
        <w:spacing w:after="0" w:line="480" w:lineRule="auto"/>
        <w:ind w:left="0" w:right="0" w:firstLine="720"/>
        <w:rPr>
          <w:color w:val="auto"/>
          <w:kern w:val="0"/>
          <w:szCs w:val="24"/>
          <w14:ligatures w14:val="none"/>
        </w:rPr>
      </w:pPr>
      <w:r>
        <w:t xml:space="preserve">The terminology magistrate deals with a wide range of roles and responsibilities and these are the entities of the government and law systems. The magistrate helps to mention a civilian officer who conducts and regulates the law of a country. </w:t>
      </w:r>
      <w:r>
        <w:rPr>
          <w:highlight w:val="yellow"/>
        </w:rPr>
        <w:t xml:space="preserve">In the case of the UK, it is one of the highest-positioned government officers as they have both the powers of the judicial and executive </w:t>
      </w:r>
      <w:r>
        <w:rPr>
          <w:color w:val="auto"/>
          <w:kern w:val="0"/>
          <w:szCs w:val="24"/>
          <w:highlight w:val="yellow"/>
          <w14:ligatures w14:val="none"/>
        </w:rPr>
        <w:t>(McIntyre, 2019)</w:t>
      </w:r>
      <w:r>
        <w:rPr>
          <w:highlight w:val="yellow"/>
        </w:rPr>
        <w:t>.</w:t>
      </w:r>
      <w:r>
        <w:t xml:space="preserve"> In China, magistrates only have the potentiality over a certain responsibility for a geographic area. Moreover, in the current times, a magistrate is the designation who hears and passes judgments for different cases in a lower court. It has been seen that a magistrate handles only minor and prefatory affairs in the case of some jurisdictions. Moreover in the UK jurisdictions such as England and Wales the role of magistrates varies and are typically instructed volunteers scheduled to handle any kind of criminal and civil matters, which need to be restricted to the local areas. </w:t>
      </w:r>
    </w:p>
    <w:p>
      <w:pPr>
        <w:pStyle w:val="2"/>
        <w:spacing w:line="480" w:lineRule="auto"/>
        <w:ind w:left="245" w:hanging="260"/>
        <w:jc w:val="both"/>
      </w:pPr>
      <w:r>
        <w:t xml:space="preserve">A discussion about magistrates in the United Kingdom  </w:t>
      </w:r>
    </w:p>
    <w:p>
      <w:pPr>
        <w:spacing w:after="0" w:line="480" w:lineRule="auto"/>
        <w:ind w:left="0" w:right="0" w:firstLine="720"/>
        <w:rPr>
          <w:color w:val="auto"/>
          <w:kern w:val="0"/>
          <w:szCs w:val="24"/>
          <w14:ligatures w14:val="none"/>
        </w:rPr>
      </w:pPr>
      <w:r>
        <w:t xml:space="preserve">All the decisions and verdicts of all types of criminal cases pass and begin in the court of the magistrates however the intense and most serious cases are particularly sent to the  Crown </w:t>
      </w:r>
      <w:r>
        <w:rPr>
          <w:highlight w:val="yellow"/>
        </w:rPr>
        <w:t xml:space="preserve">Court such as the cases of murder and rape. Moreover, the magistrates of the UK deal with the issues of bail and any other kind of prefatory affairs </w:t>
      </w:r>
      <w:r>
        <w:rPr>
          <w:color w:val="auto"/>
          <w:kern w:val="0"/>
          <w:szCs w:val="24"/>
          <w:highlight w:val="yellow"/>
          <w14:ligatures w14:val="none"/>
        </w:rPr>
        <w:t>(van den Brink, 2021)</w:t>
      </w:r>
      <w:r>
        <w:rPr>
          <w:highlight w:val="yellow"/>
        </w:rPr>
        <w:t>. In addition to this, the</w:t>
      </w:r>
      <w:r>
        <w:t xml:space="preserve"> magistrates handle the lesser offences including compendious and in whatever way offences are meant to be dealt with in the court of the magistrates. Furthermore, the magistrates in the courts of the UK hear all kinds of summary offences and either-way offences. In the year 2021, the total number of magistrates in the UK is 12,651. The number of magistrates has been reduced undeviatingly by 50%</w:t>
      </w:r>
      <w:r>
        <w:rPr>
          <w:rFonts w:hint="default"/>
          <w:lang w:val="en-GB"/>
        </w:rPr>
        <w:t xml:space="preserve"> </w:t>
      </w:r>
      <w:bookmarkStart w:id="0" w:name="_GoBack"/>
      <w:bookmarkEnd w:id="0"/>
      <w:r>
        <w:t xml:space="preserve">as compared to the number of magistrates in the year 2012. The magistrates of the UK have the potential power of up to 12 months imprisonment, which is found to be the maximum sentencing power along with unlimited fines.  </w:t>
      </w:r>
    </w:p>
    <w:p>
      <w:pPr>
        <w:spacing w:after="301" w:line="480" w:lineRule="auto"/>
        <w:ind w:left="245" w:right="0" w:firstLine="725"/>
      </w:pPr>
      <w:r>
        <w:t xml:space="preserve">In this context, the sentencing power option varies which includes fines, commanding community orders, or handling the matters of any kind of offences alongside discharge. In some cases, the sentencing power that the magistrates have is not enough, and due to this reason, the magistrates need to send either way wrongdoers to the crown court to sentence the criminal. The matters that are generally handled by the magistrates of the UK can be the legal matters associated with licensing and debt collection. In contact to this, in the old times, the role of the magistrates was to exercise and grant the license to trade alcohol, which was not yet dealt with by the magistrates. This granting process is now performed by the local council of the country however there is still the requirement of the right of appeal. </w:t>
      </w:r>
    </w:p>
    <w:p>
      <w:pPr>
        <w:pStyle w:val="2"/>
        <w:spacing w:line="480" w:lineRule="auto"/>
        <w:ind w:left="245" w:hanging="260"/>
        <w:jc w:val="both"/>
      </w:pPr>
      <w:r>
        <w:t xml:space="preserve">The main responsibilities of the magistrates in the United Kingdom  </w:t>
      </w:r>
    </w:p>
    <w:p>
      <w:pPr>
        <w:spacing w:after="0" w:line="480" w:lineRule="auto"/>
        <w:ind w:left="0" w:right="0" w:firstLine="720"/>
        <w:rPr>
          <w:color w:val="auto"/>
          <w:kern w:val="0"/>
          <w:szCs w:val="24"/>
          <w14:ligatures w14:val="none"/>
        </w:rPr>
      </w:pPr>
      <w:r>
        <w:t>The magistrate helps to mention a civilian officer who conducts and regulates the law of a country</w:t>
      </w:r>
      <w:r>
        <w:rPr>
          <w:highlight w:val="yellow"/>
        </w:rPr>
        <w:t xml:space="preserve">. The magistrates of the UK have the potential sentencing power, which helps to allow them to inflict a wide range of sentences such as unlimited fines, commanding community orders, bans, and custody of up to 12 months as per the nature of the performed offence </w:t>
      </w:r>
      <w:r>
        <w:rPr>
          <w:color w:val="auto"/>
          <w:kern w:val="0"/>
          <w:szCs w:val="24"/>
          <w:highlight w:val="yellow"/>
          <w14:ligatures w14:val="none"/>
        </w:rPr>
        <w:t>(Chamberlain et al., 2019)</w:t>
      </w:r>
      <w:r>
        <w:rPr>
          <w:highlight w:val="yellow"/>
        </w:rPr>
        <w:t>.</w:t>
      </w:r>
      <w:r>
        <w:t xml:space="preserve"> In addition to this, the search warrants are sent to the police officer and the magistrates handle other associated authorities, as they are responsible for granting such kinds of orders. In addition to this, different types of criminal cases are initiated in the court of the magistrate, as they are trained volunteers who hear and pass the judgments of different cases in the magistrate's courts in their particular community.  </w:t>
      </w:r>
    </w:p>
    <w:p>
      <w:pPr>
        <w:spacing w:after="0" w:line="480" w:lineRule="auto"/>
        <w:ind w:left="0" w:right="0" w:firstLine="720"/>
        <w:rPr>
          <w:color w:val="auto"/>
          <w:kern w:val="0"/>
          <w:szCs w:val="24"/>
          <w14:ligatures w14:val="none"/>
        </w:rPr>
      </w:pPr>
      <w:r>
        <w:t xml:space="preserve">However, they can also hear cases in both the criminal and family courts. Moreover, the cases are particularly heard by three magistrates for both criminal cases and family cases. Furthermore, the magistrates of the UK handle criminal cases, as they pass the most intense criminal activities to the Crown Court such as rape, murder, and robbery. All the important and crucial decisions are made by the magistrate regarding the defendant and what needs to be done as per the criminal activity done by the criminal. The verdict is based on the criminal activity and after that, the magistrate decides whether the criminal should be kept in custody or released on strict orders. However, the criminal activity that is generally handled and dealt with by the magistrates of the UK includes minor thrash, offence motoring, thievery, </w:t>
      </w:r>
      <w:r>
        <w:rPr>
          <w:highlight w:val="yellow"/>
        </w:rPr>
        <w:t xml:space="preserve">TV license eluding, and handling stolen goods. Moreover, the Magistrates of the UK are also capable of giving punishments, which can be in the form of fines, community orders, and imprisonment for up to 12 months for a single criminal activity </w:t>
      </w:r>
      <w:r>
        <w:rPr>
          <w:color w:val="auto"/>
          <w:kern w:val="0"/>
          <w:szCs w:val="24"/>
          <w:highlight w:val="yellow"/>
          <w14:ligatures w14:val="none"/>
        </w:rPr>
        <w:t>(de Castro Rodrigues et al., 2018)</w:t>
      </w:r>
      <w:r>
        <w:rPr>
          <w:highlight w:val="yellow"/>
        </w:rPr>
        <w:t>.</w:t>
      </w:r>
      <w:r>
        <w:t xml:space="preserve"> </w:t>
      </w:r>
    </w:p>
    <w:p>
      <w:pPr>
        <w:pStyle w:val="2"/>
        <w:spacing w:line="480" w:lineRule="auto"/>
        <w:ind w:left="245" w:hanging="260"/>
        <w:jc w:val="both"/>
      </w:pPr>
      <w:r>
        <w:t xml:space="preserve">Thesis  </w:t>
      </w:r>
    </w:p>
    <w:p>
      <w:pPr>
        <w:spacing w:after="302" w:line="480" w:lineRule="auto"/>
        <w:ind w:left="0" w:right="0" w:firstLine="720"/>
      </w:pPr>
      <w:r>
        <w:t xml:space="preserve">The significant aim of the study is to explain the advantages and disadvantages of </w:t>
      </w:r>
      <w:r>
        <w:rPr>
          <w:b/>
        </w:rPr>
        <w:t>Magistrates</w:t>
      </w:r>
      <w:r>
        <w:t xml:space="preserve"> in the exercise of justice in the UK. </w:t>
      </w:r>
    </w:p>
    <w:p>
      <w:pPr>
        <w:pStyle w:val="2"/>
        <w:spacing w:line="480" w:lineRule="auto"/>
        <w:ind w:left="245" w:hanging="260"/>
        <w:jc w:val="both"/>
      </w:pPr>
      <w:r>
        <w:t xml:space="preserve">Court closures  </w:t>
      </w:r>
    </w:p>
    <w:p>
      <w:pPr>
        <w:spacing w:after="0" w:line="480" w:lineRule="auto"/>
        <w:ind w:left="0" w:right="0" w:firstLine="720"/>
        <w:rPr>
          <w:color w:val="auto"/>
          <w:kern w:val="0"/>
          <w:szCs w:val="24"/>
          <w14:ligatures w14:val="none"/>
        </w:rPr>
      </w:pPr>
      <w:r>
        <w:rPr>
          <w:highlight w:val="yellow"/>
        </w:rPr>
        <w:t xml:space="preserve">In the UK, the HM Courts and Tribunals Service also referred to as HMCTS aims to fund the upgradation of the court system of the UK, which includes new digital technological services </w:t>
      </w:r>
      <w:r>
        <w:rPr>
          <w:color w:val="auto"/>
          <w:kern w:val="0"/>
          <w:szCs w:val="24"/>
          <w:highlight w:val="yellow"/>
          <w14:ligatures w14:val="none"/>
        </w:rPr>
        <w:t>(Skinns, 2022)</w:t>
      </w:r>
      <w:r>
        <w:rPr>
          <w:highlight w:val="yellow"/>
        </w:rPr>
        <w:t>.</w:t>
      </w:r>
      <w:r>
        <w:t xml:space="preserve"> In addition to this, due to the pandemic crisis of COVID 19, the backlog of cases in the courts has increased. Therefore, in return, in the year 2021, the government of the country announced that it would integrate a recovery country in association with the orgiastic court, which is ‘Nightingale Courts’ to reduce the adverse impact of the COVID-19 pandemic crisis on the justice system. The number of cases in the Crown Court is more than 58,000 as compared to the 386,000 cases in the magistrates’ courts. Furthermore, the reports of the National Audit Office of the UK government are ploys to shut down more than 77 courts by the upcoming years of 2025 and 2026. Additionally, it is not only performed randomly however there needs to be proper evidence of whether the impact of the reforms is lowering the utilization of those buildings or not and it has been observed in the year 2019.  </w:t>
      </w:r>
    </w:p>
    <w:p>
      <w:pPr>
        <w:pStyle w:val="2"/>
        <w:spacing w:line="480" w:lineRule="auto"/>
        <w:ind w:left="245" w:hanging="260"/>
        <w:jc w:val="both"/>
      </w:pPr>
      <w:r>
        <w:t xml:space="preserve">Characteristics  </w:t>
      </w:r>
    </w:p>
    <w:p>
      <w:pPr>
        <w:spacing w:after="301" w:line="480" w:lineRule="auto"/>
        <w:ind w:left="-5" w:right="0" w:firstLine="725"/>
      </w:pPr>
      <w:r>
        <w:t xml:space="preserve">The magistrates of the UK deal with the issues of bail and any other kind of prefatory affairs and they can belong to different backgrounds. They are the common people having common sense however, the magistrates have a high level of potential to make fair decisions. The age that is needed for the position of magistrate ranges from 18 and 70 respectively. Moreover, the person needs to be not associated with any kind of past criminal situation. </w:t>
      </w:r>
    </w:p>
    <w:p>
      <w:pPr>
        <w:pStyle w:val="2"/>
        <w:spacing w:line="480" w:lineRule="auto"/>
        <w:ind w:left="245" w:hanging="260"/>
        <w:jc w:val="both"/>
        <w:rPr>
          <w:highlight w:val="yellow"/>
        </w:rPr>
      </w:pPr>
      <w:r>
        <w:rPr>
          <w:highlight w:val="yellow"/>
        </w:rPr>
        <w:t xml:space="preserve">Evidence of any other advantages or disadvantages </w:t>
      </w:r>
    </w:p>
    <w:p>
      <w:pPr>
        <w:spacing w:after="0" w:line="480" w:lineRule="auto"/>
        <w:ind w:left="0" w:right="0" w:firstLine="720"/>
      </w:pPr>
      <w:r>
        <w:rPr>
          <w:highlight w:val="yellow"/>
        </w:rPr>
        <w:t xml:space="preserve">The court closers could have detrimental effects on the users of the country in the UK and it can affect more specifically low-income households </w:t>
      </w:r>
      <w:r>
        <w:rPr>
          <w:color w:val="auto"/>
          <w:kern w:val="0"/>
          <w:szCs w:val="24"/>
          <w:highlight w:val="yellow"/>
          <w14:ligatures w14:val="none"/>
        </w:rPr>
        <w:t>(Dwyer et al., 2019)</w:t>
      </w:r>
      <w:r>
        <w:rPr>
          <w:highlight w:val="yellow"/>
        </w:rPr>
        <w:t>.</w:t>
      </w:r>
      <w:r>
        <w:t xml:space="preserve"> It can also generate issues associated with mobility or disability. Some groups of the population of the UK   may not be effectively served by the implication of a remote hearing approach. The group of people who have the responsibility of children or other associated caring responsibilities can be negatively impacted by the remote hearings. It can be beneficial for the individual residing in the cities however; the people of rural areas will not be positively impacted by the remote hearings. Somehow, it is not that effective and convenient for business developers as it can be more time-consuming and less cost-effective. The cost-magistrates are unpaid entities that help in saving of £100 million. On the other hand, the prosecution is Biased due to the untrained can create big hurdles.</w:t>
      </w:r>
    </w:p>
    <w:p>
      <w:pPr>
        <w:pStyle w:val="2"/>
        <w:numPr>
          <w:numId w:val="0"/>
        </w:numPr>
        <w:spacing w:line="480" w:lineRule="auto"/>
        <w:ind w:leftChars="0"/>
        <w:jc w:val="both"/>
      </w:pPr>
      <w:r>
        <w:t>Assessment of the pros and cons of the Magistrates.</w:t>
      </w:r>
    </w:p>
    <w:p>
      <w:pPr>
        <w:pStyle w:val="3"/>
        <w:spacing w:line="480" w:lineRule="auto"/>
        <w:rPr>
          <w:highlight w:val="yellow"/>
        </w:rPr>
      </w:pPr>
      <w:r>
        <w:rPr>
          <w:highlight w:val="yellow"/>
        </w:rPr>
        <w:t>Pros of the Magistrate</w:t>
      </w:r>
    </w:p>
    <w:p>
      <w:pPr>
        <w:pStyle w:val="10"/>
        <w:numPr>
          <w:ilvl w:val="0"/>
          <w:numId w:val="2"/>
        </w:numPr>
        <w:spacing w:line="480" w:lineRule="auto"/>
        <w:rPr>
          <w:highlight w:val="yellow"/>
        </w:rPr>
      </w:pPr>
      <w:r>
        <w:rPr>
          <w:highlight w:val="yellow"/>
        </w:rPr>
        <w:t>Magistrates are an important character for maintaining justice in the court proceeding. The criminals of minor acts are provided with equal rights to hearing in court by the magistrate.</w:t>
      </w:r>
    </w:p>
    <w:p>
      <w:pPr>
        <w:pStyle w:val="10"/>
        <w:numPr>
          <w:ilvl w:val="0"/>
          <w:numId w:val="2"/>
        </w:numPr>
        <w:spacing w:line="480" w:lineRule="auto"/>
        <w:rPr>
          <w:highlight w:val="yellow"/>
        </w:rPr>
      </w:pPr>
      <w:r>
        <w:rPr>
          <w:highlight w:val="yellow"/>
        </w:rPr>
        <w:t xml:space="preserve">The magistrates ensure that court proceedings and legal help can be granted sufficiently to the large set of population in the United Kingdom </w:t>
      </w:r>
      <w:r>
        <w:rPr>
          <w:color w:val="auto"/>
          <w:kern w:val="0"/>
          <w:szCs w:val="24"/>
          <w:highlight w:val="yellow"/>
          <w14:ligatures w14:val="none"/>
        </w:rPr>
        <w:t>(Richardson and Speed, 2019)</w:t>
      </w:r>
      <w:r>
        <w:rPr>
          <w:highlight w:val="yellow"/>
        </w:rPr>
        <w:t>.</w:t>
      </w:r>
    </w:p>
    <w:p>
      <w:pPr>
        <w:pStyle w:val="10"/>
        <w:numPr>
          <w:ilvl w:val="0"/>
          <w:numId w:val="2"/>
        </w:numPr>
        <w:spacing w:line="480" w:lineRule="auto"/>
        <w:rPr>
          <w:highlight w:val="yellow"/>
        </w:rPr>
      </w:pPr>
      <w:r>
        <w:rPr>
          <w:highlight w:val="yellow"/>
        </w:rPr>
        <w:t>The magistrates assist the general public with the less costly package.</w:t>
      </w:r>
    </w:p>
    <w:p>
      <w:pPr>
        <w:pStyle w:val="10"/>
        <w:numPr>
          <w:ilvl w:val="0"/>
          <w:numId w:val="2"/>
        </w:numPr>
        <w:spacing w:line="480" w:lineRule="auto"/>
        <w:rPr>
          <w:highlight w:val="yellow"/>
        </w:rPr>
      </w:pPr>
      <w:r>
        <w:rPr>
          <w:highlight w:val="yellow"/>
        </w:rPr>
        <w:t xml:space="preserve"> The decreased number of resources of the court are utilised by hiring magistrates in minor criminal acts. </w:t>
      </w:r>
    </w:p>
    <w:p>
      <w:pPr>
        <w:pStyle w:val="10"/>
        <w:numPr>
          <w:ilvl w:val="0"/>
          <w:numId w:val="2"/>
        </w:numPr>
        <w:spacing w:line="480" w:lineRule="auto"/>
        <w:rPr>
          <w:highlight w:val="yellow"/>
        </w:rPr>
      </w:pPr>
      <w:r>
        <w:rPr>
          <w:highlight w:val="yellow"/>
        </w:rPr>
        <w:t xml:space="preserve">The magistrate turns the attention of the court and judges towards the piled-up serious offences and criminal issues in contrast to the court hearing of minor offences. </w:t>
      </w:r>
    </w:p>
    <w:p>
      <w:pPr>
        <w:pStyle w:val="3"/>
        <w:spacing w:line="480" w:lineRule="auto"/>
        <w:rPr>
          <w:highlight w:val="yellow"/>
        </w:rPr>
      </w:pPr>
      <w:r>
        <w:rPr>
          <w:highlight w:val="yellow"/>
        </w:rPr>
        <w:t>Cons of the Magistrate</w:t>
      </w:r>
    </w:p>
    <w:p>
      <w:pPr>
        <w:pStyle w:val="10"/>
        <w:numPr>
          <w:ilvl w:val="0"/>
          <w:numId w:val="3"/>
        </w:numPr>
        <w:spacing w:line="480" w:lineRule="auto"/>
        <w:rPr>
          <w:highlight w:val="yellow"/>
        </w:rPr>
      </w:pPr>
      <w:r>
        <w:rPr>
          <w:highlight w:val="yellow"/>
        </w:rPr>
        <w:t>The magistrate does not have sufficient training and knowledge about the legal complexities. They lack extensive practice and research in resolving complicated legal opinions.</w:t>
      </w:r>
    </w:p>
    <w:p>
      <w:pPr>
        <w:pStyle w:val="10"/>
        <w:numPr>
          <w:ilvl w:val="0"/>
          <w:numId w:val="3"/>
        </w:numPr>
        <w:spacing w:line="480" w:lineRule="auto"/>
        <w:rPr>
          <w:highlight w:val="yellow"/>
        </w:rPr>
      </w:pPr>
      <w:r>
        <w:rPr>
          <w:highlight w:val="yellow"/>
        </w:rPr>
        <w:t xml:space="preserve">The magistrates can belong to specific racial backgrounds, and cultural practices that may raise the conflict of interest as well as the susceptibility to biases in forming the legal opinion against serious criminal acts </w:t>
      </w:r>
      <w:r>
        <w:rPr>
          <w:color w:val="auto"/>
          <w:kern w:val="0"/>
          <w:szCs w:val="24"/>
          <w:highlight w:val="yellow"/>
          <w14:ligatures w14:val="none"/>
        </w:rPr>
        <w:t>(Campbell, 2020)</w:t>
      </w:r>
      <w:r>
        <w:rPr>
          <w:highlight w:val="yellow"/>
        </w:rPr>
        <w:t>.</w:t>
      </w:r>
    </w:p>
    <w:p>
      <w:pPr>
        <w:pStyle w:val="10"/>
        <w:numPr>
          <w:ilvl w:val="0"/>
          <w:numId w:val="3"/>
        </w:numPr>
        <w:spacing w:line="480" w:lineRule="auto"/>
      </w:pPr>
      <w:r>
        <w:rPr>
          <w:highlight w:val="yellow"/>
        </w:rPr>
        <w:t>In most cases, magistrates favour the prosecution by believing the police-based story of the criminal act. The opinion of the defendant is being judged and ignored by the magistrate due to discrimination in the justice system.</w:t>
      </w:r>
    </w:p>
    <w:p>
      <w:pPr>
        <w:pStyle w:val="2"/>
        <w:numPr>
          <w:ilvl w:val="0"/>
          <w:numId w:val="0"/>
        </w:numPr>
        <w:spacing w:line="480" w:lineRule="auto"/>
        <w:ind w:left="10"/>
        <w:jc w:val="both"/>
      </w:pPr>
      <w:r>
        <w:t>9. Reform</w:t>
      </w:r>
    </w:p>
    <w:p>
      <w:pPr>
        <w:spacing w:after="0" w:line="480" w:lineRule="auto"/>
        <w:ind w:left="0" w:right="0" w:firstLine="0"/>
        <w:rPr>
          <w:color w:val="auto"/>
          <w:kern w:val="0"/>
          <w:szCs w:val="24"/>
          <w14:ligatures w14:val="none"/>
        </w:rPr>
      </w:pPr>
      <w:r>
        <w:tab/>
      </w:r>
      <w:r>
        <w:t>In the region of</w:t>
      </w:r>
      <w:r>
        <w:rPr>
          <w:b/>
        </w:rPr>
        <w:t xml:space="preserve"> </w:t>
      </w:r>
      <w:r>
        <w:t xml:space="preserve">England and Wales in the UK, there are more than 150 magistrates’ courts and most adult criminal cases are concluded in the court of magistrates. </w:t>
      </w:r>
      <w:r>
        <w:rPr>
          <w:highlight w:val="yellow"/>
        </w:rPr>
        <w:t>Magistrates of the UK</w:t>
      </w:r>
      <w:r>
        <w:t xml:space="preserve"> </w:t>
      </w:r>
      <w:r>
        <w:rPr>
          <w:highlight w:val="yellow"/>
        </w:rPr>
        <w:t xml:space="preserve">generally handle and deal with less intense cases and serious cases are sent to the Crown Court </w:t>
      </w:r>
      <w:r>
        <w:rPr>
          <w:color w:val="auto"/>
          <w:kern w:val="0"/>
          <w:szCs w:val="24"/>
          <w:highlight w:val="yellow"/>
          <w14:ligatures w14:val="none"/>
        </w:rPr>
        <w:t>(Owusu-Bempah, 2020)</w:t>
      </w:r>
      <w:r>
        <w:rPr>
          <w:highlight w:val="yellow"/>
        </w:rPr>
        <w:t>.</w:t>
      </w:r>
      <w:r>
        <w:t xml:space="preserve"> Moreover, in the year 2006 Tribunals Service was developed which combined the commanding of a large number of individual tribunals, leading to a more widespread and consistent practice for the court users. Furthermore, in the year 2008, the Tribunals, Courts, and Enforcement Act came into force, which resulted in an advanced two-tier Tribunal system. The new system includes a First-tier Tribunal and an Upper Tribunal; both are divided into separate Chambers. However, there is no difference in the jurisdictions that bring together the same kind of authority to hear calls. </w:t>
      </w:r>
    </w:p>
    <w:p>
      <w:pPr>
        <w:pStyle w:val="2"/>
        <w:numPr>
          <w:ilvl w:val="0"/>
          <w:numId w:val="0"/>
        </w:numPr>
        <w:spacing w:line="480" w:lineRule="auto"/>
        <w:ind w:left="10" w:hanging="10"/>
        <w:jc w:val="both"/>
      </w:pPr>
      <w:r>
        <w:t xml:space="preserve">10. Summary </w:t>
      </w:r>
    </w:p>
    <w:p>
      <w:pPr>
        <w:spacing w:after="0" w:line="480" w:lineRule="auto"/>
        <w:ind w:left="0" w:right="0" w:firstLine="720"/>
        <w:rPr>
          <w:color w:val="auto"/>
          <w:kern w:val="0"/>
          <w:szCs w:val="24"/>
          <w14:ligatures w14:val="none"/>
        </w:rPr>
      </w:pPr>
      <w:r>
        <w:rPr>
          <w:highlight w:val="yellow"/>
        </w:rPr>
        <w:t xml:space="preserve">The magistrates of the UK have the potential power of up to 12 months imprisonment, which is found to be the maximum sentencing power along with unlimited fines </w:t>
      </w:r>
      <w:r>
        <w:rPr>
          <w:color w:val="auto"/>
          <w:kern w:val="0"/>
          <w:szCs w:val="24"/>
          <w:highlight w:val="yellow"/>
          <w14:ligatures w14:val="none"/>
        </w:rPr>
        <w:t>(Bosworth, 2017)</w:t>
      </w:r>
      <w:r>
        <w:rPr>
          <w:highlight w:val="yellow"/>
        </w:rPr>
        <w:t>.</w:t>
      </w:r>
      <w:r>
        <w:t xml:space="preserve"> The magistrates handle the lesser offences including compendious and in whatever way offences are meant to be dealt in the court of the magistrates. </w:t>
      </w:r>
    </w:p>
    <w:p>
      <w:pPr>
        <w:spacing w:after="0" w:line="480" w:lineRule="auto"/>
        <w:ind w:left="0" w:right="0" w:firstLine="0"/>
      </w:pPr>
      <w:r>
        <w:rPr>
          <w:rFonts w:ascii="Calibri" w:hAnsi="Calibri" w:eastAsia="Calibri" w:cs="Calibri"/>
          <w:sz w:val="22"/>
        </w:rPr>
        <w:t xml:space="preserve"> </w:t>
      </w:r>
      <w:r>
        <w:rPr>
          <w:rFonts w:ascii="Calibri" w:hAnsi="Calibri" w:eastAsia="Calibri" w:cs="Calibri"/>
          <w:sz w:val="22"/>
        </w:rPr>
        <w:tab/>
      </w:r>
      <w:r>
        <w:rPr>
          <w:b/>
          <w:sz w:val="28"/>
        </w:rPr>
        <w:t xml:space="preserve"> </w:t>
      </w:r>
      <w:r>
        <w:br w:type="page"/>
      </w:r>
    </w:p>
    <w:p>
      <w:pPr>
        <w:pStyle w:val="2"/>
        <w:numPr>
          <w:ilvl w:val="0"/>
          <w:numId w:val="0"/>
        </w:numPr>
        <w:spacing w:after="535" w:line="259" w:lineRule="auto"/>
      </w:pPr>
      <w:r>
        <w:rPr>
          <w:sz w:val="28"/>
        </w:rPr>
        <w:t xml:space="preserve">References  </w:t>
      </w:r>
    </w:p>
    <w:p>
      <w:pPr>
        <w:pStyle w:val="7"/>
        <w:spacing w:before="0" w:beforeAutospacing="0" w:after="240" w:afterAutospacing="0" w:line="480" w:lineRule="auto"/>
        <w:ind w:left="720" w:hanging="720"/>
        <w:rPr>
          <w:highlight w:val="yellow"/>
        </w:rPr>
      </w:pPr>
      <w:r>
        <w:t xml:space="preserve"> </w:t>
      </w:r>
      <w:r>
        <w:rPr>
          <w:highlight w:val="yellow"/>
        </w:rPr>
        <w:t xml:space="preserve">Bosworth, M. (2017). Immigration detention, punishment and the transformation of justice. </w:t>
      </w:r>
      <w:r>
        <w:rPr>
          <w:i/>
          <w:iCs/>
          <w:highlight w:val="yellow"/>
        </w:rPr>
        <w:t>Social &amp; Legal Studies</w:t>
      </w:r>
      <w:r>
        <w:rPr>
          <w:highlight w:val="yellow"/>
        </w:rPr>
        <w:t>, 28(1), pp.81–99. doi:https://doi.org/10.1177/0964663917747341.</w:t>
      </w:r>
    </w:p>
    <w:p>
      <w:pPr>
        <w:pStyle w:val="7"/>
        <w:spacing w:before="0" w:beforeAutospacing="0" w:after="240" w:afterAutospacing="0" w:line="480" w:lineRule="auto"/>
        <w:ind w:left="720" w:hanging="720"/>
        <w:rPr>
          <w:highlight w:val="yellow"/>
        </w:rPr>
      </w:pPr>
      <w:r>
        <w:rPr>
          <w:highlight w:val="yellow"/>
        </w:rPr>
        <w:t xml:space="preserve">Campbell, J.R. (2020). Interrogating the role and value of cultural expertise in law. </w:t>
      </w:r>
      <w:r>
        <w:rPr>
          <w:i/>
          <w:iCs/>
          <w:highlight w:val="yellow"/>
        </w:rPr>
        <w:t>Laws</w:t>
      </w:r>
      <w:r>
        <w:rPr>
          <w:highlight w:val="yellow"/>
        </w:rPr>
        <w:t>, 9(4), p.29. doi:https://doi.org/10.3390/laws9040029.</w:t>
      </w:r>
    </w:p>
    <w:p>
      <w:pPr>
        <w:pStyle w:val="7"/>
        <w:spacing w:before="0" w:beforeAutospacing="0" w:after="240" w:afterAutospacing="0" w:line="480" w:lineRule="auto"/>
        <w:ind w:left="720" w:hanging="720"/>
        <w:rPr>
          <w:highlight w:val="yellow"/>
        </w:rPr>
      </w:pPr>
      <w:r>
        <w:rPr>
          <w:highlight w:val="yellow"/>
        </w:rPr>
        <w:t xml:space="preserve">Chamberlain, P., Keppel-Palmer, M., Reardon, S. and Smith, T. (2019). It is criminal: The state of magistrates’ court reporting in England and Wales. </w:t>
      </w:r>
      <w:r>
        <w:rPr>
          <w:i/>
          <w:iCs/>
          <w:highlight w:val="yellow"/>
        </w:rPr>
        <w:t>Journalism</w:t>
      </w:r>
      <w:r>
        <w:rPr>
          <w:highlight w:val="yellow"/>
        </w:rPr>
        <w:t>, 22(9), p.146488491986804. doi:https://doi.org/10.1177/1464884919868049.</w:t>
      </w:r>
    </w:p>
    <w:p>
      <w:pPr>
        <w:pStyle w:val="7"/>
        <w:spacing w:before="0" w:beforeAutospacing="0" w:after="240" w:afterAutospacing="0" w:line="480" w:lineRule="auto"/>
        <w:ind w:left="720" w:hanging="720"/>
        <w:rPr>
          <w:highlight w:val="yellow"/>
        </w:rPr>
      </w:pPr>
      <w:r>
        <w:rPr>
          <w:highlight w:val="yellow"/>
        </w:rPr>
        <w:t xml:space="preserve">de Castro Rodrigues, A., Sacau, A., de Oliveira, J.Q. and Gonçalves, R.A. (2018). Prison sentences: last resort or the default sanction? </w:t>
      </w:r>
      <w:r>
        <w:rPr>
          <w:i/>
          <w:iCs/>
          <w:highlight w:val="yellow"/>
        </w:rPr>
        <w:t>Psychology, Crime &amp; Law</w:t>
      </w:r>
      <w:r>
        <w:rPr>
          <w:highlight w:val="yellow"/>
        </w:rPr>
        <w:t>, 25(2), pp.171–194. doi:https://doi.org/10.1080/1068316x.2018.1511788.</w:t>
      </w:r>
    </w:p>
    <w:p>
      <w:pPr>
        <w:pStyle w:val="7"/>
        <w:spacing w:before="0" w:beforeAutospacing="0" w:after="240" w:afterAutospacing="0" w:line="480" w:lineRule="auto"/>
        <w:ind w:left="720" w:hanging="720"/>
        <w:rPr>
          <w:highlight w:val="yellow"/>
        </w:rPr>
      </w:pPr>
      <w:r>
        <w:rPr>
          <w:highlight w:val="yellow"/>
        </w:rPr>
        <w:t xml:space="preserve">Dwyer, P.J., Scullion, L., Jones, K. and Stewart, A. (2019). The impact of conditionality on the welfare rights of EU migrants in the UK. </w:t>
      </w:r>
      <w:r>
        <w:rPr>
          <w:i/>
          <w:iCs/>
          <w:highlight w:val="yellow"/>
        </w:rPr>
        <w:t>Policy &amp; Politics</w:t>
      </w:r>
      <w:r>
        <w:rPr>
          <w:highlight w:val="yellow"/>
        </w:rPr>
        <w:t>, [online] 47(1), pp.133–150. doi:https://doi.org/10.1332/030557318x15296527346800.</w:t>
      </w:r>
    </w:p>
    <w:p>
      <w:pPr>
        <w:pStyle w:val="7"/>
        <w:spacing w:before="0" w:beforeAutospacing="0" w:after="240" w:afterAutospacing="0" w:line="480" w:lineRule="auto"/>
        <w:ind w:left="720" w:hanging="720"/>
        <w:rPr>
          <w:highlight w:val="yellow"/>
        </w:rPr>
      </w:pPr>
      <w:r>
        <w:rPr>
          <w:highlight w:val="yellow"/>
        </w:rPr>
        <w:t xml:space="preserve">McIntyre, J. (2019). </w:t>
      </w:r>
      <w:r>
        <w:rPr>
          <w:i/>
          <w:iCs/>
          <w:highlight w:val="yellow"/>
        </w:rPr>
        <w:t>The Judicial Function</w:t>
      </w:r>
      <w:r>
        <w:rPr>
          <w:highlight w:val="yellow"/>
        </w:rPr>
        <w:t>. Springer Link. doi:https://doi.org/10.1007/978-981-32-9115-7.</w:t>
      </w:r>
    </w:p>
    <w:p>
      <w:pPr>
        <w:pStyle w:val="7"/>
        <w:spacing w:before="0" w:beforeAutospacing="0" w:after="240" w:afterAutospacing="0" w:line="480" w:lineRule="auto"/>
        <w:ind w:left="720" w:hanging="720"/>
        <w:rPr>
          <w:highlight w:val="yellow"/>
        </w:rPr>
      </w:pPr>
      <w:r>
        <w:rPr>
          <w:highlight w:val="yellow"/>
        </w:rPr>
        <w:t xml:space="preserve">Owusu-Bempah, A. (2020). Understanding the barriers to defendant participation in criminal proceedings in England and Wales. </w:t>
      </w:r>
      <w:r>
        <w:rPr>
          <w:i/>
          <w:iCs/>
          <w:highlight w:val="yellow"/>
        </w:rPr>
        <w:t>Legal Studies</w:t>
      </w:r>
      <w:r>
        <w:rPr>
          <w:highlight w:val="yellow"/>
        </w:rPr>
        <w:t>, [online] pp.1–21. doi:https://doi.org/10.1017/lst.2020.25.</w:t>
      </w:r>
    </w:p>
    <w:p>
      <w:pPr>
        <w:pStyle w:val="7"/>
        <w:spacing w:before="0" w:beforeAutospacing="0" w:after="240" w:afterAutospacing="0" w:line="480" w:lineRule="auto"/>
        <w:ind w:left="720" w:hanging="720"/>
        <w:rPr>
          <w:highlight w:val="yellow"/>
        </w:rPr>
      </w:pPr>
      <w:r>
        <w:rPr>
          <w:highlight w:val="yellow"/>
        </w:rPr>
        <w:t xml:space="preserve">Richardson, K.L. and Speed, A.K. (2019). Restrictions on legal aid in family law cases in England and Wales: creating a necessary barrier to public funding or simply increasing the burden on the family courts? </w:t>
      </w:r>
      <w:r>
        <w:rPr>
          <w:i/>
          <w:iCs/>
          <w:highlight w:val="yellow"/>
        </w:rPr>
        <w:t>Journal of Social Welfare and Family Law</w:t>
      </w:r>
      <w:r>
        <w:rPr>
          <w:highlight w:val="yellow"/>
        </w:rPr>
        <w:t>, 41(2), pp.135–152. doi:https://doi.org/10.1080/09649069.2019.1590898.</w:t>
      </w:r>
    </w:p>
    <w:p>
      <w:pPr>
        <w:pStyle w:val="7"/>
        <w:spacing w:before="0" w:beforeAutospacing="0" w:after="240" w:afterAutospacing="0" w:line="480" w:lineRule="auto"/>
        <w:ind w:left="720" w:hanging="720"/>
        <w:rPr>
          <w:highlight w:val="yellow"/>
        </w:rPr>
      </w:pPr>
      <w:r>
        <w:rPr>
          <w:highlight w:val="yellow"/>
        </w:rPr>
        <w:t xml:space="preserve">Skinns, C.D. (2022). Courts and sentencing. </w:t>
      </w:r>
      <w:r>
        <w:rPr>
          <w:i/>
          <w:iCs/>
          <w:highlight w:val="yellow"/>
        </w:rPr>
        <w:t>Conservative Government Penal Policy 2015-2021</w:t>
      </w:r>
      <w:r>
        <w:rPr>
          <w:highlight w:val="yellow"/>
        </w:rPr>
        <w:t>, pp.37–106. doi:https://doi.org/10.1007/978-3-031-00797-2_3.</w:t>
      </w:r>
    </w:p>
    <w:p>
      <w:pPr>
        <w:pStyle w:val="7"/>
        <w:spacing w:before="0" w:beforeAutospacing="0" w:after="240" w:afterAutospacing="0" w:line="480" w:lineRule="auto"/>
        <w:ind w:left="720" w:hanging="720"/>
        <w:rPr>
          <w:highlight w:val="yellow"/>
        </w:rPr>
      </w:pPr>
      <w:r>
        <w:rPr>
          <w:highlight w:val="yellow"/>
        </w:rPr>
        <w:t xml:space="preserve">Smith, T. (2022). The practice of pre-trial detention in England &amp; Wales - Changing law and changing culture. </w:t>
      </w:r>
      <w:r>
        <w:rPr>
          <w:i/>
          <w:iCs/>
          <w:highlight w:val="yellow"/>
        </w:rPr>
        <w:t>European Journal on Criminal Policy and Research</w:t>
      </w:r>
      <w:r>
        <w:rPr>
          <w:highlight w:val="yellow"/>
        </w:rPr>
        <w:t>. doi:https://doi.org/10.1007/s10610-022-09504-y.</w:t>
      </w:r>
    </w:p>
    <w:p>
      <w:pPr>
        <w:pStyle w:val="7"/>
        <w:spacing w:before="0" w:beforeAutospacing="0" w:after="240" w:afterAutospacing="0" w:line="480" w:lineRule="auto"/>
        <w:ind w:left="720" w:hanging="720"/>
      </w:pPr>
      <w:r>
        <w:rPr>
          <w:highlight w:val="yellow"/>
        </w:rPr>
        <w:t xml:space="preserve">van den Brink, Y. (2021). Remand decision-making in the youth court. A comparative analysis of youth remand and bail in England &amp; Wales and the Netherlands. </w:t>
      </w:r>
      <w:r>
        <w:rPr>
          <w:i/>
          <w:iCs/>
          <w:highlight w:val="yellow"/>
        </w:rPr>
        <w:t>International Journal of Law, Crime and Justice</w:t>
      </w:r>
      <w:r>
        <w:rPr>
          <w:highlight w:val="yellow"/>
        </w:rPr>
        <w:t>, 66, p.100487. doi:https://doi.org/10.1016/j.ijlcj.2021.100487.</w:t>
      </w:r>
    </w:p>
    <w:sectPr>
      <w:footerReference r:id="rId7" w:type="first"/>
      <w:footerReference r:id="rId5" w:type="default"/>
      <w:footerReference r:id="rId6" w:type="even"/>
      <w:pgSz w:w="12240" w:h="15840"/>
      <w:pgMar w:top="1452" w:right="1432" w:bottom="1569" w:left="1441" w:header="720" w:footer="716"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等线">
    <w:altName w:val="Arial Unicode MS"/>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91" w:line="259" w:lineRule="auto"/>
      <w:ind w:left="0" w:right="4" w:firstLine="0"/>
      <w:jc w:val="right"/>
    </w:pPr>
    <w:r>
      <w:fldChar w:fldCharType="begin"/>
    </w:r>
    <w:r>
      <w:instrText xml:space="preserve"> PAGE   \* MERGEFORMAT </w:instrText>
    </w:r>
    <w:r>
      <w:fldChar w:fldCharType="separate"/>
    </w:r>
    <w:r>
      <w:rPr>
        <w:sz w:val="20"/>
      </w:rPr>
      <w:t>1</w:t>
    </w:r>
    <w:r>
      <w:rPr>
        <w:sz w:val="20"/>
      </w:rPr>
      <w:fldChar w:fldCharType="end"/>
    </w:r>
    <w:r>
      <w:rPr>
        <w:rFonts w:ascii="Calibri" w:hAnsi="Calibri" w:eastAsia="Calibri" w:cs="Calibri"/>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91" w:line="259" w:lineRule="auto"/>
      <w:ind w:left="0" w:right="4" w:firstLine="0"/>
      <w:jc w:val="right"/>
    </w:pPr>
    <w:r>
      <w:fldChar w:fldCharType="begin"/>
    </w:r>
    <w:r>
      <w:instrText xml:space="preserve"> PAGE   \* MERGEFORMAT </w:instrText>
    </w:r>
    <w:r>
      <w:fldChar w:fldCharType="separate"/>
    </w:r>
    <w:r>
      <w:rPr>
        <w:sz w:val="20"/>
      </w:rPr>
      <w:t>1</w:t>
    </w:r>
    <w:r>
      <w:rPr>
        <w:sz w:val="20"/>
      </w:rPr>
      <w:fldChar w:fldCharType="end"/>
    </w:r>
    <w:r>
      <w:rPr>
        <w:rFonts w:ascii="Calibri" w:hAnsi="Calibri" w:eastAsia="Calibri" w:cs="Calibri"/>
        <w:sz w:val="22"/>
      </w:rPr>
      <w:t xml:space="preserve"> </w:t>
    </w:r>
  </w:p>
  <w:p>
    <w:pPr>
      <w:spacing w:after="0" w:line="259" w:lineRule="auto"/>
      <w:ind w:left="0" w:right="0" w:firstLine="0"/>
      <w:jc w:val="left"/>
    </w:pPr>
    <w:r>
      <w:rPr>
        <w:rFonts w:ascii="Calibri" w:hAnsi="Calibri" w:eastAsia="Calibri" w:cs="Calibri"/>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91" w:line="259" w:lineRule="auto"/>
      <w:ind w:left="0" w:right="4" w:firstLine="0"/>
      <w:jc w:val="right"/>
    </w:pPr>
    <w:r>
      <w:fldChar w:fldCharType="begin"/>
    </w:r>
    <w:r>
      <w:instrText xml:space="preserve"> PAGE   \* MERGEFORMAT </w:instrText>
    </w:r>
    <w:r>
      <w:fldChar w:fldCharType="separate"/>
    </w:r>
    <w:r>
      <w:rPr>
        <w:sz w:val="20"/>
      </w:rPr>
      <w:t>1</w:t>
    </w:r>
    <w:r>
      <w:rPr>
        <w:sz w:val="20"/>
      </w:rPr>
      <w:fldChar w:fldCharType="end"/>
    </w:r>
    <w:r>
      <w:rPr>
        <w:rFonts w:ascii="Calibri" w:hAnsi="Calibri" w:eastAsia="Calibri" w:cs="Calibri"/>
        <w:sz w:val="22"/>
      </w:rPr>
      <w:t xml:space="preserve"> </w:t>
    </w:r>
  </w:p>
  <w:p>
    <w:pPr>
      <w:spacing w:after="0" w:line="259" w:lineRule="auto"/>
      <w:ind w:left="0" w:right="0" w:firstLine="0"/>
      <w:jc w:val="left"/>
    </w:pPr>
    <w:r>
      <w:rPr>
        <w:rFonts w:ascii="Calibri" w:hAnsi="Calibri" w:eastAsia="Calibri" w:cs="Calibri"/>
        <w:sz w:val="22"/>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57" w:lineRule="auto"/>
      </w:pPr>
      <w:r>
        <w:separator/>
      </w:r>
    </w:p>
  </w:footnote>
  <w:footnote w:type="continuationSeparator" w:id="1">
    <w:p>
      <w:pPr>
        <w:spacing w:before="0" w:after="0" w:line="357"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0C570F"/>
    <w:multiLevelType w:val="multilevel"/>
    <w:tmpl w:val="050C570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16679E4"/>
    <w:multiLevelType w:val="multilevel"/>
    <w:tmpl w:val="216679E4"/>
    <w:lvl w:ilvl="0" w:tentative="0">
      <w:start w:val="1"/>
      <w:numFmt w:val="decimal"/>
      <w:pStyle w:val="2"/>
      <w:lvlText w:val="%1."/>
      <w:lvlJc w:val="left"/>
      <w:pPr>
        <w:ind w:left="0"/>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1" w:tentative="0">
      <w:start w:val="1"/>
      <w:numFmt w:val="lowerLetter"/>
      <w:lvlText w:val="%2"/>
      <w:lvlJc w:val="left"/>
      <w:pPr>
        <w:ind w:left="110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2" w:tentative="0">
      <w:start w:val="1"/>
      <w:numFmt w:val="lowerRoman"/>
      <w:lvlText w:val="%3"/>
      <w:lvlJc w:val="left"/>
      <w:pPr>
        <w:ind w:left="182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3" w:tentative="0">
      <w:start w:val="1"/>
      <w:numFmt w:val="decimal"/>
      <w:lvlText w:val="%4"/>
      <w:lvlJc w:val="left"/>
      <w:pPr>
        <w:ind w:left="254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4" w:tentative="0">
      <w:start w:val="1"/>
      <w:numFmt w:val="lowerLetter"/>
      <w:lvlText w:val="%5"/>
      <w:lvlJc w:val="left"/>
      <w:pPr>
        <w:ind w:left="326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5" w:tentative="0">
      <w:start w:val="1"/>
      <w:numFmt w:val="lowerRoman"/>
      <w:lvlText w:val="%6"/>
      <w:lvlJc w:val="left"/>
      <w:pPr>
        <w:ind w:left="398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6" w:tentative="0">
      <w:start w:val="1"/>
      <w:numFmt w:val="decimal"/>
      <w:lvlText w:val="%7"/>
      <w:lvlJc w:val="left"/>
      <w:pPr>
        <w:ind w:left="470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7" w:tentative="0">
      <w:start w:val="1"/>
      <w:numFmt w:val="lowerLetter"/>
      <w:lvlText w:val="%8"/>
      <w:lvlJc w:val="left"/>
      <w:pPr>
        <w:ind w:left="542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lvl w:ilvl="8" w:tentative="0">
      <w:start w:val="1"/>
      <w:numFmt w:val="lowerRoman"/>
      <w:lvlText w:val="%9"/>
      <w:lvlJc w:val="left"/>
      <w:pPr>
        <w:ind w:left="6142"/>
      </w:pPr>
      <w:rPr>
        <w:rFonts w:ascii="Times New Roman" w:hAnsi="Times New Roman" w:eastAsia="Times New Roman" w:cs="Times New Roman"/>
        <w:b/>
        <w:bCs/>
        <w:i w:val="0"/>
        <w:strike w:val="0"/>
        <w:dstrike w:val="0"/>
        <w:color w:val="000000"/>
        <w:sz w:val="26"/>
        <w:szCs w:val="26"/>
        <w:u w:val="none" w:color="000000"/>
        <w:shd w:val="clear" w:color="auto" w:fill="auto"/>
        <w:vertAlign w:val="baseline"/>
      </w:rPr>
    </w:lvl>
  </w:abstractNum>
  <w:abstractNum w:abstractNumId="2">
    <w:nsid w:val="67223D70"/>
    <w:multiLevelType w:val="multilevel"/>
    <w:tmpl w:val="67223D7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23A"/>
    <w:rsid w:val="001D4753"/>
    <w:rsid w:val="00377F02"/>
    <w:rsid w:val="004113F6"/>
    <w:rsid w:val="004E78A0"/>
    <w:rsid w:val="0073324A"/>
    <w:rsid w:val="008E223A"/>
    <w:rsid w:val="00965019"/>
    <w:rsid w:val="00A347B2"/>
    <w:rsid w:val="00AC7F39"/>
    <w:rsid w:val="00BD6C12"/>
    <w:rsid w:val="00C72D58"/>
    <w:rsid w:val="00D11225"/>
    <w:rsid w:val="114D3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79" w:line="357" w:lineRule="auto"/>
      <w:ind w:left="10" w:right="9" w:hanging="10"/>
      <w:jc w:val="both"/>
    </w:pPr>
    <w:rPr>
      <w:rFonts w:ascii="Times New Roman" w:hAnsi="Times New Roman" w:eastAsia="Times New Roman" w:cs="Times New Roman"/>
      <w:color w:val="000000"/>
      <w:kern w:val="2"/>
      <w:sz w:val="24"/>
      <w:szCs w:val="22"/>
      <w:lang w:val="en-GB" w:eastAsia="en-GB" w:bidi="ar-SA"/>
      <w14:ligatures w14:val="standardContextual"/>
    </w:rPr>
  </w:style>
  <w:style w:type="paragraph" w:styleId="2">
    <w:name w:val="heading 1"/>
    <w:next w:val="1"/>
    <w:link w:val="8"/>
    <w:qFormat/>
    <w:uiPriority w:val="9"/>
    <w:pPr>
      <w:keepNext/>
      <w:keepLines/>
      <w:numPr>
        <w:ilvl w:val="0"/>
        <w:numId w:val="1"/>
      </w:numPr>
      <w:spacing w:after="526" w:line="265" w:lineRule="auto"/>
      <w:ind w:left="10" w:hanging="10"/>
      <w:outlineLvl w:val="0"/>
    </w:pPr>
    <w:rPr>
      <w:rFonts w:ascii="Times New Roman" w:hAnsi="Times New Roman" w:eastAsia="Times New Roman" w:cs="Times New Roman"/>
      <w:b/>
      <w:color w:val="000000"/>
      <w:kern w:val="2"/>
      <w:sz w:val="24"/>
      <w:szCs w:val="22"/>
      <w:lang w:val="en-GB" w:eastAsia="en-GB" w:bidi="ar-SA"/>
      <w14:ligatures w14:val="standardContextual"/>
    </w:rPr>
  </w:style>
  <w:style w:type="paragraph" w:styleId="3">
    <w:name w:val="heading 2"/>
    <w:basedOn w:val="1"/>
    <w:next w:val="1"/>
    <w:link w:val="9"/>
    <w:unhideWhenUsed/>
    <w:qFormat/>
    <w:uiPriority w:val="9"/>
    <w:pPr>
      <w:keepNext/>
      <w:keepLines/>
      <w:spacing w:before="40" w:after="0"/>
      <w:outlineLvl w:val="1"/>
    </w:pPr>
    <w:rPr>
      <w:rFonts w:eastAsiaTheme="majorEastAsia" w:cstheme="majorBidi"/>
      <w:b/>
      <w:color w:val="auto"/>
      <w:szCs w:val="26"/>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header"/>
    <w:basedOn w:val="1"/>
    <w:semiHidden/>
    <w:unhideWhenUsed/>
    <w:uiPriority w:val="99"/>
    <w:pPr>
      <w:tabs>
        <w:tab w:val="center" w:pos="4153"/>
        <w:tab w:val="right" w:pos="8306"/>
      </w:tabs>
      <w:snapToGrid w:val="0"/>
    </w:pPr>
    <w:rPr>
      <w:sz w:val="18"/>
      <w:szCs w:val="18"/>
    </w:rPr>
  </w:style>
  <w:style w:type="paragraph" w:styleId="7">
    <w:name w:val="Normal (Web)"/>
    <w:basedOn w:val="1"/>
    <w:semiHidden/>
    <w:unhideWhenUsed/>
    <w:uiPriority w:val="99"/>
    <w:pPr>
      <w:spacing w:before="100" w:beforeAutospacing="1" w:after="100" w:afterAutospacing="1" w:line="240" w:lineRule="auto"/>
      <w:ind w:left="0" w:right="0" w:firstLine="0"/>
      <w:jc w:val="left"/>
    </w:pPr>
    <w:rPr>
      <w:color w:val="auto"/>
      <w:kern w:val="0"/>
      <w:szCs w:val="24"/>
      <w14:ligatures w14:val="none"/>
    </w:rPr>
  </w:style>
  <w:style w:type="character" w:customStyle="1" w:styleId="8">
    <w:name w:val="Heading 1 Char"/>
    <w:link w:val="2"/>
    <w:qFormat/>
    <w:uiPriority w:val="9"/>
    <w:rPr>
      <w:rFonts w:ascii="Times New Roman" w:hAnsi="Times New Roman" w:eastAsia="Times New Roman" w:cs="Times New Roman"/>
      <w:b/>
      <w:color w:val="000000"/>
      <w:sz w:val="24"/>
    </w:rPr>
  </w:style>
  <w:style w:type="character" w:customStyle="1" w:styleId="9">
    <w:name w:val="Heading 2 Char"/>
    <w:basedOn w:val="4"/>
    <w:link w:val="3"/>
    <w:qFormat/>
    <w:uiPriority w:val="9"/>
    <w:rPr>
      <w:rFonts w:ascii="Times New Roman" w:hAnsi="Times New Roman" w:eastAsiaTheme="majorEastAsia" w:cstheme="majorBidi"/>
      <w:b/>
      <w:sz w:val="24"/>
      <w:szCs w:val="26"/>
    </w:rPr>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TotalTime>21</TotalTime>
  <Pages>10</Pages>
  <Words>2058</Words>
  <Characters>11021</Characters>
  <DocSecurity>0</DocSecurity>
  <Lines>178</Lines>
  <Paragraphs>46</Paragraphs>
  <ScaleCrop>false</ScaleCrop>
  <LinksUpToDate>false</LinksUpToDate>
  <CharactersWithSpaces>13097</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2024-03-19T05:55:00Z</dcterms:created>
  <dcterms:modified xsi:type="dcterms:W3CDTF">2024-03-19T06:54:49Z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0fb000928626eca706bdd15c93a26e72e8556c632850dcf6a21fa8a585c54322</vt:lpwstr>
  </property>
  <property fmtid="{D5CDD505-2E9C-101B-9397-08002B2CF9AE}" pid="3" name="KSOProductBuildVer">
    <vt:lpwstr>2057-12.2.0.13489</vt:lpwstr>
  </property>
  <property fmtid="{D5CDD505-2E9C-101B-9397-08002B2CF9AE}" pid="4" name="ICV">
    <vt:lpwstr>4A0CE720179E40ADB0BE5493FEBD54F7_12</vt:lpwstr>
  </property>
</Properties>
</file>