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CB384" w14:textId="10C1C3CE" w:rsidR="00B77718" w:rsidRDefault="00386FFB" w:rsidP="006D4292">
      <w:pPr>
        <w:pStyle w:val="Title"/>
        <w:jc w:val="both"/>
      </w:pPr>
      <w:r>
        <w:rPr>
          <w:noProof/>
        </w:rPr>
        <w:t xml:space="preserve">                            </w:t>
      </w:r>
      <w:r>
        <w:rPr>
          <w:noProof/>
        </w:rPr>
        <w:drawing>
          <wp:inline distT="0" distB="0" distL="0" distR="0" wp14:anchorId="3B67CA4B" wp14:editId="022D525C">
            <wp:extent cx="1266825" cy="1200150"/>
            <wp:effectExtent l="0" t="0" r="952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6825" cy="1200150"/>
                    </a:xfrm>
                    <a:prstGeom prst="rect">
                      <a:avLst/>
                    </a:prstGeom>
                    <a:noFill/>
                  </pic:spPr>
                </pic:pic>
              </a:graphicData>
            </a:graphic>
          </wp:inline>
        </w:drawing>
      </w:r>
    </w:p>
    <w:tbl>
      <w:tblPr>
        <w:tblpPr w:leftFromText="180" w:rightFromText="180" w:bottomFromText="160" w:vertAnchor="page" w:horzAnchor="margin" w:tblpXSpec="center" w:tblpY="3916"/>
        <w:tblW w:w="10348" w:type="dxa"/>
        <w:tblLook w:val="04A0" w:firstRow="1" w:lastRow="0" w:firstColumn="1" w:lastColumn="0" w:noHBand="0" w:noVBand="1"/>
      </w:tblPr>
      <w:tblGrid>
        <w:gridCol w:w="3439"/>
        <w:gridCol w:w="2300"/>
        <w:gridCol w:w="1920"/>
        <w:gridCol w:w="2689"/>
      </w:tblGrid>
      <w:tr w:rsidR="000A4153" w:rsidRPr="00386FFB" w14:paraId="22D043A5" w14:textId="77777777" w:rsidTr="000A4153">
        <w:trPr>
          <w:trHeight w:val="420"/>
        </w:trPr>
        <w:tc>
          <w:tcPr>
            <w:tcW w:w="3439" w:type="dxa"/>
            <w:tcBorders>
              <w:top w:val="single" w:sz="4" w:space="0" w:color="auto"/>
              <w:left w:val="single" w:sz="4" w:space="0" w:color="auto"/>
              <w:bottom w:val="nil"/>
              <w:right w:val="single" w:sz="4" w:space="0" w:color="auto"/>
            </w:tcBorders>
            <w:noWrap/>
            <w:vAlign w:val="center"/>
          </w:tcPr>
          <w:p w14:paraId="264E4EE7" w14:textId="77777777" w:rsidR="000A4153" w:rsidRPr="00386FFB" w:rsidRDefault="000A4153" w:rsidP="000A4153">
            <w:pPr>
              <w:spacing w:after="0" w:line="240" w:lineRule="auto"/>
              <w:rPr>
                <w:rFonts w:ascii="Times" w:eastAsia="Times New Roman" w:hAnsi="Times" w:cs="Arial"/>
                <w:b/>
                <w:bCs/>
                <w:sz w:val="28"/>
                <w:szCs w:val="28"/>
                <w:lang w:eastAsia="en-GB"/>
              </w:rPr>
            </w:pPr>
          </w:p>
          <w:p w14:paraId="2535CB70"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Student ID Number/ Name </w:t>
            </w:r>
          </w:p>
          <w:p w14:paraId="1BCA4129" w14:textId="77777777" w:rsidR="000A4153" w:rsidRPr="00386FFB" w:rsidRDefault="000A4153" w:rsidP="000A4153">
            <w:pPr>
              <w:spacing w:after="0" w:line="240" w:lineRule="auto"/>
              <w:rPr>
                <w:rFonts w:ascii="Times" w:eastAsia="Times New Roman" w:hAnsi="Times" w:cs="Arial"/>
                <w:b/>
                <w:bCs/>
                <w:sz w:val="28"/>
                <w:szCs w:val="28"/>
                <w:lang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39328196" w14:textId="77777777" w:rsidR="000A4153" w:rsidRPr="00386FFB" w:rsidRDefault="000A4153" w:rsidP="000A4153">
            <w:pPr>
              <w:spacing w:after="0" w:line="240" w:lineRule="auto"/>
              <w:jc w:val="center"/>
              <w:rPr>
                <w:rFonts w:ascii="Arial" w:eastAsia="Times New Roman" w:hAnsi="Arial" w:cs="Arial"/>
                <w:bCs/>
                <w:color w:val="000000"/>
                <w:sz w:val="28"/>
                <w:szCs w:val="28"/>
                <w:lang w:eastAsia="en-GB"/>
              </w:rPr>
            </w:pPr>
            <w:r w:rsidRPr="00386FFB">
              <w:rPr>
                <w:rFonts w:ascii="Arial" w:eastAsia="Times New Roman" w:hAnsi="Arial" w:cs="Arial"/>
                <w:bCs/>
                <w:color w:val="000000"/>
                <w:sz w:val="28"/>
                <w:szCs w:val="28"/>
                <w:lang w:eastAsia="en-GB"/>
              </w:rPr>
              <w:t>2008582</w:t>
            </w:r>
          </w:p>
          <w:p w14:paraId="61A21A1A" w14:textId="77777777" w:rsidR="000A4153" w:rsidRPr="00386FFB" w:rsidRDefault="000A4153" w:rsidP="000A4153">
            <w:pPr>
              <w:spacing w:after="0" w:line="240" w:lineRule="auto"/>
              <w:jc w:val="center"/>
              <w:rPr>
                <w:rFonts w:ascii="Times" w:eastAsia="Times New Roman" w:hAnsi="Times" w:cs="Arial"/>
                <w:bCs/>
                <w:sz w:val="28"/>
                <w:szCs w:val="28"/>
                <w:lang w:eastAsia="en-GB"/>
              </w:rPr>
            </w:pPr>
            <w:r w:rsidRPr="00386FFB">
              <w:rPr>
                <w:rFonts w:ascii="Arial" w:eastAsia="Times New Roman" w:hAnsi="Arial" w:cs="Arial"/>
                <w:bCs/>
                <w:color w:val="000000"/>
                <w:sz w:val="28"/>
                <w:szCs w:val="28"/>
                <w:lang w:eastAsia="en-GB"/>
              </w:rPr>
              <w:t xml:space="preserve">Cristina </w:t>
            </w:r>
            <w:proofErr w:type="spellStart"/>
            <w:r w:rsidRPr="00386FFB">
              <w:rPr>
                <w:rFonts w:ascii="Arial" w:eastAsia="Times New Roman" w:hAnsi="Arial" w:cs="Arial"/>
                <w:bCs/>
                <w:color w:val="000000"/>
                <w:sz w:val="28"/>
                <w:szCs w:val="28"/>
                <w:lang w:eastAsia="en-GB"/>
              </w:rPr>
              <w:t>Miloiu</w:t>
            </w:r>
            <w:proofErr w:type="spellEnd"/>
          </w:p>
        </w:tc>
      </w:tr>
      <w:tr w:rsidR="000A4153" w:rsidRPr="00386FFB" w14:paraId="4DAF07B3" w14:textId="77777777" w:rsidTr="000A4153">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2ABFCF82" w14:textId="77777777" w:rsidR="000A4153" w:rsidRPr="00386FFB" w:rsidRDefault="000A4153" w:rsidP="000A4153">
            <w:pPr>
              <w:spacing w:after="0" w:line="240" w:lineRule="auto"/>
              <w:rPr>
                <w:rFonts w:ascii="Times" w:eastAsia="Times New Roman" w:hAnsi="Times" w:cs="Arial"/>
                <w:b/>
                <w:bCs/>
                <w:sz w:val="28"/>
                <w:szCs w:val="28"/>
                <w:lang w:eastAsia="en-GB"/>
              </w:rPr>
            </w:pPr>
          </w:p>
          <w:p w14:paraId="1B887B68"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Programme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5DF2FBB4" w14:textId="77777777" w:rsidR="000A4153" w:rsidRPr="00386FFB" w:rsidRDefault="000A4153" w:rsidP="000A4153">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BA Business Management</w:t>
            </w:r>
          </w:p>
        </w:tc>
      </w:tr>
      <w:tr w:rsidR="000A4153" w:rsidRPr="00386FFB" w14:paraId="1FBA3D8F" w14:textId="77777777" w:rsidTr="000A4153">
        <w:trPr>
          <w:trHeight w:val="435"/>
        </w:trPr>
        <w:tc>
          <w:tcPr>
            <w:tcW w:w="3439" w:type="dxa"/>
            <w:tcBorders>
              <w:top w:val="nil"/>
              <w:left w:val="single" w:sz="4" w:space="0" w:color="auto"/>
              <w:bottom w:val="nil"/>
              <w:right w:val="single" w:sz="4" w:space="0" w:color="auto"/>
            </w:tcBorders>
            <w:noWrap/>
            <w:vAlign w:val="center"/>
            <w:hideMark/>
          </w:tcPr>
          <w:p w14:paraId="4EC739AA"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4BFC0E37" w14:textId="77777777" w:rsidR="000A4153" w:rsidRPr="00386FFB" w:rsidRDefault="000A4153" w:rsidP="000A4153">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 xml:space="preserve">Management Accounting </w:t>
            </w:r>
          </w:p>
        </w:tc>
      </w:tr>
      <w:tr w:rsidR="000A4153" w:rsidRPr="00386FFB" w14:paraId="51033A83" w14:textId="77777777" w:rsidTr="000A4153">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46D847CD"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72476DCB" w14:textId="77777777" w:rsidR="000A4153" w:rsidRPr="00386FFB" w:rsidRDefault="000A4153" w:rsidP="000A4153">
            <w:pPr>
              <w:spacing w:after="0" w:line="240" w:lineRule="auto"/>
              <w:rPr>
                <w:rFonts w:ascii="Times" w:eastAsia="Times New Roman" w:hAnsi="Times" w:cs="Arial"/>
                <w:sz w:val="28"/>
                <w:szCs w:val="28"/>
                <w:lang w:eastAsia="en-GB"/>
              </w:rPr>
            </w:pPr>
          </w:p>
          <w:p w14:paraId="394BFB49" w14:textId="77777777" w:rsidR="000A4153" w:rsidRPr="00386FFB" w:rsidRDefault="000A4153" w:rsidP="000A4153">
            <w:pPr>
              <w:spacing w:before="100" w:beforeAutospacing="1" w:after="100" w:afterAutospacing="1"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shd w:val="clear" w:color="auto" w:fill="FFFFFF"/>
                <w:lang w:eastAsia="en-GB"/>
              </w:rPr>
              <w:t>LCBB</w:t>
            </w:r>
            <w:r>
              <w:rPr>
                <w:rFonts w:ascii="Times" w:eastAsia="Times New Roman" w:hAnsi="Times" w:cs="Arial"/>
                <w:sz w:val="28"/>
                <w:szCs w:val="28"/>
                <w:shd w:val="clear" w:color="auto" w:fill="FFFFFF"/>
                <w:lang w:eastAsia="en-GB"/>
              </w:rPr>
              <w:t>5002</w:t>
            </w:r>
          </w:p>
          <w:p w14:paraId="32F3E0C8" w14:textId="77777777" w:rsidR="000A4153" w:rsidRPr="00386FFB" w:rsidRDefault="000A4153" w:rsidP="000A4153">
            <w:pPr>
              <w:spacing w:after="0" w:line="240" w:lineRule="auto"/>
              <w:rPr>
                <w:rFonts w:ascii="Times" w:eastAsia="Times New Roman" w:hAnsi="Times" w:cs="Arial"/>
                <w:sz w:val="28"/>
                <w:szCs w:val="28"/>
                <w:lang w:eastAsia="en-GB"/>
              </w:rPr>
            </w:pPr>
          </w:p>
        </w:tc>
      </w:tr>
      <w:tr w:rsidR="000A4153" w:rsidRPr="00386FFB" w14:paraId="0A76EF92" w14:textId="77777777" w:rsidTr="000A4153">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03E895FA"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0CCE37E5" w14:textId="77777777" w:rsidR="000A4153" w:rsidRPr="00386FFB" w:rsidRDefault="000A4153" w:rsidP="000A4153">
            <w:pPr>
              <w:spacing w:after="0" w:line="240" w:lineRule="auto"/>
              <w:rPr>
                <w:rFonts w:ascii="Times" w:eastAsia="Times New Roman" w:hAnsi="Times" w:cs="Arial"/>
                <w:sz w:val="28"/>
                <w:szCs w:val="28"/>
                <w:lang w:eastAsia="en-GB"/>
              </w:rPr>
            </w:pPr>
            <w:r w:rsidRPr="00386FFB">
              <w:rPr>
                <w:rFonts w:ascii="Times" w:eastAsia="Times New Roman" w:hAnsi="Times" w:cs="Arial"/>
                <w:sz w:val="28"/>
                <w:szCs w:val="28"/>
                <w:lang w:eastAsia="en-GB"/>
              </w:rPr>
              <w:t> </w:t>
            </w:r>
          </w:p>
          <w:p w14:paraId="5E42F5C6" w14:textId="38E45990" w:rsidR="000A4153" w:rsidRPr="00386FFB" w:rsidRDefault="0075767F" w:rsidP="000A4153">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Winifred Soribe</w:t>
            </w:r>
          </w:p>
          <w:p w14:paraId="49DBA5DD" w14:textId="77777777" w:rsidR="000A4153" w:rsidRPr="00386FFB" w:rsidRDefault="000A4153" w:rsidP="000A4153">
            <w:pPr>
              <w:spacing w:after="0" w:line="240" w:lineRule="auto"/>
              <w:rPr>
                <w:rFonts w:ascii="Times" w:eastAsia="Times New Roman" w:hAnsi="Times" w:cs="Arial"/>
                <w:sz w:val="28"/>
                <w:szCs w:val="28"/>
                <w:lang w:eastAsia="en-GB"/>
              </w:rPr>
            </w:pPr>
          </w:p>
        </w:tc>
      </w:tr>
      <w:tr w:rsidR="000A4153" w:rsidRPr="00386FFB" w14:paraId="713CDBB4" w14:textId="77777777" w:rsidTr="000A4153">
        <w:trPr>
          <w:trHeight w:val="825"/>
        </w:trPr>
        <w:tc>
          <w:tcPr>
            <w:tcW w:w="3439" w:type="dxa"/>
            <w:tcBorders>
              <w:top w:val="nil"/>
              <w:left w:val="single" w:sz="4" w:space="0" w:color="auto"/>
              <w:bottom w:val="single" w:sz="4" w:space="0" w:color="auto"/>
              <w:right w:val="single" w:sz="4" w:space="0" w:color="auto"/>
            </w:tcBorders>
            <w:noWrap/>
            <w:vAlign w:val="center"/>
            <w:hideMark/>
          </w:tcPr>
          <w:p w14:paraId="0FD1772E"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71D5C998" w14:textId="77777777" w:rsidR="000A4153" w:rsidRPr="00386FFB" w:rsidRDefault="000A4153" w:rsidP="000A4153">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Assessment 2</w:t>
            </w:r>
          </w:p>
          <w:p w14:paraId="31A3BAAA" w14:textId="77777777" w:rsidR="000A4153" w:rsidRPr="00386FFB" w:rsidRDefault="000A4153" w:rsidP="000A4153">
            <w:pPr>
              <w:spacing w:after="0" w:line="240" w:lineRule="auto"/>
              <w:jc w:val="center"/>
              <w:rPr>
                <w:rFonts w:eastAsia="Times New Roman" w:cs="Times New Roman"/>
                <w:sz w:val="28"/>
                <w:szCs w:val="28"/>
                <w:lang w:eastAsia="en-GB"/>
              </w:rPr>
            </w:pPr>
          </w:p>
        </w:tc>
      </w:tr>
      <w:tr w:rsidR="000A4153" w:rsidRPr="00386FFB" w14:paraId="5584A490" w14:textId="77777777" w:rsidTr="000A4153">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46C58153"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Academic Declaration:                                               </w:t>
            </w:r>
          </w:p>
          <w:p w14:paraId="21FF2D96" w14:textId="77777777" w:rsidR="000A4153" w:rsidRPr="00386FFB" w:rsidRDefault="000A4153" w:rsidP="000A4153">
            <w:pPr>
              <w:spacing w:after="0" w:line="240" w:lineRule="auto"/>
              <w:rPr>
                <w:rFonts w:ascii="Times" w:eastAsia="Calibri" w:hAnsi="Times" w:cs="Arial"/>
                <w:i/>
                <w:sz w:val="28"/>
                <w:szCs w:val="28"/>
              </w:rPr>
            </w:pPr>
            <w:r w:rsidRPr="00386FFB">
              <w:rPr>
                <w:rFonts w:ascii="Calibri" w:eastAsia="Calibri" w:hAnsi="Calibri" w:cs="Times New Roman"/>
                <w:i/>
                <w:iCs/>
                <w:sz w:val="22"/>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0A4153" w:rsidRPr="00386FFB" w14:paraId="468444A5" w14:textId="77777777" w:rsidTr="000A4153">
        <w:trPr>
          <w:trHeight w:val="405"/>
        </w:trPr>
        <w:tc>
          <w:tcPr>
            <w:tcW w:w="3439" w:type="dxa"/>
            <w:tcBorders>
              <w:top w:val="nil"/>
              <w:left w:val="single" w:sz="4" w:space="0" w:color="auto"/>
              <w:bottom w:val="single" w:sz="4" w:space="0" w:color="auto"/>
              <w:right w:val="single" w:sz="4" w:space="0" w:color="auto"/>
            </w:tcBorders>
            <w:noWrap/>
            <w:vAlign w:val="center"/>
            <w:hideMark/>
          </w:tcPr>
          <w:p w14:paraId="5CAA16AE"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Word Count</w:t>
            </w:r>
          </w:p>
        </w:tc>
        <w:tc>
          <w:tcPr>
            <w:tcW w:w="2300" w:type="dxa"/>
            <w:tcBorders>
              <w:top w:val="single" w:sz="4" w:space="0" w:color="auto"/>
              <w:left w:val="nil"/>
              <w:bottom w:val="single" w:sz="4" w:space="0" w:color="auto"/>
              <w:right w:val="nil"/>
            </w:tcBorders>
            <w:noWrap/>
            <w:vAlign w:val="center"/>
            <w:hideMark/>
          </w:tcPr>
          <w:p w14:paraId="04350069" w14:textId="602CDA9F"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29</w:t>
            </w:r>
            <w:r w:rsidR="009A01AF">
              <w:rPr>
                <w:rFonts w:ascii="Times" w:eastAsia="Times New Roman" w:hAnsi="Times" w:cs="Arial"/>
                <w:b/>
                <w:bCs/>
                <w:sz w:val="28"/>
                <w:szCs w:val="28"/>
                <w:lang w:eastAsia="en-GB"/>
              </w:rPr>
              <w:t>95</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005D5E8A"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190095EC" w14:textId="77777777" w:rsidR="000A4153" w:rsidRPr="00386FFB" w:rsidRDefault="000A4153" w:rsidP="000A4153">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Pr>
                <w:rFonts w:ascii="Times" w:eastAsia="Times New Roman" w:hAnsi="Times" w:cs="Arial"/>
                <w:b/>
                <w:bCs/>
                <w:sz w:val="28"/>
                <w:szCs w:val="28"/>
                <w:lang w:eastAsia="en-GB"/>
              </w:rPr>
              <w:t>05</w:t>
            </w:r>
            <w:r w:rsidRPr="00386FFB">
              <w:rPr>
                <w:rFonts w:ascii="Times" w:eastAsia="Times New Roman" w:hAnsi="Times" w:cs="Arial"/>
                <w:b/>
                <w:bCs/>
                <w:sz w:val="28"/>
                <w:szCs w:val="28"/>
                <w:lang w:eastAsia="en-GB"/>
              </w:rPr>
              <w:t>.01.202</w:t>
            </w:r>
            <w:r>
              <w:rPr>
                <w:rFonts w:ascii="Times" w:eastAsia="Times New Roman" w:hAnsi="Times" w:cs="Arial"/>
                <w:b/>
                <w:bCs/>
                <w:sz w:val="28"/>
                <w:szCs w:val="28"/>
                <w:lang w:eastAsia="en-GB"/>
              </w:rPr>
              <w:t>2</w:t>
            </w:r>
          </w:p>
        </w:tc>
      </w:tr>
    </w:tbl>
    <w:p w14:paraId="16BFA3B3" w14:textId="0107226D" w:rsidR="00B77718" w:rsidRDefault="00B77718" w:rsidP="006D4292">
      <w:pPr>
        <w:pStyle w:val="Title"/>
        <w:jc w:val="both"/>
      </w:pPr>
    </w:p>
    <w:p w14:paraId="50F7CE36" w14:textId="77777777" w:rsidR="00B77718" w:rsidRDefault="00B77718" w:rsidP="006D4292">
      <w:pPr>
        <w:pStyle w:val="Title"/>
        <w:jc w:val="both"/>
      </w:pPr>
    </w:p>
    <w:p w14:paraId="4DAED2B2" w14:textId="77777777" w:rsidR="00B77718" w:rsidRDefault="00B77718" w:rsidP="006D4292">
      <w:pPr>
        <w:pStyle w:val="Title"/>
        <w:jc w:val="both"/>
      </w:pPr>
    </w:p>
    <w:p w14:paraId="5515BC49" w14:textId="77777777" w:rsidR="00B77718" w:rsidRDefault="00B77718" w:rsidP="006D4292">
      <w:pPr>
        <w:pStyle w:val="Title"/>
        <w:jc w:val="both"/>
      </w:pPr>
    </w:p>
    <w:p w14:paraId="3DE529D7" w14:textId="7A089754" w:rsidR="00B1562C" w:rsidRPr="00FF32A6" w:rsidRDefault="00B1562C" w:rsidP="006D4292">
      <w:pPr>
        <w:pStyle w:val="Title"/>
        <w:jc w:val="both"/>
        <w:rPr>
          <w:rFonts w:cs="Times New Roman"/>
          <w:sz w:val="24"/>
          <w:szCs w:val="24"/>
        </w:rPr>
      </w:pPr>
    </w:p>
    <w:p w14:paraId="1B82F779" w14:textId="77777777" w:rsidR="00B77718" w:rsidRDefault="00B77718" w:rsidP="006D4292">
      <w:pPr>
        <w:spacing w:line="259" w:lineRule="auto"/>
        <w:jc w:val="both"/>
        <w:rPr>
          <w:rStyle w:val="Strong"/>
          <w:rFonts w:eastAsiaTheme="majorEastAsia" w:cstheme="majorBidi"/>
          <w:bCs w:val="0"/>
          <w:szCs w:val="32"/>
        </w:rPr>
      </w:pPr>
      <w:r>
        <w:rPr>
          <w:rStyle w:val="Strong"/>
          <w:b w:val="0"/>
          <w:bCs w:val="0"/>
        </w:rPr>
        <w:br w:type="page"/>
      </w:r>
    </w:p>
    <w:sdt>
      <w:sdtPr>
        <w:rPr>
          <w:rFonts w:ascii="Times New Roman" w:eastAsiaTheme="minorHAnsi" w:hAnsi="Times New Roman" w:cstheme="minorBidi"/>
          <w:color w:val="auto"/>
          <w:sz w:val="24"/>
          <w:szCs w:val="22"/>
          <w:lang w:val="en-GB"/>
        </w:rPr>
        <w:id w:val="1217937033"/>
        <w:docPartObj>
          <w:docPartGallery w:val="Table of Contents"/>
          <w:docPartUnique/>
        </w:docPartObj>
      </w:sdtPr>
      <w:sdtEndPr>
        <w:rPr>
          <w:b/>
          <w:bCs/>
          <w:noProof/>
        </w:rPr>
      </w:sdtEndPr>
      <w:sdtContent>
        <w:p w14:paraId="0A5C92AF" w14:textId="3F3B546A" w:rsidR="00E623D3" w:rsidRPr="00A83696" w:rsidRDefault="00E623D3" w:rsidP="006D4292">
          <w:pPr>
            <w:pStyle w:val="TOCHeading"/>
            <w:jc w:val="both"/>
            <w:rPr>
              <w:rFonts w:asciiTheme="majorBidi" w:hAnsiTheme="majorBidi"/>
              <w:b/>
              <w:bCs/>
              <w:color w:val="auto"/>
              <w:sz w:val="28"/>
              <w:szCs w:val="28"/>
            </w:rPr>
          </w:pPr>
          <w:r w:rsidRPr="00A83696">
            <w:rPr>
              <w:rFonts w:asciiTheme="majorBidi" w:hAnsiTheme="majorBidi"/>
              <w:b/>
              <w:bCs/>
              <w:color w:val="auto"/>
              <w:sz w:val="28"/>
              <w:szCs w:val="28"/>
            </w:rPr>
            <w:t>Table of Contents</w:t>
          </w:r>
        </w:p>
        <w:p w14:paraId="1C74001E" w14:textId="77777777" w:rsidR="00EF06BE" w:rsidRDefault="00E623D3">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92102839" w:history="1">
            <w:r w:rsidR="00EF06BE" w:rsidRPr="00AD6EB9">
              <w:rPr>
                <w:rStyle w:val="Hyperlink"/>
                <w:noProof/>
              </w:rPr>
              <w:t>Introduction</w:t>
            </w:r>
            <w:r w:rsidR="00EF06BE">
              <w:rPr>
                <w:noProof/>
                <w:webHidden/>
              </w:rPr>
              <w:tab/>
            </w:r>
            <w:r w:rsidR="00EF06BE">
              <w:rPr>
                <w:noProof/>
                <w:webHidden/>
              </w:rPr>
              <w:fldChar w:fldCharType="begin"/>
            </w:r>
            <w:r w:rsidR="00EF06BE">
              <w:rPr>
                <w:noProof/>
                <w:webHidden/>
              </w:rPr>
              <w:instrText xml:space="preserve"> PAGEREF _Toc92102839 \h </w:instrText>
            </w:r>
            <w:r w:rsidR="00EF06BE">
              <w:rPr>
                <w:noProof/>
                <w:webHidden/>
              </w:rPr>
            </w:r>
            <w:r w:rsidR="00EF06BE">
              <w:rPr>
                <w:noProof/>
                <w:webHidden/>
              </w:rPr>
              <w:fldChar w:fldCharType="separate"/>
            </w:r>
            <w:r w:rsidR="00EF06BE">
              <w:rPr>
                <w:noProof/>
                <w:webHidden/>
              </w:rPr>
              <w:t>3</w:t>
            </w:r>
            <w:r w:rsidR="00EF06BE">
              <w:rPr>
                <w:noProof/>
                <w:webHidden/>
              </w:rPr>
              <w:fldChar w:fldCharType="end"/>
            </w:r>
          </w:hyperlink>
        </w:p>
        <w:p w14:paraId="29354FBF" w14:textId="77777777" w:rsidR="00EF06BE" w:rsidRDefault="00E90223">
          <w:pPr>
            <w:pStyle w:val="TOC1"/>
            <w:tabs>
              <w:tab w:val="right" w:leader="dot" w:pos="9016"/>
            </w:tabs>
            <w:rPr>
              <w:rFonts w:asciiTheme="minorHAnsi" w:eastAsiaTheme="minorEastAsia" w:hAnsiTheme="minorHAnsi"/>
              <w:noProof/>
              <w:sz w:val="22"/>
              <w:lang w:val="en-IN" w:eastAsia="en-IN"/>
            </w:rPr>
          </w:pPr>
          <w:hyperlink w:anchor="_Toc92102840" w:history="1">
            <w:r w:rsidR="00EF06BE" w:rsidRPr="00AD6EB9">
              <w:rPr>
                <w:rStyle w:val="Hyperlink"/>
                <w:noProof/>
              </w:rPr>
              <w:t>Budget</w:t>
            </w:r>
            <w:r w:rsidR="00EF06BE">
              <w:rPr>
                <w:noProof/>
                <w:webHidden/>
              </w:rPr>
              <w:tab/>
            </w:r>
            <w:r w:rsidR="00EF06BE">
              <w:rPr>
                <w:noProof/>
                <w:webHidden/>
              </w:rPr>
              <w:fldChar w:fldCharType="begin"/>
            </w:r>
            <w:r w:rsidR="00EF06BE">
              <w:rPr>
                <w:noProof/>
                <w:webHidden/>
              </w:rPr>
              <w:instrText xml:space="preserve"> PAGEREF _Toc92102840 \h </w:instrText>
            </w:r>
            <w:r w:rsidR="00EF06BE">
              <w:rPr>
                <w:noProof/>
                <w:webHidden/>
              </w:rPr>
            </w:r>
            <w:r w:rsidR="00EF06BE">
              <w:rPr>
                <w:noProof/>
                <w:webHidden/>
              </w:rPr>
              <w:fldChar w:fldCharType="separate"/>
            </w:r>
            <w:r w:rsidR="00EF06BE">
              <w:rPr>
                <w:noProof/>
                <w:webHidden/>
              </w:rPr>
              <w:t>4</w:t>
            </w:r>
            <w:r w:rsidR="00EF06BE">
              <w:rPr>
                <w:noProof/>
                <w:webHidden/>
              </w:rPr>
              <w:fldChar w:fldCharType="end"/>
            </w:r>
          </w:hyperlink>
        </w:p>
        <w:p w14:paraId="7D412BD9" w14:textId="77777777" w:rsidR="00EF06BE" w:rsidRDefault="00E90223">
          <w:pPr>
            <w:pStyle w:val="TOC2"/>
            <w:tabs>
              <w:tab w:val="right" w:leader="dot" w:pos="9016"/>
            </w:tabs>
            <w:rPr>
              <w:rFonts w:asciiTheme="minorHAnsi" w:eastAsiaTheme="minorEastAsia" w:hAnsiTheme="minorHAnsi"/>
              <w:noProof/>
              <w:sz w:val="22"/>
              <w:lang w:val="en-IN" w:eastAsia="en-IN"/>
            </w:rPr>
          </w:pPr>
          <w:hyperlink w:anchor="_Toc92102841" w:history="1">
            <w:r w:rsidR="00EF06BE" w:rsidRPr="00AD6EB9">
              <w:rPr>
                <w:rStyle w:val="Hyperlink"/>
                <w:noProof/>
              </w:rPr>
              <w:t>Amana’s performance for the year 2020</w:t>
            </w:r>
            <w:r w:rsidR="00EF06BE">
              <w:rPr>
                <w:noProof/>
                <w:webHidden/>
              </w:rPr>
              <w:tab/>
            </w:r>
            <w:r w:rsidR="00EF06BE">
              <w:rPr>
                <w:noProof/>
                <w:webHidden/>
              </w:rPr>
              <w:fldChar w:fldCharType="begin"/>
            </w:r>
            <w:r w:rsidR="00EF06BE">
              <w:rPr>
                <w:noProof/>
                <w:webHidden/>
              </w:rPr>
              <w:instrText xml:space="preserve"> PAGEREF _Toc92102841 \h </w:instrText>
            </w:r>
            <w:r w:rsidR="00EF06BE">
              <w:rPr>
                <w:noProof/>
                <w:webHidden/>
              </w:rPr>
            </w:r>
            <w:r w:rsidR="00EF06BE">
              <w:rPr>
                <w:noProof/>
                <w:webHidden/>
              </w:rPr>
              <w:fldChar w:fldCharType="separate"/>
            </w:r>
            <w:r w:rsidR="00EF06BE">
              <w:rPr>
                <w:noProof/>
                <w:webHidden/>
              </w:rPr>
              <w:t>5</w:t>
            </w:r>
            <w:r w:rsidR="00EF06BE">
              <w:rPr>
                <w:noProof/>
                <w:webHidden/>
              </w:rPr>
              <w:fldChar w:fldCharType="end"/>
            </w:r>
          </w:hyperlink>
        </w:p>
        <w:p w14:paraId="483C1F63" w14:textId="77777777" w:rsidR="00EF06BE" w:rsidRDefault="00E90223">
          <w:pPr>
            <w:pStyle w:val="TOC1"/>
            <w:tabs>
              <w:tab w:val="right" w:leader="dot" w:pos="9016"/>
            </w:tabs>
            <w:rPr>
              <w:rFonts w:asciiTheme="minorHAnsi" w:eastAsiaTheme="minorEastAsia" w:hAnsiTheme="minorHAnsi"/>
              <w:noProof/>
              <w:sz w:val="22"/>
              <w:lang w:val="en-IN" w:eastAsia="en-IN"/>
            </w:rPr>
          </w:pPr>
          <w:hyperlink w:anchor="_Toc92102842" w:history="1">
            <w:r w:rsidR="00EF06BE" w:rsidRPr="00AD6EB9">
              <w:rPr>
                <w:rStyle w:val="Hyperlink"/>
                <w:noProof/>
              </w:rPr>
              <w:t>Recommendations</w:t>
            </w:r>
            <w:r w:rsidR="00EF06BE">
              <w:rPr>
                <w:noProof/>
                <w:webHidden/>
              </w:rPr>
              <w:tab/>
            </w:r>
            <w:r w:rsidR="00EF06BE">
              <w:rPr>
                <w:noProof/>
                <w:webHidden/>
              </w:rPr>
              <w:fldChar w:fldCharType="begin"/>
            </w:r>
            <w:r w:rsidR="00EF06BE">
              <w:rPr>
                <w:noProof/>
                <w:webHidden/>
              </w:rPr>
              <w:instrText xml:space="preserve"> PAGEREF _Toc92102842 \h </w:instrText>
            </w:r>
            <w:r w:rsidR="00EF06BE">
              <w:rPr>
                <w:noProof/>
                <w:webHidden/>
              </w:rPr>
            </w:r>
            <w:r w:rsidR="00EF06BE">
              <w:rPr>
                <w:noProof/>
                <w:webHidden/>
              </w:rPr>
              <w:fldChar w:fldCharType="separate"/>
            </w:r>
            <w:r w:rsidR="00EF06BE">
              <w:rPr>
                <w:noProof/>
                <w:webHidden/>
              </w:rPr>
              <w:t>6</w:t>
            </w:r>
            <w:r w:rsidR="00EF06BE">
              <w:rPr>
                <w:noProof/>
                <w:webHidden/>
              </w:rPr>
              <w:fldChar w:fldCharType="end"/>
            </w:r>
          </w:hyperlink>
        </w:p>
        <w:p w14:paraId="458D0709" w14:textId="77777777" w:rsidR="00EF06BE" w:rsidRDefault="00E90223">
          <w:pPr>
            <w:pStyle w:val="TOC1"/>
            <w:tabs>
              <w:tab w:val="right" w:leader="dot" w:pos="9016"/>
            </w:tabs>
            <w:rPr>
              <w:rFonts w:asciiTheme="minorHAnsi" w:eastAsiaTheme="minorEastAsia" w:hAnsiTheme="minorHAnsi"/>
              <w:noProof/>
              <w:sz w:val="22"/>
              <w:lang w:val="en-IN" w:eastAsia="en-IN"/>
            </w:rPr>
          </w:pPr>
          <w:hyperlink w:anchor="_Toc92102843" w:history="1">
            <w:r w:rsidR="00EF06BE" w:rsidRPr="00AD6EB9">
              <w:rPr>
                <w:rStyle w:val="Hyperlink"/>
                <w:noProof/>
              </w:rPr>
              <w:t>Part 2</w:t>
            </w:r>
            <w:r w:rsidR="00EF06BE">
              <w:rPr>
                <w:noProof/>
                <w:webHidden/>
              </w:rPr>
              <w:tab/>
            </w:r>
            <w:r w:rsidR="00EF06BE">
              <w:rPr>
                <w:noProof/>
                <w:webHidden/>
              </w:rPr>
              <w:fldChar w:fldCharType="begin"/>
            </w:r>
            <w:r w:rsidR="00EF06BE">
              <w:rPr>
                <w:noProof/>
                <w:webHidden/>
              </w:rPr>
              <w:instrText xml:space="preserve"> PAGEREF _Toc92102843 \h </w:instrText>
            </w:r>
            <w:r w:rsidR="00EF06BE">
              <w:rPr>
                <w:noProof/>
                <w:webHidden/>
              </w:rPr>
            </w:r>
            <w:r w:rsidR="00EF06BE">
              <w:rPr>
                <w:noProof/>
                <w:webHidden/>
              </w:rPr>
              <w:fldChar w:fldCharType="separate"/>
            </w:r>
            <w:r w:rsidR="00EF06BE">
              <w:rPr>
                <w:noProof/>
                <w:webHidden/>
              </w:rPr>
              <w:t>8</w:t>
            </w:r>
            <w:r w:rsidR="00EF06BE">
              <w:rPr>
                <w:noProof/>
                <w:webHidden/>
              </w:rPr>
              <w:fldChar w:fldCharType="end"/>
            </w:r>
          </w:hyperlink>
        </w:p>
        <w:p w14:paraId="4E53B797" w14:textId="77777777" w:rsidR="00EF06BE" w:rsidRDefault="00E90223">
          <w:pPr>
            <w:pStyle w:val="TOC1"/>
            <w:tabs>
              <w:tab w:val="right" w:leader="dot" w:pos="9016"/>
            </w:tabs>
            <w:rPr>
              <w:rFonts w:asciiTheme="minorHAnsi" w:eastAsiaTheme="minorEastAsia" w:hAnsiTheme="minorHAnsi"/>
              <w:noProof/>
              <w:sz w:val="22"/>
              <w:lang w:val="en-IN" w:eastAsia="en-IN"/>
            </w:rPr>
          </w:pPr>
          <w:hyperlink w:anchor="_Toc92102844" w:history="1">
            <w:r w:rsidR="00EF06BE" w:rsidRPr="00AD6EB9">
              <w:rPr>
                <w:rStyle w:val="Hyperlink"/>
                <w:noProof/>
              </w:rPr>
              <w:t>Conclusion</w:t>
            </w:r>
            <w:r w:rsidR="00EF06BE">
              <w:rPr>
                <w:noProof/>
                <w:webHidden/>
              </w:rPr>
              <w:tab/>
            </w:r>
            <w:r w:rsidR="00EF06BE">
              <w:rPr>
                <w:noProof/>
                <w:webHidden/>
              </w:rPr>
              <w:fldChar w:fldCharType="begin"/>
            </w:r>
            <w:r w:rsidR="00EF06BE">
              <w:rPr>
                <w:noProof/>
                <w:webHidden/>
              </w:rPr>
              <w:instrText xml:space="preserve"> PAGEREF _Toc92102844 \h </w:instrText>
            </w:r>
            <w:r w:rsidR="00EF06BE">
              <w:rPr>
                <w:noProof/>
                <w:webHidden/>
              </w:rPr>
            </w:r>
            <w:r w:rsidR="00EF06BE">
              <w:rPr>
                <w:noProof/>
                <w:webHidden/>
              </w:rPr>
              <w:fldChar w:fldCharType="separate"/>
            </w:r>
            <w:r w:rsidR="00EF06BE">
              <w:rPr>
                <w:noProof/>
                <w:webHidden/>
              </w:rPr>
              <w:t>11</w:t>
            </w:r>
            <w:r w:rsidR="00EF06BE">
              <w:rPr>
                <w:noProof/>
                <w:webHidden/>
              </w:rPr>
              <w:fldChar w:fldCharType="end"/>
            </w:r>
          </w:hyperlink>
        </w:p>
        <w:p w14:paraId="7CB6F517" w14:textId="77777777" w:rsidR="00EF06BE" w:rsidRDefault="00E90223">
          <w:pPr>
            <w:pStyle w:val="TOC1"/>
            <w:tabs>
              <w:tab w:val="right" w:leader="dot" w:pos="9016"/>
            </w:tabs>
            <w:rPr>
              <w:rFonts w:asciiTheme="minorHAnsi" w:eastAsiaTheme="minorEastAsia" w:hAnsiTheme="minorHAnsi"/>
              <w:noProof/>
              <w:sz w:val="22"/>
              <w:lang w:val="en-IN" w:eastAsia="en-IN"/>
            </w:rPr>
          </w:pPr>
          <w:hyperlink w:anchor="_Toc92102845" w:history="1">
            <w:r w:rsidR="00EF06BE" w:rsidRPr="00AD6EB9">
              <w:rPr>
                <w:rStyle w:val="Hyperlink"/>
                <w:noProof/>
              </w:rPr>
              <w:t>References</w:t>
            </w:r>
            <w:r w:rsidR="00EF06BE">
              <w:rPr>
                <w:noProof/>
                <w:webHidden/>
              </w:rPr>
              <w:tab/>
            </w:r>
            <w:r w:rsidR="00EF06BE">
              <w:rPr>
                <w:noProof/>
                <w:webHidden/>
              </w:rPr>
              <w:fldChar w:fldCharType="begin"/>
            </w:r>
            <w:r w:rsidR="00EF06BE">
              <w:rPr>
                <w:noProof/>
                <w:webHidden/>
              </w:rPr>
              <w:instrText xml:space="preserve"> PAGEREF _Toc92102845 \h </w:instrText>
            </w:r>
            <w:r w:rsidR="00EF06BE">
              <w:rPr>
                <w:noProof/>
                <w:webHidden/>
              </w:rPr>
            </w:r>
            <w:r w:rsidR="00EF06BE">
              <w:rPr>
                <w:noProof/>
                <w:webHidden/>
              </w:rPr>
              <w:fldChar w:fldCharType="separate"/>
            </w:r>
            <w:r w:rsidR="00EF06BE">
              <w:rPr>
                <w:noProof/>
                <w:webHidden/>
              </w:rPr>
              <w:t>12</w:t>
            </w:r>
            <w:r w:rsidR="00EF06BE">
              <w:rPr>
                <w:noProof/>
                <w:webHidden/>
              </w:rPr>
              <w:fldChar w:fldCharType="end"/>
            </w:r>
          </w:hyperlink>
        </w:p>
        <w:p w14:paraId="11E58060" w14:textId="5FC94823" w:rsidR="00EF06BE" w:rsidRDefault="00EF06BE">
          <w:pPr>
            <w:pStyle w:val="TOC1"/>
            <w:tabs>
              <w:tab w:val="right" w:leader="dot" w:pos="9016"/>
            </w:tabs>
            <w:rPr>
              <w:rFonts w:asciiTheme="minorHAnsi" w:eastAsiaTheme="minorEastAsia" w:hAnsiTheme="minorHAnsi"/>
              <w:noProof/>
              <w:sz w:val="22"/>
              <w:lang w:val="en-IN" w:eastAsia="en-IN"/>
            </w:rPr>
          </w:pPr>
        </w:p>
        <w:p w14:paraId="2C7A90A8" w14:textId="208FC401" w:rsidR="00E623D3" w:rsidRDefault="00E623D3" w:rsidP="006D4292">
          <w:pPr>
            <w:jc w:val="both"/>
          </w:pPr>
          <w:r>
            <w:rPr>
              <w:b/>
              <w:bCs/>
              <w:noProof/>
            </w:rPr>
            <w:fldChar w:fldCharType="end"/>
          </w:r>
        </w:p>
      </w:sdtContent>
    </w:sdt>
    <w:p w14:paraId="750C5631" w14:textId="77777777" w:rsidR="00E623D3" w:rsidRDefault="00E623D3" w:rsidP="006D4292">
      <w:pPr>
        <w:spacing w:line="259" w:lineRule="auto"/>
        <w:jc w:val="both"/>
        <w:rPr>
          <w:rStyle w:val="Strong"/>
          <w:rFonts w:eastAsiaTheme="majorEastAsia" w:cstheme="majorBidi"/>
          <w:bCs w:val="0"/>
          <w:szCs w:val="32"/>
        </w:rPr>
      </w:pPr>
      <w:r>
        <w:rPr>
          <w:rStyle w:val="Strong"/>
          <w:b w:val="0"/>
          <w:bCs w:val="0"/>
        </w:rPr>
        <w:br w:type="page"/>
      </w:r>
    </w:p>
    <w:p w14:paraId="75539BD8" w14:textId="77777777" w:rsidR="00FF32A6" w:rsidRPr="00592114" w:rsidRDefault="00FF32A6" w:rsidP="006D4292">
      <w:pPr>
        <w:pStyle w:val="Heading1"/>
        <w:jc w:val="both"/>
        <w:rPr>
          <w:rStyle w:val="Strong"/>
          <w:b/>
          <w:bCs w:val="0"/>
          <w:i/>
          <w:iCs/>
          <w:u w:val="single"/>
        </w:rPr>
      </w:pPr>
      <w:bookmarkStart w:id="0" w:name="_Toc92102839"/>
      <w:r w:rsidRPr="00592114">
        <w:rPr>
          <w:rStyle w:val="Strong"/>
          <w:b/>
          <w:bCs w:val="0"/>
          <w:i/>
          <w:iCs/>
          <w:u w:val="single"/>
        </w:rPr>
        <w:lastRenderedPageBreak/>
        <w:t>Introduction</w:t>
      </w:r>
      <w:bookmarkEnd w:id="0"/>
    </w:p>
    <w:p w14:paraId="238EAC06" w14:textId="77777777" w:rsidR="00FF32A6" w:rsidRPr="00951E5B" w:rsidRDefault="00FF32A6" w:rsidP="006D4292">
      <w:pPr>
        <w:jc w:val="both"/>
      </w:pPr>
      <w:r w:rsidRPr="00951E5B">
        <w:t xml:space="preserve">Variance analysis may be defined as an examination of the disparity between intended (normal) and actual figures. The total of all variations represents the overall over-performance or below for a certain fiscal quarter. Businesses evaluate the </w:t>
      </w:r>
      <w:proofErr w:type="spellStart"/>
      <w:r w:rsidRPr="00951E5B">
        <w:t>favorable</w:t>
      </w:r>
      <w:proofErr w:type="spellEnd"/>
      <w:r w:rsidRPr="00951E5B">
        <w:t xml:space="preserve"> rating of each </w:t>
      </w:r>
      <w:proofErr w:type="gramStart"/>
      <w:r w:rsidRPr="00951E5B">
        <w:t>particular item</w:t>
      </w:r>
      <w:proofErr w:type="gramEnd"/>
      <w:r w:rsidRPr="00951E5B">
        <w:t xml:space="preserve"> by comparing real costs to accepted industry prices. </w:t>
      </w:r>
    </w:p>
    <w:p w14:paraId="336A3414" w14:textId="77777777" w:rsidR="00D61F5A" w:rsidRPr="00951E5B" w:rsidRDefault="00D61F5A" w:rsidP="006D4292">
      <w:pPr>
        <w:jc w:val="both"/>
      </w:pPr>
      <w:r w:rsidRPr="00951E5B">
        <w:t xml:space="preserve">Amana Ltd is a relatives tourism company in Britain that offers gifts to visitors. A Chinese producer produces souvenirs based on designs created by the Amana team. The Covid-19 epidemic has erupted in England, prompting the government to implement limitations on travel and transportation, badly affecting the tourism economy. Amana's income fell dramatically in April 2020 since visitors were unable to visit for the Easter holidays. Sales increased significantly in the summer of 2020, but the lengthy lock down from December 2020 and February 2021 drained any additional money earned over the summer. </w:t>
      </w:r>
    </w:p>
    <w:p w14:paraId="0C5CAB33" w14:textId="77777777" w:rsidR="00D61F5A" w:rsidRPr="00951E5B" w:rsidRDefault="0072114D" w:rsidP="006D4292">
      <w:pPr>
        <w:jc w:val="both"/>
      </w:pPr>
      <w:r w:rsidRPr="00951E5B">
        <w:t xml:space="preserve">The report is divided into two part first part of the report dealt with case study, that include </w:t>
      </w:r>
      <w:r w:rsidR="00D61F5A" w:rsidRPr="00951E5B">
        <w:t>a monthly control report that contains the original budget, the flexible budget, and the variations.</w:t>
      </w:r>
      <w:r w:rsidRPr="00951E5B">
        <w:t xml:space="preserve"> The report also</w:t>
      </w:r>
      <w:r w:rsidR="00D61F5A" w:rsidRPr="00951E5B">
        <w:t xml:space="preserve"> Prepare a report on Amana's performance in 2020 using the </w:t>
      </w:r>
      <w:r w:rsidRPr="00951E5B">
        <w:t>control report</w:t>
      </w:r>
      <w:r w:rsidR="00D61F5A" w:rsidRPr="00951E5B">
        <w:t xml:space="preserve">. </w:t>
      </w:r>
      <w:r w:rsidRPr="00951E5B">
        <w:t xml:space="preserve">In the last </w:t>
      </w:r>
      <w:r w:rsidR="00D61F5A" w:rsidRPr="00951E5B">
        <w:t>Make suggestions to Amana's CEO for areas for development.</w:t>
      </w:r>
      <w:r w:rsidR="00902DDA" w:rsidRPr="00951E5B">
        <w:t xml:space="preserve"> </w:t>
      </w:r>
    </w:p>
    <w:p w14:paraId="5A208563" w14:textId="77777777" w:rsidR="00902DDA" w:rsidRPr="00951E5B" w:rsidRDefault="00902DDA" w:rsidP="006D4292">
      <w:pPr>
        <w:jc w:val="both"/>
      </w:pPr>
      <w:r w:rsidRPr="00951E5B">
        <w:t xml:space="preserve">In the second part report dealt with an analysis of Mr. Amana's choice to go online and advice on whether they should open their own online store or sell on Amazon. </w:t>
      </w:r>
    </w:p>
    <w:p w14:paraId="2CAA1A35" w14:textId="77777777" w:rsidR="0072114D" w:rsidRDefault="0072114D" w:rsidP="006D4292">
      <w:pPr>
        <w:jc w:val="both"/>
        <w:rPr>
          <w:rStyle w:val="Strong"/>
          <w:rFonts w:cs="Times New Roman"/>
          <w:color w:val="444444"/>
          <w:szCs w:val="24"/>
          <w:bdr w:val="none" w:sz="0" w:space="0" w:color="auto" w:frame="1"/>
          <w:shd w:val="clear" w:color="auto" w:fill="FFFFFF"/>
        </w:rPr>
      </w:pPr>
    </w:p>
    <w:p w14:paraId="35F8645D" w14:textId="1730DD1E" w:rsidR="00177C6B" w:rsidRPr="00290559" w:rsidRDefault="00177C6B" w:rsidP="00290559">
      <w:pPr>
        <w:spacing w:line="259" w:lineRule="auto"/>
        <w:jc w:val="both"/>
        <w:rPr>
          <w:rFonts w:cs="Times New Roman"/>
          <w:b/>
          <w:bCs/>
          <w:color w:val="444444"/>
          <w:szCs w:val="24"/>
          <w:bdr w:val="none" w:sz="0" w:space="0" w:color="auto" w:frame="1"/>
          <w:shd w:val="clear" w:color="auto" w:fill="FFFFFF"/>
        </w:rPr>
      </w:pPr>
      <w:r w:rsidRPr="00FF32A6">
        <w:rPr>
          <w:rFonts w:cs="Times New Roman"/>
          <w:szCs w:val="24"/>
        </w:rPr>
        <w:t>A firm's flexible budget refers to changes in the activities or volume of goods generated by the company. Its value fluctuates with time, as opposed to static budgets, which are generated at the time of budgeting</w:t>
      </w:r>
      <w:r w:rsidR="00B77718">
        <w:rPr>
          <w:rFonts w:cs="Times New Roman"/>
          <w:szCs w:val="24"/>
        </w:rPr>
        <w:t xml:space="preserve"> (</w:t>
      </w:r>
      <w:r w:rsidR="00B77718" w:rsidRPr="00B77718">
        <w:rPr>
          <w:rFonts w:cs="Times New Roman"/>
          <w:szCs w:val="24"/>
        </w:rPr>
        <w:t>Nguyen Thi Thanh</w:t>
      </w:r>
      <w:r w:rsidR="00B77718">
        <w:rPr>
          <w:rFonts w:cs="Times New Roman"/>
          <w:szCs w:val="24"/>
        </w:rPr>
        <w:t>, 2018)</w:t>
      </w:r>
      <w:r w:rsidRPr="00FF32A6">
        <w:rPr>
          <w:rFonts w:cs="Times New Roman"/>
          <w:szCs w:val="24"/>
        </w:rPr>
        <w:t xml:space="preserve">. Flexible budgets are subject to vary in response to other variable expenditures encountered in the course of doing business. </w:t>
      </w:r>
    </w:p>
    <w:p w14:paraId="152F0AF8" w14:textId="77777777" w:rsidR="00B40D91" w:rsidRPr="00FF32A6" w:rsidRDefault="00F259DF" w:rsidP="006D4292">
      <w:pPr>
        <w:jc w:val="both"/>
        <w:rPr>
          <w:rFonts w:cs="Times New Roman"/>
          <w:szCs w:val="24"/>
        </w:rPr>
      </w:pPr>
      <w:r w:rsidRPr="00FF32A6">
        <w:rPr>
          <w:rFonts w:cs="Times New Roman"/>
          <w:szCs w:val="24"/>
        </w:rPr>
        <w:t xml:space="preserve">These budgets feature variable costs per unit rather than fixed costs, which aids the organisation in understanding prospective increases or decreases in cash flows. </w:t>
      </w:r>
      <w:r w:rsidR="00B40D91" w:rsidRPr="00FF32A6">
        <w:rPr>
          <w:rFonts w:cs="Times New Roman"/>
          <w:szCs w:val="24"/>
        </w:rPr>
        <w:t xml:space="preserve">A fixed budget is one, which is based on a specific quantity of production (normal or planned), is seldom modified once agreed upon, which is used for management reasons. When income is higher than predicted at the actually volume of engagement for the time, this is referred to as a favourable revenue variation. Undesirable expenditure variations arise when the cost becomes less than projected but it’s more than two times higher for the very same timeframe. </w:t>
      </w:r>
    </w:p>
    <w:p w14:paraId="48C49500" w14:textId="77777777" w:rsidR="00F53EC8" w:rsidRPr="00FF32A6" w:rsidRDefault="00F53EC8" w:rsidP="006D4292">
      <w:pPr>
        <w:jc w:val="both"/>
        <w:rPr>
          <w:rFonts w:cs="Times New Roman"/>
          <w:szCs w:val="24"/>
        </w:rPr>
      </w:pPr>
    </w:p>
    <w:tbl>
      <w:tblPr>
        <w:tblW w:w="9927" w:type="dxa"/>
        <w:tblLook w:val="04A0" w:firstRow="1" w:lastRow="0" w:firstColumn="1" w:lastColumn="0" w:noHBand="0" w:noVBand="1"/>
      </w:tblPr>
      <w:tblGrid>
        <w:gridCol w:w="3108"/>
        <w:gridCol w:w="943"/>
        <w:gridCol w:w="1262"/>
        <w:gridCol w:w="1538"/>
        <w:gridCol w:w="1538"/>
        <w:gridCol w:w="1538"/>
      </w:tblGrid>
      <w:tr w:rsidR="00B5428F" w:rsidRPr="00C84FBE" w14:paraId="2E5FA385" w14:textId="77777777" w:rsidTr="00C24E6A">
        <w:trPr>
          <w:trHeight w:val="290"/>
        </w:trPr>
        <w:tc>
          <w:tcPr>
            <w:tcW w:w="3108" w:type="dxa"/>
            <w:tcBorders>
              <w:top w:val="single" w:sz="4" w:space="0" w:color="auto"/>
              <w:left w:val="single" w:sz="4" w:space="0" w:color="auto"/>
              <w:bottom w:val="single" w:sz="4" w:space="0" w:color="auto"/>
              <w:right w:val="single" w:sz="4" w:space="0" w:color="auto"/>
            </w:tcBorders>
            <w:shd w:val="clear" w:color="000000" w:fill="E3E3E3"/>
            <w:noWrap/>
            <w:vAlign w:val="bottom"/>
            <w:hideMark/>
          </w:tcPr>
          <w:p w14:paraId="3894F0B9"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lastRenderedPageBreak/>
              <w:t> </w:t>
            </w:r>
          </w:p>
        </w:tc>
        <w:tc>
          <w:tcPr>
            <w:tcW w:w="943" w:type="dxa"/>
            <w:tcBorders>
              <w:top w:val="single" w:sz="4" w:space="0" w:color="auto"/>
              <w:left w:val="nil"/>
              <w:bottom w:val="single" w:sz="4" w:space="0" w:color="auto"/>
              <w:right w:val="single" w:sz="4" w:space="0" w:color="auto"/>
            </w:tcBorders>
            <w:shd w:val="clear" w:color="000000" w:fill="E3E3E3"/>
            <w:noWrap/>
            <w:vAlign w:val="bottom"/>
            <w:hideMark/>
          </w:tcPr>
          <w:p w14:paraId="44E3CD3C"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single" w:sz="4" w:space="0" w:color="auto"/>
              <w:left w:val="nil"/>
              <w:bottom w:val="single" w:sz="4" w:space="0" w:color="auto"/>
              <w:right w:val="single" w:sz="4" w:space="0" w:color="auto"/>
            </w:tcBorders>
            <w:shd w:val="clear" w:color="000000" w:fill="E3E3E3"/>
            <w:noWrap/>
            <w:vAlign w:val="bottom"/>
            <w:hideMark/>
          </w:tcPr>
          <w:p w14:paraId="72456371" w14:textId="77777777" w:rsidR="00B5428F" w:rsidRPr="00C84FBE" w:rsidRDefault="00B5428F"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Variable Cost </w:t>
            </w:r>
          </w:p>
        </w:tc>
        <w:tc>
          <w:tcPr>
            <w:tcW w:w="1538" w:type="dxa"/>
            <w:tcBorders>
              <w:top w:val="single" w:sz="4" w:space="0" w:color="auto"/>
              <w:left w:val="nil"/>
              <w:bottom w:val="single" w:sz="4" w:space="0" w:color="auto"/>
              <w:right w:val="single" w:sz="4" w:space="0" w:color="auto"/>
            </w:tcBorders>
            <w:shd w:val="clear" w:color="000000" w:fill="E3E3E3"/>
            <w:noWrap/>
            <w:vAlign w:val="bottom"/>
            <w:hideMark/>
          </w:tcPr>
          <w:p w14:paraId="6B04CE6C" w14:textId="77777777" w:rsidR="00B5428F" w:rsidRPr="00C84FBE" w:rsidRDefault="00B5428F"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Original </w:t>
            </w:r>
          </w:p>
        </w:tc>
        <w:tc>
          <w:tcPr>
            <w:tcW w:w="1538" w:type="dxa"/>
            <w:tcBorders>
              <w:top w:val="single" w:sz="4" w:space="0" w:color="auto"/>
              <w:left w:val="nil"/>
              <w:bottom w:val="single" w:sz="4" w:space="0" w:color="auto"/>
              <w:right w:val="single" w:sz="4" w:space="0" w:color="auto"/>
            </w:tcBorders>
            <w:shd w:val="clear" w:color="000000" w:fill="E3E3E3"/>
            <w:noWrap/>
            <w:vAlign w:val="bottom"/>
            <w:hideMark/>
          </w:tcPr>
          <w:p w14:paraId="3270067D" w14:textId="77777777" w:rsidR="00B5428F" w:rsidRPr="00C84FBE" w:rsidRDefault="00B5428F"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Actual </w:t>
            </w:r>
          </w:p>
        </w:tc>
        <w:tc>
          <w:tcPr>
            <w:tcW w:w="1538" w:type="dxa"/>
            <w:tcBorders>
              <w:top w:val="single" w:sz="4" w:space="0" w:color="auto"/>
              <w:left w:val="nil"/>
              <w:bottom w:val="single" w:sz="4" w:space="0" w:color="auto"/>
              <w:right w:val="single" w:sz="4" w:space="0" w:color="auto"/>
            </w:tcBorders>
            <w:shd w:val="clear" w:color="000000" w:fill="E3E3E3"/>
            <w:noWrap/>
            <w:vAlign w:val="bottom"/>
            <w:hideMark/>
          </w:tcPr>
          <w:p w14:paraId="0EB5A9A1" w14:textId="77777777" w:rsidR="00B5428F" w:rsidRDefault="00B5428F"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Variance </w:t>
            </w:r>
          </w:p>
          <w:p w14:paraId="6A392C26" w14:textId="77777777" w:rsidR="00B5428F" w:rsidRPr="00C84FBE" w:rsidRDefault="00B5428F" w:rsidP="00C24E6A">
            <w:pPr>
              <w:spacing w:after="0" w:line="240" w:lineRule="auto"/>
              <w:jc w:val="center"/>
              <w:rPr>
                <w:rFonts w:ascii="Arial" w:eastAsia="Times New Roman" w:hAnsi="Arial" w:cs="Arial"/>
                <w:b/>
                <w:bCs/>
                <w:color w:val="000000"/>
                <w:szCs w:val="24"/>
                <w:lang w:val="en-IN" w:eastAsia="en-IN"/>
              </w:rPr>
            </w:pPr>
            <w:r>
              <w:rPr>
                <w:rFonts w:ascii="Arial" w:eastAsia="Times New Roman" w:hAnsi="Arial" w:cs="Arial"/>
                <w:b/>
                <w:bCs/>
                <w:color w:val="000000"/>
                <w:szCs w:val="24"/>
                <w:lang w:val="en-IN" w:eastAsia="en-IN"/>
              </w:rPr>
              <w:t>(original- Actual )</w:t>
            </w:r>
          </w:p>
        </w:tc>
      </w:tr>
      <w:tr w:rsidR="00B5428F" w:rsidRPr="00C84FBE" w14:paraId="74E98055" w14:textId="77777777" w:rsidTr="00C24E6A">
        <w:trPr>
          <w:trHeight w:val="290"/>
        </w:trPr>
        <w:tc>
          <w:tcPr>
            <w:tcW w:w="3108" w:type="dxa"/>
            <w:tcBorders>
              <w:top w:val="nil"/>
              <w:left w:val="single" w:sz="4" w:space="0" w:color="auto"/>
              <w:bottom w:val="single" w:sz="4" w:space="0" w:color="auto"/>
              <w:right w:val="single" w:sz="4" w:space="0" w:color="auto"/>
            </w:tcBorders>
            <w:shd w:val="clear" w:color="000000" w:fill="E3E3E3"/>
            <w:noWrap/>
            <w:vAlign w:val="bottom"/>
            <w:hideMark/>
          </w:tcPr>
          <w:p w14:paraId="2610E682" w14:textId="77777777" w:rsidR="00B5428F" w:rsidRPr="00C84FBE" w:rsidRDefault="00B5428F" w:rsidP="00C24E6A">
            <w:pPr>
              <w:spacing w:after="0" w:line="240" w:lineRule="auto"/>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Cost Item </w:t>
            </w:r>
          </w:p>
        </w:tc>
        <w:tc>
          <w:tcPr>
            <w:tcW w:w="943" w:type="dxa"/>
            <w:tcBorders>
              <w:top w:val="nil"/>
              <w:left w:val="nil"/>
              <w:bottom w:val="single" w:sz="4" w:space="0" w:color="auto"/>
              <w:right w:val="single" w:sz="4" w:space="0" w:color="auto"/>
            </w:tcBorders>
            <w:shd w:val="clear" w:color="000000" w:fill="E3E3E3"/>
            <w:noWrap/>
            <w:vAlign w:val="bottom"/>
            <w:hideMark/>
          </w:tcPr>
          <w:p w14:paraId="7167BDC0"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000000" w:fill="E3E3E3"/>
            <w:noWrap/>
            <w:vAlign w:val="bottom"/>
            <w:hideMark/>
          </w:tcPr>
          <w:p w14:paraId="33E75541" w14:textId="77777777" w:rsidR="00B5428F" w:rsidRPr="00C84FBE" w:rsidRDefault="00B5428F" w:rsidP="00C24E6A">
            <w:pPr>
              <w:spacing w:after="0" w:line="240" w:lineRule="auto"/>
              <w:jc w:val="center"/>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Per Unit </w:t>
            </w:r>
          </w:p>
        </w:tc>
        <w:tc>
          <w:tcPr>
            <w:tcW w:w="1538" w:type="dxa"/>
            <w:tcBorders>
              <w:top w:val="nil"/>
              <w:left w:val="nil"/>
              <w:bottom w:val="single" w:sz="4" w:space="0" w:color="auto"/>
              <w:right w:val="single" w:sz="4" w:space="0" w:color="auto"/>
            </w:tcBorders>
            <w:shd w:val="clear" w:color="000000" w:fill="E3E3E3"/>
            <w:noWrap/>
            <w:vAlign w:val="bottom"/>
            <w:hideMark/>
          </w:tcPr>
          <w:p w14:paraId="4CBE64AC"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£ 100,000.00 </w:t>
            </w:r>
          </w:p>
        </w:tc>
        <w:tc>
          <w:tcPr>
            <w:tcW w:w="1538" w:type="dxa"/>
            <w:tcBorders>
              <w:top w:val="nil"/>
              <w:left w:val="nil"/>
              <w:bottom w:val="single" w:sz="4" w:space="0" w:color="auto"/>
              <w:right w:val="single" w:sz="4" w:space="0" w:color="auto"/>
            </w:tcBorders>
            <w:shd w:val="clear" w:color="000000" w:fill="E3E3E3"/>
            <w:noWrap/>
            <w:vAlign w:val="bottom"/>
            <w:hideMark/>
          </w:tcPr>
          <w:p w14:paraId="3F28EDF4"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80,000.00 </w:t>
            </w:r>
          </w:p>
        </w:tc>
        <w:tc>
          <w:tcPr>
            <w:tcW w:w="1538" w:type="dxa"/>
            <w:tcBorders>
              <w:top w:val="nil"/>
              <w:left w:val="nil"/>
              <w:bottom w:val="single" w:sz="4" w:space="0" w:color="auto"/>
              <w:right w:val="single" w:sz="4" w:space="0" w:color="auto"/>
            </w:tcBorders>
            <w:shd w:val="clear" w:color="000000" w:fill="E3E3E3"/>
            <w:noWrap/>
            <w:vAlign w:val="bottom"/>
            <w:hideMark/>
          </w:tcPr>
          <w:p w14:paraId="203D90D2"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20,000.00 </w:t>
            </w:r>
          </w:p>
        </w:tc>
      </w:tr>
      <w:tr w:rsidR="00B5428F" w:rsidRPr="00C84FBE" w14:paraId="09CB1D50"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3CED37FD"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Selling price </w:t>
            </w:r>
          </w:p>
        </w:tc>
        <w:tc>
          <w:tcPr>
            <w:tcW w:w="943" w:type="dxa"/>
            <w:tcBorders>
              <w:top w:val="nil"/>
              <w:left w:val="nil"/>
              <w:bottom w:val="single" w:sz="4" w:space="0" w:color="auto"/>
              <w:right w:val="single" w:sz="4" w:space="0" w:color="auto"/>
            </w:tcBorders>
            <w:shd w:val="clear" w:color="auto" w:fill="auto"/>
            <w:noWrap/>
            <w:vAlign w:val="bottom"/>
            <w:hideMark/>
          </w:tcPr>
          <w:p w14:paraId="7389A92B"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032BC2AC"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25.00 </w:t>
            </w:r>
          </w:p>
        </w:tc>
        <w:tc>
          <w:tcPr>
            <w:tcW w:w="1538" w:type="dxa"/>
            <w:tcBorders>
              <w:top w:val="nil"/>
              <w:left w:val="nil"/>
              <w:bottom w:val="single" w:sz="4" w:space="0" w:color="auto"/>
              <w:right w:val="single" w:sz="4" w:space="0" w:color="auto"/>
            </w:tcBorders>
            <w:shd w:val="clear" w:color="auto" w:fill="auto"/>
            <w:noWrap/>
            <w:vAlign w:val="bottom"/>
            <w:hideMark/>
          </w:tcPr>
          <w:p w14:paraId="40D7F143" w14:textId="77777777" w:rsidR="00B5428F"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2500000</w:t>
            </w:r>
          </w:p>
          <w:p w14:paraId="374F7AB3"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(25 x 100,000)</w:t>
            </w:r>
          </w:p>
        </w:tc>
        <w:tc>
          <w:tcPr>
            <w:tcW w:w="1538" w:type="dxa"/>
            <w:tcBorders>
              <w:top w:val="nil"/>
              <w:left w:val="nil"/>
              <w:bottom w:val="single" w:sz="4" w:space="0" w:color="auto"/>
              <w:right w:val="single" w:sz="4" w:space="0" w:color="auto"/>
            </w:tcBorders>
            <w:shd w:val="clear" w:color="auto" w:fill="auto"/>
            <w:noWrap/>
            <w:vAlign w:val="bottom"/>
            <w:hideMark/>
          </w:tcPr>
          <w:p w14:paraId="7F22E9F5" w14:textId="77777777" w:rsidR="00B5428F"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2000000</w:t>
            </w:r>
          </w:p>
          <w:p w14:paraId="79766066"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(25 x 80,000)</w:t>
            </w:r>
          </w:p>
        </w:tc>
        <w:tc>
          <w:tcPr>
            <w:tcW w:w="1538" w:type="dxa"/>
            <w:tcBorders>
              <w:top w:val="nil"/>
              <w:left w:val="nil"/>
              <w:bottom w:val="single" w:sz="4" w:space="0" w:color="auto"/>
              <w:right w:val="single" w:sz="4" w:space="0" w:color="auto"/>
            </w:tcBorders>
            <w:shd w:val="clear" w:color="auto" w:fill="auto"/>
            <w:noWrap/>
            <w:vAlign w:val="bottom"/>
            <w:hideMark/>
          </w:tcPr>
          <w:p w14:paraId="4D5D27C2" w14:textId="77777777" w:rsidR="00B5428F" w:rsidRPr="00C84FBE" w:rsidRDefault="00B5428F" w:rsidP="00B5428F">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£ 500,000.00 </w:t>
            </w:r>
          </w:p>
        </w:tc>
      </w:tr>
      <w:tr w:rsidR="00B5428F" w:rsidRPr="00C84FBE" w14:paraId="6A311FE5"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503045C0"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943" w:type="dxa"/>
            <w:tcBorders>
              <w:top w:val="nil"/>
              <w:left w:val="nil"/>
              <w:bottom w:val="single" w:sz="4" w:space="0" w:color="auto"/>
              <w:right w:val="single" w:sz="4" w:space="0" w:color="auto"/>
            </w:tcBorders>
            <w:shd w:val="clear" w:color="auto" w:fill="auto"/>
            <w:noWrap/>
            <w:vAlign w:val="bottom"/>
            <w:hideMark/>
          </w:tcPr>
          <w:p w14:paraId="66F0BFB9"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3CF80867"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12673C59"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1D82EF83"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432B2B83"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r>
      <w:tr w:rsidR="00B5428F" w:rsidRPr="00C84FBE" w14:paraId="00D9488F"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79A19630" w14:textId="77777777" w:rsidR="00B5428F" w:rsidRPr="00C84FBE" w:rsidRDefault="00B5428F" w:rsidP="00C24E6A">
            <w:pPr>
              <w:spacing w:after="0" w:line="240" w:lineRule="auto"/>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Variable Factory Overhead </w:t>
            </w:r>
          </w:p>
        </w:tc>
        <w:tc>
          <w:tcPr>
            <w:tcW w:w="943" w:type="dxa"/>
            <w:tcBorders>
              <w:top w:val="nil"/>
              <w:left w:val="nil"/>
              <w:bottom w:val="single" w:sz="4" w:space="0" w:color="auto"/>
              <w:right w:val="single" w:sz="4" w:space="0" w:color="auto"/>
            </w:tcBorders>
            <w:shd w:val="clear" w:color="auto" w:fill="auto"/>
            <w:noWrap/>
            <w:vAlign w:val="bottom"/>
            <w:hideMark/>
          </w:tcPr>
          <w:p w14:paraId="470BB542"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27358EB4"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4CB04E2E"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22B41CCB"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w:t>
            </w:r>
          </w:p>
        </w:tc>
        <w:tc>
          <w:tcPr>
            <w:tcW w:w="1538" w:type="dxa"/>
            <w:tcBorders>
              <w:top w:val="nil"/>
              <w:left w:val="nil"/>
              <w:bottom w:val="single" w:sz="4" w:space="0" w:color="auto"/>
              <w:right w:val="single" w:sz="4" w:space="0" w:color="auto"/>
            </w:tcBorders>
            <w:shd w:val="clear" w:color="auto" w:fill="auto"/>
            <w:noWrap/>
            <w:vAlign w:val="bottom"/>
            <w:hideMark/>
          </w:tcPr>
          <w:p w14:paraId="72C168A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w:t>
            </w:r>
          </w:p>
        </w:tc>
      </w:tr>
      <w:tr w:rsidR="00B5428F" w:rsidRPr="00C84FBE" w14:paraId="5BACFD37"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2AC140BC"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Indirect Materials </w:t>
            </w:r>
          </w:p>
        </w:tc>
        <w:tc>
          <w:tcPr>
            <w:tcW w:w="943" w:type="dxa"/>
            <w:tcBorders>
              <w:top w:val="nil"/>
              <w:left w:val="nil"/>
              <w:bottom w:val="single" w:sz="4" w:space="0" w:color="auto"/>
              <w:right w:val="single" w:sz="4" w:space="0" w:color="auto"/>
            </w:tcBorders>
            <w:shd w:val="clear" w:color="auto" w:fill="auto"/>
            <w:noWrap/>
            <w:vAlign w:val="bottom"/>
            <w:hideMark/>
          </w:tcPr>
          <w:p w14:paraId="52DD3B46"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0C37BCA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2.50 </w:t>
            </w:r>
          </w:p>
        </w:tc>
        <w:tc>
          <w:tcPr>
            <w:tcW w:w="1538" w:type="dxa"/>
            <w:tcBorders>
              <w:top w:val="nil"/>
              <w:left w:val="nil"/>
              <w:bottom w:val="single" w:sz="4" w:space="0" w:color="auto"/>
              <w:right w:val="single" w:sz="4" w:space="0" w:color="auto"/>
            </w:tcBorders>
            <w:shd w:val="clear" w:color="auto" w:fill="auto"/>
            <w:noWrap/>
            <w:vAlign w:val="bottom"/>
            <w:hideMark/>
          </w:tcPr>
          <w:p w14:paraId="514CB76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£ 250,000.00 </w:t>
            </w:r>
          </w:p>
        </w:tc>
        <w:tc>
          <w:tcPr>
            <w:tcW w:w="1538" w:type="dxa"/>
            <w:tcBorders>
              <w:top w:val="nil"/>
              <w:left w:val="nil"/>
              <w:bottom w:val="single" w:sz="4" w:space="0" w:color="auto"/>
              <w:right w:val="single" w:sz="4" w:space="0" w:color="auto"/>
            </w:tcBorders>
            <w:shd w:val="clear" w:color="auto" w:fill="auto"/>
            <w:noWrap/>
            <w:vAlign w:val="bottom"/>
            <w:hideMark/>
          </w:tcPr>
          <w:p w14:paraId="0724730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£ 200,000.00 </w:t>
            </w:r>
          </w:p>
        </w:tc>
        <w:tc>
          <w:tcPr>
            <w:tcW w:w="1538" w:type="dxa"/>
            <w:tcBorders>
              <w:top w:val="nil"/>
              <w:left w:val="nil"/>
              <w:bottom w:val="single" w:sz="4" w:space="0" w:color="auto"/>
              <w:right w:val="single" w:sz="4" w:space="0" w:color="auto"/>
            </w:tcBorders>
            <w:shd w:val="clear" w:color="auto" w:fill="auto"/>
            <w:noWrap/>
            <w:vAlign w:val="bottom"/>
            <w:hideMark/>
          </w:tcPr>
          <w:p w14:paraId="1C5DF5D7"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50,000.00 </w:t>
            </w:r>
          </w:p>
        </w:tc>
      </w:tr>
      <w:tr w:rsidR="00B5428F" w:rsidRPr="00C84FBE" w14:paraId="7B39858E"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167B0518"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Indirect </w:t>
            </w:r>
            <w:proofErr w:type="spellStart"/>
            <w:r w:rsidRPr="00C84FBE">
              <w:rPr>
                <w:rFonts w:ascii="Arial" w:eastAsia="Times New Roman" w:hAnsi="Arial" w:cs="Arial"/>
                <w:color w:val="000000"/>
                <w:szCs w:val="24"/>
                <w:lang w:val="en-IN" w:eastAsia="en-IN"/>
              </w:rPr>
              <w:t>Labor</w:t>
            </w:r>
            <w:proofErr w:type="spellEnd"/>
            <w:r w:rsidRPr="00C84FBE">
              <w:rPr>
                <w:rFonts w:ascii="Arial" w:eastAsia="Times New Roman" w:hAnsi="Arial" w:cs="Arial"/>
                <w:color w:val="000000"/>
                <w:szCs w:val="24"/>
                <w:lang w:val="en-IN" w:eastAsia="en-IN"/>
              </w:rPr>
              <w:t xml:space="preserve"> </w:t>
            </w:r>
          </w:p>
        </w:tc>
        <w:tc>
          <w:tcPr>
            <w:tcW w:w="943" w:type="dxa"/>
            <w:tcBorders>
              <w:top w:val="nil"/>
              <w:left w:val="nil"/>
              <w:bottom w:val="single" w:sz="4" w:space="0" w:color="auto"/>
              <w:right w:val="single" w:sz="4" w:space="0" w:color="auto"/>
            </w:tcBorders>
            <w:shd w:val="clear" w:color="auto" w:fill="auto"/>
            <w:noWrap/>
            <w:vAlign w:val="bottom"/>
            <w:hideMark/>
          </w:tcPr>
          <w:p w14:paraId="087F2298"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105ECF87"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4.00 </w:t>
            </w:r>
          </w:p>
        </w:tc>
        <w:tc>
          <w:tcPr>
            <w:tcW w:w="1538" w:type="dxa"/>
            <w:tcBorders>
              <w:top w:val="nil"/>
              <w:left w:val="nil"/>
              <w:bottom w:val="single" w:sz="4" w:space="0" w:color="auto"/>
              <w:right w:val="single" w:sz="4" w:space="0" w:color="auto"/>
            </w:tcBorders>
            <w:shd w:val="clear" w:color="auto" w:fill="auto"/>
            <w:noWrap/>
            <w:vAlign w:val="bottom"/>
            <w:hideMark/>
          </w:tcPr>
          <w:p w14:paraId="204C2B43"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£ 400,000.00 </w:t>
            </w:r>
          </w:p>
        </w:tc>
        <w:tc>
          <w:tcPr>
            <w:tcW w:w="1538" w:type="dxa"/>
            <w:tcBorders>
              <w:top w:val="nil"/>
              <w:left w:val="nil"/>
              <w:bottom w:val="single" w:sz="4" w:space="0" w:color="auto"/>
              <w:right w:val="single" w:sz="4" w:space="0" w:color="auto"/>
            </w:tcBorders>
            <w:shd w:val="clear" w:color="auto" w:fill="auto"/>
            <w:noWrap/>
            <w:vAlign w:val="bottom"/>
            <w:hideMark/>
          </w:tcPr>
          <w:p w14:paraId="25246C2E"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£ 320,000.00 </w:t>
            </w:r>
          </w:p>
        </w:tc>
        <w:tc>
          <w:tcPr>
            <w:tcW w:w="1538" w:type="dxa"/>
            <w:tcBorders>
              <w:top w:val="nil"/>
              <w:left w:val="nil"/>
              <w:bottom w:val="single" w:sz="4" w:space="0" w:color="auto"/>
              <w:right w:val="single" w:sz="4" w:space="0" w:color="auto"/>
            </w:tcBorders>
            <w:shd w:val="clear" w:color="auto" w:fill="auto"/>
            <w:noWrap/>
            <w:vAlign w:val="bottom"/>
            <w:hideMark/>
          </w:tcPr>
          <w:p w14:paraId="0156D517"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80,000.00 </w:t>
            </w:r>
          </w:p>
        </w:tc>
      </w:tr>
      <w:tr w:rsidR="00B5428F" w:rsidRPr="00C84FBE" w14:paraId="1E425ED5"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68C58D40"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Overhead </w:t>
            </w:r>
          </w:p>
        </w:tc>
        <w:tc>
          <w:tcPr>
            <w:tcW w:w="943" w:type="dxa"/>
            <w:tcBorders>
              <w:top w:val="nil"/>
              <w:left w:val="nil"/>
              <w:bottom w:val="single" w:sz="4" w:space="0" w:color="auto"/>
              <w:right w:val="single" w:sz="4" w:space="0" w:color="auto"/>
            </w:tcBorders>
            <w:shd w:val="clear" w:color="auto" w:fill="auto"/>
            <w:noWrap/>
            <w:vAlign w:val="bottom"/>
            <w:hideMark/>
          </w:tcPr>
          <w:p w14:paraId="7DC8AE9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16DE7E4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1.50 </w:t>
            </w:r>
          </w:p>
        </w:tc>
        <w:tc>
          <w:tcPr>
            <w:tcW w:w="1538" w:type="dxa"/>
            <w:tcBorders>
              <w:top w:val="nil"/>
              <w:left w:val="nil"/>
              <w:bottom w:val="single" w:sz="4" w:space="0" w:color="auto"/>
              <w:right w:val="single" w:sz="4" w:space="0" w:color="auto"/>
            </w:tcBorders>
            <w:shd w:val="clear" w:color="auto" w:fill="auto"/>
            <w:noWrap/>
            <w:vAlign w:val="bottom"/>
            <w:hideMark/>
          </w:tcPr>
          <w:p w14:paraId="709EE58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£ 150,000.00 </w:t>
            </w:r>
          </w:p>
        </w:tc>
        <w:tc>
          <w:tcPr>
            <w:tcW w:w="1538" w:type="dxa"/>
            <w:tcBorders>
              <w:top w:val="nil"/>
              <w:left w:val="nil"/>
              <w:bottom w:val="single" w:sz="4" w:space="0" w:color="auto"/>
              <w:right w:val="single" w:sz="4" w:space="0" w:color="auto"/>
            </w:tcBorders>
            <w:shd w:val="clear" w:color="auto" w:fill="auto"/>
            <w:noWrap/>
            <w:vAlign w:val="bottom"/>
            <w:hideMark/>
          </w:tcPr>
          <w:p w14:paraId="1AD811F6"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£ 120,000.00 </w:t>
            </w:r>
          </w:p>
        </w:tc>
        <w:tc>
          <w:tcPr>
            <w:tcW w:w="1538" w:type="dxa"/>
            <w:tcBorders>
              <w:top w:val="nil"/>
              <w:left w:val="nil"/>
              <w:bottom w:val="single" w:sz="4" w:space="0" w:color="auto"/>
              <w:right w:val="single" w:sz="4" w:space="0" w:color="auto"/>
            </w:tcBorders>
            <w:shd w:val="clear" w:color="auto" w:fill="auto"/>
            <w:noWrap/>
            <w:vAlign w:val="bottom"/>
            <w:hideMark/>
          </w:tcPr>
          <w:p w14:paraId="6E35BA8B"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30,000.00 </w:t>
            </w:r>
          </w:p>
        </w:tc>
      </w:tr>
      <w:tr w:rsidR="00B5428F" w:rsidRPr="00C84FBE" w14:paraId="79A6627B"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733CE06D"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Contribution </w:t>
            </w:r>
          </w:p>
        </w:tc>
        <w:tc>
          <w:tcPr>
            <w:tcW w:w="943" w:type="dxa"/>
            <w:tcBorders>
              <w:top w:val="nil"/>
              <w:left w:val="nil"/>
              <w:bottom w:val="single" w:sz="4" w:space="0" w:color="auto"/>
              <w:right w:val="single" w:sz="4" w:space="0" w:color="auto"/>
            </w:tcBorders>
            <w:shd w:val="clear" w:color="auto" w:fill="auto"/>
            <w:noWrap/>
            <w:vAlign w:val="bottom"/>
            <w:hideMark/>
          </w:tcPr>
          <w:p w14:paraId="017AA7A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597E03BC"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17.00 </w:t>
            </w:r>
          </w:p>
        </w:tc>
        <w:tc>
          <w:tcPr>
            <w:tcW w:w="1538" w:type="dxa"/>
            <w:tcBorders>
              <w:top w:val="nil"/>
              <w:left w:val="nil"/>
              <w:bottom w:val="single" w:sz="4" w:space="0" w:color="auto"/>
              <w:right w:val="single" w:sz="4" w:space="0" w:color="auto"/>
            </w:tcBorders>
            <w:shd w:val="clear" w:color="auto" w:fill="auto"/>
            <w:noWrap/>
            <w:vAlign w:val="bottom"/>
            <w:hideMark/>
          </w:tcPr>
          <w:p w14:paraId="5262363D"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1700000</w:t>
            </w:r>
          </w:p>
        </w:tc>
        <w:tc>
          <w:tcPr>
            <w:tcW w:w="1538" w:type="dxa"/>
            <w:tcBorders>
              <w:top w:val="nil"/>
              <w:left w:val="nil"/>
              <w:bottom w:val="single" w:sz="4" w:space="0" w:color="auto"/>
              <w:right w:val="single" w:sz="4" w:space="0" w:color="auto"/>
            </w:tcBorders>
            <w:shd w:val="clear" w:color="auto" w:fill="auto"/>
            <w:noWrap/>
            <w:vAlign w:val="bottom"/>
            <w:hideMark/>
          </w:tcPr>
          <w:p w14:paraId="1CC79987"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1360000</w:t>
            </w:r>
          </w:p>
        </w:tc>
        <w:tc>
          <w:tcPr>
            <w:tcW w:w="1538" w:type="dxa"/>
            <w:tcBorders>
              <w:top w:val="nil"/>
              <w:left w:val="nil"/>
              <w:bottom w:val="single" w:sz="4" w:space="0" w:color="auto"/>
              <w:right w:val="single" w:sz="4" w:space="0" w:color="auto"/>
            </w:tcBorders>
            <w:shd w:val="clear" w:color="auto" w:fill="auto"/>
            <w:noWrap/>
            <w:vAlign w:val="bottom"/>
            <w:hideMark/>
          </w:tcPr>
          <w:p w14:paraId="3059A1F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£ 340,000.00 </w:t>
            </w:r>
          </w:p>
        </w:tc>
      </w:tr>
      <w:tr w:rsidR="00B5428F" w:rsidRPr="00C84FBE" w14:paraId="23E73F44" w14:textId="77777777" w:rsidTr="00C24E6A">
        <w:trPr>
          <w:trHeight w:val="276"/>
        </w:trPr>
        <w:tc>
          <w:tcPr>
            <w:tcW w:w="3108" w:type="dxa"/>
            <w:tcBorders>
              <w:top w:val="nil"/>
              <w:left w:val="single" w:sz="4" w:space="0" w:color="auto"/>
              <w:bottom w:val="single" w:sz="4" w:space="0" w:color="auto"/>
              <w:right w:val="single" w:sz="4" w:space="0" w:color="auto"/>
            </w:tcBorders>
            <w:shd w:val="clear" w:color="000000" w:fill="E3E3E3"/>
            <w:noWrap/>
            <w:vAlign w:val="bottom"/>
            <w:hideMark/>
          </w:tcPr>
          <w:p w14:paraId="7F1CF0E8"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Total Variable Costs </w:t>
            </w:r>
          </w:p>
        </w:tc>
        <w:tc>
          <w:tcPr>
            <w:tcW w:w="943" w:type="dxa"/>
            <w:tcBorders>
              <w:top w:val="nil"/>
              <w:left w:val="nil"/>
              <w:bottom w:val="single" w:sz="4" w:space="0" w:color="auto"/>
              <w:right w:val="single" w:sz="4" w:space="0" w:color="auto"/>
            </w:tcBorders>
            <w:shd w:val="clear" w:color="000000" w:fill="E3E3E3"/>
            <w:noWrap/>
            <w:vAlign w:val="bottom"/>
            <w:hideMark/>
          </w:tcPr>
          <w:p w14:paraId="1452E799"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000000" w:fill="E3E3E3"/>
            <w:noWrap/>
            <w:vAlign w:val="bottom"/>
            <w:hideMark/>
          </w:tcPr>
          <w:p w14:paraId="4B8BA10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50.00 </w:t>
            </w:r>
          </w:p>
        </w:tc>
        <w:tc>
          <w:tcPr>
            <w:tcW w:w="1538" w:type="dxa"/>
            <w:tcBorders>
              <w:top w:val="nil"/>
              <w:left w:val="nil"/>
              <w:bottom w:val="single" w:sz="4" w:space="0" w:color="auto"/>
              <w:right w:val="single" w:sz="4" w:space="0" w:color="auto"/>
            </w:tcBorders>
            <w:shd w:val="clear" w:color="000000" w:fill="E3E3E3"/>
            <w:noWrap/>
            <w:vAlign w:val="bottom"/>
            <w:hideMark/>
          </w:tcPr>
          <w:p w14:paraId="46ADC8E9"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5000000</w:t>
            </w:r>
          </w:p>
        </w:tc>
        <w:tc>
          <w:tcPr>
            <w:tcW w:w="1538" w:type="dxa"/>
            <w:tcBorders>
              <w:top w:val="nil"/>
              <w:left w:val="nil"/>
              <w:bottom w:val="single" w:sz="4" w:space="0" w:color="auto"/>
              <w:right w:val="single" w:sz="4" w:space="0" w:color="auto"/>
            </w:tcBorders>
            <w:shd w:val="clear" w:color="000000" w:fill="E3E3E3"/>
            <w:noWrap/>
            <w:vAlign w:val="bottom"/>
            <w:hideMark/>
          </w:tcPr>
          <w:p w14:paraId="1401690A"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4000000</w:t>
            </w:r>
          </w:p>
        </w:tc>
        <w:tc>
          <w:tcPr>
            <w:tcW w:w="1538" w:type="dxa"/>
            <w:tcBorders>
              <w:top w:val="nil"/>
              <w:left w:val="nil"/>
              <w:bottom w:val="single" w:sz="4" w:space="0" w:color="auto"/>
              <w:right w:val="single" w:sz="4" w:space="0" w:color="auto"/>
            </w:tcBorders>
            <w:shd w:val="clear" w:color="000000" w:fill="E3E3E3"/>
            <w:noWrap/>
            <w:vAlign w:val="bottom"/>
            <w:hideMark/>
          </w:tcPr>
          <w:p w14:paraId="152768AC"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1000000</w:t>
            </w:r>
          </w:p>
        </w:tc>
      </w:tr>
      <w:tr w:rsidR="00B5428F" w:rsidRPr="00C84FBE" w14:paraId="65FE6C9D" w14:textId="77777777" w:rsidTr="00C24E6A">
        <w:trPr>
          <w:trHeight w:val="276"/>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7972D0B1" w14:textId="77777777" w:rsidR="00B5428F"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p w14:paraId="44BD10F5" w14:textId="77777777" w:rsidR="00B5428F" w:rsidRDefault="00B5428F" w:rsidP="00C24E6A">
            <w:pPr>
              <w:spacing w:after="0" w:line="240" w:lineRule="auto"/>
              <w:rPr>
                <w:rFonts w:ascii="Arial" w:eastAsia="Times New Roman" w:hAnsi="Arial" w:cs="Arial"/>
                <w:color w:val="000000"/>
                <w:szCs w:val="24"/>
                <w:lang w:val="en-IN" w:eastAsia="en-IN"/>
              </w:rPr>
            </w:pPr>
          </w:p>
          <w:p w14:paraId="24406E2F" w14:textId="77777777" w:rsidR="00B5428F" w:rsidRPr="00C84FBE" w:rsidRDefault="00B5428F" w:rsidP="00C24E6A">
            <w:pPr>
              <w:spacing w:after="0" w:line="240" w:lineRule="auto"/>
              <w:rPr>
                <w:rFonts w:ascii="Arial" w:eastAsia="Times New Roman" w:hAnsi="Arial" w:cs="Arial"/>
                <w:color w:val="000000"/>
                <w:szCs w:val="24"/>
                <w:lang w:val="en-IN" w:eastAsia="en-IN"/>
              </w:rPr>
            </w:pPr>
          </w:p>
        </w:tc>
        <w:tc>
          <w:tcPr>
            <w:tcW w:w="943" w:type="dxa"/>
            <w:tcBorders>
              <w:top w:val="nil"/>
              <w:left w:val="nil"/>
              <w:bottom w:val="single" w:sz="4" w:space="0" w:color="auto"/>
              <w:right w:val="single" w:sz="4" w:space="0" w:color="auto"/>
            </w:tcBorders>
            <w:shd w:val="clear" w:color="auto" w:fill="auto"/>
            <w:noWrap/>
            <w:vAlign w:val="bottom"/>
            <w:hideMark/>
          </w:tcPr>
          <w:p w14:paraId="56CFB91F"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79FDAF0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142FA3E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02B006E0"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36048210"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r>
      <w:tr w:rsidR="00B5428F" w:rsidRPr="00C84FBE" w14:paraId="745A2682"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6C99BAD8" w14:textId="77777777" w:rsidR="00B5428F" w:rsidRPr="00C84FBE" w:rsidRDefault="00B5428F" w:rsidP="00C24E6A">
            <w:pPr>
              <w:spacing w:after="0" w:line="240" w:lineRule="auto"/>
              <w:rPr>
                <w:rFonts w:ascii="Arial" w:eastAsia="Times New Roman" w:hAnsi="Arial" w:cs="Arial"/>
                <w:b/>
                <w:bCs/>
                <w:color w:val="000000"/>
                <w:szCs w:val="24"/>
                <w:lang w:val="en-IN" w:eastAsia="en-IN"/>
              </w:rPr>
            </w:pPr>
            <w:r w:rsidRPr="00C84FBE">
              <w:rPr>
                <w:rFonts w:ascii="Arial" w:eastAsia="Times New Roman" w:hAnsi="Arial" w:cs="Arial"/>
                <w:b/>
                <w:bCs/>
                <w:color w:val="000000"/>
                <w:szCs w:val="24"/>
                <w:lang w:val="en-IN" w:eastAsia="en-IN"/>
              </w:rPr>
              <w:t xml:space="preserve"> Fixed Factory Overhead </w:t>
            </w:r>
          </w:p>
        </w:tc>
        <w:tc>
          <w:tcPr>
            <w:tcW w:w="943" w:type="dxa"/>
            <w:tcBorders>
              <w:top w:val="nil"/>
              <w:left w:val="nil"/>
              <w:bottom w:val="single" w:sz="4" w:space="0" w:color="auto"/>
              <w:right w:val="single" w:sz="4" w:space="0" w:color="auto"/>
            </w:tcBorders>
            <w:shd w:val="clear" w:color="auto" w:fill="auto"/>
            <w:noWrap/>
            <w:vAlign w:val="bottom"/>
            <w:hideMark/>
          </w:tcPr>
          <w:p w14:paraId="60A1DB5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3C678D2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6B9F5CD2"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5BB8D8F3"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5D67DB6F"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r>
      <w:tr w:rsidR="00B5428F" w:rsidRPr="00C84FBE" w14:paraId="4B84DDB1"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41844CB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Warehouse Rental </w:t>
            </w:r>
          </w:p>
        </w:tc>
        <w:tc>
          <w:tcPr>
            <w:tcW w:w="943" w:type="dxa"/>
            <w:tcBorders>
              <w:top w:val="nil"/>
              <w:left w:val="nil"/>
              <w:bottom w:val="single" w:sz="4" w:space="0" w:color="auto"/>
              <w:right w:val="single" w:sz="4" w:space="0" w:color="auto"/>
            </w:tcBorders>
            <w:shd w:val="clear" w:color="auto" w:fill="auto"/>
            <w:noWrap/>
            <w:vAlign w:val="bottom"/>
            <w:hideMark/>
          </w:tcPr>
          <w:p w14:paraId="0B804D0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54177D4D"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242ECD90"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£ 200,000.00 </w:t>
            </w:r>
          </w:p>
        </w:tc>
        <w:tc>
          <w:tcPr>
            <w:tcW w:w="1538" w:type="dxa"/>
            <w:tcBorders>
              <w:top w:val="nil"/>
              <w:left w:val="nil"/>
              <w:bottom w:val="single" w:sz="4" w:space="0" w:color="auto"/>
              <w:right w:val="single" w:sz="4" w:space="0" w:color="auto"/>
            </w:tcBorders>
            <w:shd w:val="clear" w:color="auto" w:fill="auto"/>
            <w:noWrap/>
            <w:vAlign w:val="bottom"/>
            <w:hideMark/>
          </w:tcPr>
          <w:p w14:paraId="3290D7F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£ 170,000.00 </w:t>
            </w:r>
          </w:p>
        </w:tc>
        <w:tc>
          <w:tcPr>
            <w:tcW w:w="1538" w:type="dxa"/>
            <w:tcBorders>
              <w:top w:val="nil"/>
              <w:left w:val="nil"/>
              <w:bottom w:val="single" w:sz="4" w:space="0" w:color="auto"/>
              <w:right w:val="single" w:sz="4" w:space="0" w:color="auto"/>
            </w:tcBorders>
            <w:shd w:val="clear" w:color="auto" w:fill="auto"/>
            <w:noWrap/>
            <w:vAlign w:val="bottom"/>
            <w:hideMark/>
          </w:tcPr>
          <w:p w14:paraId="79B90F17"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19,000.00 </w:t>
            </w:r>
          </w:p>
        </w:tc>
      </w:tr>
      <w:tr w:rsidR="00B5428F" w:rsidRPr="00C84FBE" w14:paraId="69EC9663"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43399E5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Insurance </w:t>
            </w:r>
          </w:p>
        </w:tc>
        <w:tc>
          <w:tcPr>
            <w:tcW w:w="943" w:type="dxa"/>
            <w:tcBorders>
              <w:top w:val="nil"/>
              <w:left w:val="nil"/>
              <w:bottom w:val="single" w:sz="4" w:space="0" w:color="auto"/>
              <w:right w:val="single" w:sz="4" w:space="0" w:color="auto"/>
            </w:tcBorders>
            <w:shd w:val="clear" w:color="auto" w:fill="auto"/>
            <w:noWrap/>
            <w:vAlign w:val="bottom"/>
            <w:hideMark/>
          </w:tcPr>
          <w:p w14:paraId="147CAE60"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0E3A5DE3"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70308C1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£ 100,000.00 </w:t>
            </w:r>
          </w:p>
        </w:tc>
        <w:tc>
          <w:tcPr>
            <w:tcW w:w="1538" w:type="dxa"/>
            <w:tcBorders>
              <w:top w:val="nil"/>
              <w:left w:val="nil"/>
              <w:bottom w:val="single" w:sz="4" w:space="0" w:color="auto"/>
              <w:right w:val="single" w:sz="4" w:space="0" w:color="auto"/>
            </w:tcBorders>
            <w:shd w:val="clear" w:color="auto" w:fill="auto"/>
            <w:noWrap/>
            <w:vAlign w:val="bottom"/>
            <w:hideMark/>
          </w:tcPr>
          <w:p w14:paraId="117BBBF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£ 100,000.00 </w:t>
            </w:r>
          </w:p>
        </w:tc>
        <w:tc>
          <w:tcPr>
            <w:tcW w:w="1538" w:type="dxa"/>
            <w:tcBorders>
              <w:top w:val="nil"/>
              <w:left w:val="nil"/>
              <w:bottom w:val="single" w:sz="4" w:space="0" w:color="auto"/>
              <w:right w:val="single" w:sz="4" w:space="0" w:color="auto"/>
            </w:tcBorders>
            <w:shd w:val="clear" w:color="auto" w:fill="auto"/>
            <w:noWrap/>
            <w:vAlign w:val="bottom"/>
            <w:hideMark/>
          </w:tcPr>
          <w:p w14:paraId="52E658E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15,000.00 </w:t>
            </w:r>
          </w:p>
        </w:tc>
      </w:tr>
      <w:tr w:rsidR="00B5428F" w:rsidRPr="00C84FBE" w14:paraId="2A44A466"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34524E53"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Fulltime Warehouse supervisor salary </w:t>
            </w:r>
          </w:p>
        </w:tc>
        <w:tc>
          <w:tcPr>
            <w:tcW w:w="943" w:type="dxa"/>
            <w:tcBorders>
              <w:top w:val="nil"/>
              <w:left w:val="nil"/>
              <w:bottom w:val="single" w:sz="4" w:space="0" w:color="auto"/>
              <w:right w:val="single" w:sz="4" w:space="0" w:color="auto"/>
            </w:tcBorders>
            <w:shd w:val="clear" w:color="auto" w:fill="auto"/>
            <w:noWrap/>
            <w:vAlign w:val="bottom"/>
            <w:hideMark/>
          </w:tcPr>
          <w:p w14:paraId="5493916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3C3D1E2A"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0FBB08A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50,000.00 </w:t>
            </w:r>
          </w:p>
        </w:tc>
        <w:tc>
          <w:tcPr>
            <w:tcW w:w="1538" w:type="dxa"/>
            <w:tcBorders>
              <w:top w:val="nil"/>
              <w:left w:val="nil"/>
              <w:bottom w:val="single" w:sz="4" w:space="0" w:color="auto"/>
              <w:right w:val="single" w:sz="4" w:space="0" w:color="auto"/>
            </w:tcBorders>
            <w:shd w:val="clear" w:color="auto" w:fill="auto"/>
            <w:noWrap/>
            <w:vAlign w:val="bottom"/>
            <w:hideMark/>
          </w:tcPr>
          <w:p w14:paraId="1546B406"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35,000.00 </w:t>
            </w:r>
          </w:p>
        </w:tc>
        <w:tc>
          <w:tcPr>
            <w:tcW w:w="1538" w:type="dxa"/>
            <w:tcBorders>
              <w:top w:val="nil"/>
              <w:left w:val="nil"/>
              <w:bottom w:val="single" w:sz="4" w:space="0" w:color="auto"/>
              <w:right w:val="single" w:sz="4" w:space="0" w:color="auto"/>
            </w:tcBorders>
            <w:shd w:val="clear" w:color="auto" w:fill="auto"/>
            <w:noWrap/>
            <w:vAlign w:val="bottom"/>
            <w:hideMark/>
          </w:tcPr>
          <w:p w14:paraId="5475121C"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4,500.00 </w:t>
            </w:r>
          </w:p>
        </w:tc>
      </w:tr>
      <w:tr w:rsidR="00B5428F" w:rsidRPr="00C84FBE" w14:paraId="45D4E61A" w14:textId="77777777" w:rsidTr="00C24E6A">
        <w:trPr>
          <w:trHeight w:val="293"/>
        </w:trPr>
        <w:tc>
          <w:tcPr>
            <w:tcW w:w="3108" w:type="dxa"/>
            <w:tcBorders>
              <w:top w:val="nil"/>
              <w:left w:val="single" w:sz="4" w:space="0" w:color="auto"/>
              <w:bottom w:val="single" w:sz="4" w:space="0" w:color="auto"/>
              <w:right w:val="single" w:sz="4" w:space="0" w:color="auto"/>
            </w:tcBorders>
            <w:shd w:val="clear" w:color="auto" w:fill="auto"/>
            <w:noWrap/>
            <w:vAlign w:val="bottom"/>
            <w:hideMark/>
          </w:tcPr>
          <w:p w14:paraId="2663A9EF"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943" w:type="dxa"/>
            <w:tcBorders>
              <w:top w:val="nil"/>
              <w:left w:val="nil"/>
              <w:bottom w:val="single" w:sz="4" w:space="0" w:color="auto"/>
              <w:right w:val="single" w:sz="4" w:space="0" w:color="auto"/>
            </w:tcBorders>
            <w:shd w:val="clear" w:color="auto" w:fill="auto"/>
            <w:noWrap/>
            <w:vAlign w:val="bottom"/>
            <w:hideMark/>
          </w:tcPr>
          <w:p w14:paraId="587AF73C"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auto" w:fill="auto"/>
            <w:noWrap/>
            <w:vAlign w:val="bottom"/>
            <w:hideMark/>
          </w:tcPr>
          <w:p w14:paraId="006BA898"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3D2F82FF"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62C137D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auto" w:fill="auto"/>
            <w:noWrap/>
            <w:vAlign w:val="bottom"/>
            <w:hideMark/>
          </w:tcPr>
          <w:p w14:paraId="298747A9"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r>
      <w:tr w:rsidR="00B5428F" w:rsidRPr="00C84FBE" w14:paraId="12319704" w14:textId="77777777" w:rsidTr="00C24E6A">
        <w:trPr>
          <w:trHeight w:val="293"/>
        </w:trPr>
        <w:tc>
          <w:tcPr>
            <w:tcW w:w="3108" w:type="dxa"/>
            <w:tcBorders>
              <w:top w:val="nil"/>
              <w:left w:val="single" w:sz="4" w:space="0" w:color="auto"/>
              <w:bottom w:val="single" w:sz="4" w:space="0" w:color="auto"/>
              <w:right w:val="single" w:sz="4" w:space="0" w:color="auto"/>
            </w:tcBorders>
            <w:shd w:val="clear" w:color="000000" w:fill="E3E3E3"/>
            <w:noWrap/>
            <w:vAlign w:val="bottom"/>
            <w:hideMark/>
          </w:tcPr>
          <w:p w14:paraId="138C46C5"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Total Fixed Costs </w:t>
            </w:r>
          </w:p>
        </w:tc>
        <w:tc>
          <w:tcPr>
            <w:tcW w:w="943" w:type="dxa"/>
            <w:tcBorders>
              <w:top w:val="nil"/>
              <w:left w:val="nil"/>
              <w:bottom w:val="single" w:sz="4" w:space="0" w:color="auto"/>
              <w:right w:val="single" w:sz="4" w:space="0" w:color="auto"/>
            </w:tcBorders>
            <w:shd w:val="clear" w:color="000000" w:fill="E3E3E3"/>
            <w:noWrap/>
            <w:vAlign w:val="bottom"/>
            <w:hideMark/>
          </w:tcPr>
          <w:p w14:paraId="0783A672"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000000" w:fill="E3E3E3"/>
            <w:noWrap/>
            <w:vAlign w:val="bottom"/>
            <w:hideMark/>
          </w:tcPr>
          <w:p w14:paraId="609523B3"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000000" w:fill="E3E3E3"/>
            <w:noWrap/>
            <w:vAlign w:val="bottom"/>
            <w:hideMark/>
          </w:tcPr>
          <w:p w14:paraId="54878462"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£ 350,000.00 </w:t>
            </w:r>
          </w:p>
        </w:tc>
        <w:tc>
          <w:tcPr>
            <w:tcW w:w="1538" w:type="dxa"/>
            <w:tcBorders>
              <w:top w:val="nil"/>
              <w:left w:val="nil"/>
              <w:bottom w:val="single" w:sz="4" w:space="0" w:color="auto"/>
              <w:right w:val="single" w:sz="4" w:space="0" w:color="auto"/>
            </w:tcBorders>
            <w:shd w:val="clear" w:color="000000" w:fill="E3E3E3"/>
            <w:noWrap/>
            <w:vAlign w:val="bottom"/>
            <w:hideMark/>
          </w:tcPr>
          <w:p w14:paraId="6DEE9531"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£ 305,000.00 </w:t>
            </w:r>
          </w:p>
        </w:tc>
        <w:tc>
          <w:tcPr>
            <w:tcW w:w="1538" w:type="dxa"/>
            <w:tcBorders>
              <w:top w:val="nil"/>
              <w:left w:val="nil"/>
              <w:bottom w:val="single" w:sz="4" w:space="0" w:color="auto"/>
              <w:right w:val="single" w:sz="4" w:space="0" w:color="auto"/>
            </w:tcBorders>
            <w:shd w:val="clear" w:color="000000" w:fill="E3E3E3"/>
            <w:noWrap/>
            <w:vAlign w:val="bottom"/>
            <w:hideMark/>
          </w:tcPr>
          <w:p w14:paraId="74DE60B9"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   38,500.00 </w:t>
            </w:r>
          </w:p>
        </w:tc>
      </w:tr>
      <w:tr w:rsidR="00B5428F" w:rsidRPr="00C84FBE" w14:paraId="48449CD6" w14:textId="77777777" w:rsidTr="00C24E6A">
        <w:trPr>
          <w:trHeight w:val="276"/>
        </w:trPr>
        <w:tc>
          <w:tcPr>
            <w:tcW w:w="3108" w:type="dxa"/>
            <w:tcBorders>
              <w:top w:val="nil"/>
              <w:left w:val="single" w:sz="4" w:space="0" w:color="auto"/>
              <w:bottom w:val="single" w:sz="4" w:space="0" w:color="auto"/>
              <w:right w:val="single" w:sz="4" w:space="0" w:color="auto"/>
            </w:tcBorders>
            <w:shd w:val="clear" w:color="000000" w:fill="E3E3E3"/>
            <w:noWrap/>
            <w:vAlign w:val="bottom"/>
            <w:hideMark/>
          </w:tcPr>
          <w:p w14:paraId="137B2708"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Total Costs </w:t>
            </w:r>
          </w:p>
        </w:tc>
        <w:tc>
          <w:tcPr>
            <w:tcW w:w="943" w:type="dxa"/>
            <w:tcBorders>
              <w:top w:val="nil"/>
              <w:left w:val="nil"/>
              <w:bottom w:val="single" w:sz="4" w:space="0" w:color="auto"/>
              <w:right w:val="single" w:sz="4" w:space="0" w:color="auto"/>
            </w:tcBorders>
            <w:shd w:val="clear" w:color="000000" w:fill="E3E3E3"/>
            <w:noWrap/>
            <w:vAlign w:val="bottom"/>
            <w:hideMark/>
          </w:tcPr>
          <w:p w14:paraId="769528AF"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262" w:type="dxa"/>
            <w:tcBorders>
              <w:top w:val="nil"/>
              <w:left w:val="nil"/>
              <w:bottom w:val="single" w:sz="4" w:space="0" w:color="auto"/>
              <w:right w:val="single" w:sz="4" w:space="0" w:color="auto"/>
            </w:tcBorders>
            <w:shd w:val="clear" w:color="000000" w:fill="E3E3E3"/>
            <w:noWrap/>
            <w:vAlign w:val="bottom"/>
            <w:hideMark/>
          </w:tcPr>
          <w:p w14:paraId="5346A60D" w14:textId="77777777" w:rsidR="00B5428F" w:rsidRPr="00C84FBE" w:rsidRDefault="00B5428F" w:rsidP="00C24E6A">
            <w:pPr>
              <w:spacing w:after="0" w:line="240" w:lineRule="auto"/>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w:t>
            </w:r>
          </w:p>
        </w:tc>
        <w:tc>
          <w:tcPr>
            <w:tcW w:w="1538" w:type="dxa"/>
            <w:tcBorders>
              <w:top w:val="nil"/>
              <w:left w:val="nil"/>
              <w:bottom w:val="single" w:sz="4" w:space="0" w:color="auto"/>
              <w:right w:val="single" w:sz="4" w:space="0" w:color="auto"/>
            </w:tcBorders>
            <w:shd w:val="clear" w:color="000000" w:fill="E3E3E3"/>
            <w:noWrap/>
            <w:vAlign w:val="bottom"/>
            <w:hideMark/>
          </w:tcPr>
          <w:p w14:paraId="585D30E4"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5350000</w:t>
            </w:r>
          </w:p>
        </w:tc>
        <w:tc>
          <w:tcPr>
            <w:tcW w:w="1538" w:type="dxa"/>
            <w:tcBorders>
              <w:top w:val="nil"/>
              <w:left w:val="nil"/>
              <w:bottom w:val="single" w:sz="4" w:space="0" w:color="auto"/>
              <w:right w:val="single" w:sz="4" w:space="0" w:color="auto"/>
            </w:tcBorders>
            <w:shd w:val="clear" w:color="000000" w:fill="E3E3E3"/>
            <w:noWrap/>
            <w:vAlign w:val="bottom"/>
            <w:hideMark/>
          </w:tcPr>
          <w:p w14:paraId="0A297173"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4305000</w:t>
            </w:r>
          </w:p>
        </w:tc>
        <w:tc>
          <w:tcPr>
            <w:tcW w:w="1538" w:type="dxa"/>
            <w:tcBorders>
              <w:top w:val="nil"/>
              <w:left w:val="nil"/>
              <w:bottom w:val="single" w:sz="4" w:space="0" w:color="auto"/>
              <w:right w:val="single" w:sz="4" w:space="0" w:color="auto"/>
            </w:tcBorders>
            <w:shd w:val="clear" w:color="000000" w:fill="E3E3E3"/>
            <w:noWrap/>
            <w:vAlign w:val="bottom"/>
            <w:hideMark/>
          </w:tcPr>
          <w:p w14:paraId="72F1FB5A" w14:textId="77777777" w:rsidR="00B5428F" w:rsidRPr="00C84FBE" w:rsidRDefault="00B5428F" w:rsidP="00C24E6A">
            <w:pPr>
              <w:spacing w:after="0" w:line="240" w:lineRule="auto"/>
              <w:jc w:val="center"/>
              <w:rPr>
                <w:rFonts w:ascii="Arial" w:eastAsia="Times New Roman" w:hAnsi="Arial" w:cs="Arial"/>
                <w:color w:val="000000"/>
                <w:szCs w:val="24"/>
                <w:lang w:val="en-IN" w:eastAsia="en-IN"/>
              </w:rPr>
            </w:pPr>
            <w:r w:rsidRPr="00C84FBE">
              <w:rPr>
                <w:rFonts w:ascii="Arial" w:eastAsia="Times New Roman" w:hAnsi="Arial" w:cs="Arial"/>
                <w:color w:val="000000"/>
                <w:szCs w:val="24"/>
                <w:lang w:val="en-IN" w:eastAsia="en-IN"/>
              </w:rPr>
              <w:t xml:space="preserve">£ </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1038500</w:t>
            </w:r>
          </w:p>
        </w:tc>
      </w:tr>
    </w:tbl>
    <w:p w14:paraId="0B41A260" w14:textId="77777777" w:rsidR="00F259DF" w:rsidRPr="00FF32A6" w:rsidRDefault="00F259DF" w:rsidP="006D4292">
      <w:pPr>
        <w:jc w:val="both"/>
        <w:rPr>
          <w:rFonts w:cs="Times New Roman"/>
          <w:szCs w:val="24"/>
        </w:rPr>
      </w:pPr>
    </w:p>
    <w:p w14:paraId="2856F9F8" w14:textId="77777777" w:rsidR="00712D04" w:rsidRDefault="00712D04" w:rsidP="00712D04">
      <w:pPr>
        <w:pStyle w:val="ListParagraph"/>
        <w:numPr>
          <w:ilvl w:val="0"/>
          <w:numId w:val="2"/>
        </w:numPr>
      </w:pPr>
      <w:r>
        <w:t>Variance = Original – Actual</w:t>
      </w:r>
    </w:p>
    <w:p w14:paraId="2BC07A82" w14:textId="77777777" w:rsidR="00712D04" w:rsidRDefault="00712D04" w:rsidP="00712D04">
      <w:pPr>
        <w:pStyle w:val="ListParagraph"/>
        <w:numPr>
          <w:ilvl w:val="0"/>
          <w:numId w:val="2"/>
        </w:numPr>
      </w:pPr>
      <w:r>
        <w:t>Variance in Selling Price = (Per Unit X original cost item) – (Per unit X Actual Item)</w:t>
      </w:r>
    </w:p>
    <w:p w14:paraId="1228A349" w14:textId="77777777" w:rsidR="00712D04" w:rsidRDefault="00712D04" w:rsidP="00712D04">
      <w:pPr>
        <w:rPr>
          <w:rFonts w:ascii="Arial" w:eastAsia="Times New Roman" w:hAnsi="Arial" w:cs="Arial"/>
          <w:color w:val="000000"/>
          <w:szCs w:val="24"/>
          <w:lang w:val="en-IN" w:eastAsia="en-IN"/>
        </w:rPr>
      </w:pPr>
      <w:r>
        <w:t xml:space="preserve">                                         = (25 x </w:t>
      </w:r>
      <w:r w:rsidRPr="00C84FBE">
        <w:rPr>
          <w:rFonts w:ascii="Arial" w:eastAsia="Times New Roman" w:hAnsi="Arial" w:cs="Arial"/>
          <w:color w:val="000000"/>
          <w:szCs w:val="24"/>
          <w:lang w:val="en-IN" w:eastAsia="en-IN"/>
        </w:rPr>
        <w:t>100,000.00</w:t>
      </w:r>
      <w:r>
        <w:rPr>
          <w:rFonts w:ascii="Arial" w:eastAsia="Times New Roman" w:hAnsi="Arial" w:cs="Arial"/>
          <w:color w:val="000000"/>
          <w:szCs w:val="24"/>
          <w:lang w:val="en-IN" w:eastAsia="en-IN"/>
        </w:rPr>
        <w:t>) – (25 x 80,000)</w:t>
      </w:r>
    </w:p>
    <w:p w14:paraId="3C0CDF61" w14:textId="77777777" w:rsidR="00712D04" w:rsidRDefault="00712D04" w:rsidP="00712D04">
      <w:pP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 xml:space="preserve">                                    </w:t>
      </w:r>
      <w:proofErr w:type="gramStart"/>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w:t>
      </w:r>
      <w:proofErr w:type="gramEnd"/>
      <w:r w:rsidRPr="00C84FBE">
        <w:rPr>
          <w:rFonts w:ascii="Arial" w:eastAsia="Times New Roman" w:hAnsi="Arial" w:cs="Arial"/>
          <w:color w:val="000000"/>
          <w:szCs w:val="24"/>
          <w:lang w:val="en-IN" w:eastAsia="en-IN"/>
        </w:rPr>
        <w:t xml:space="preserve"> 500,000.00</w:t>
      </w:r>
    </w:p>
    <w:p w14:paraId="54E262BE" w14:textId="77777777" w:rsidR="00712D04" w:rsidRPr="00BA3436" w:rsidRDefault="00712D04" w:rsidP="00712D04">
      <w:pPr>
        <w:pStyle w:val="ListParagraph"/>
        <w:numPr>
          <w:ilvl w:val="0"/>
          <w:numId w:val="2"/>
        </w:numPr>
      </w:pPr>
      <w:r>
        <w:t xml:space="preserve">Total Variable Cost in Variance = </w:t>
      </w:r>
      <w:r>
        <w:rPr>
          <w:lang w:val="en-IN" w:eastAsia="en-IN"/>
        </w:rPr>
        <w:t>original total variable cost – Actual Variable</w:t>
      </w:r>
      <w:r w:rsidRPr="00BA3436">
        <w:rPr>
          <w:lang w:val="en-IN" w:eastAsia="en-IN"/>
        </w:rPr>
        <w:t xml:space="preserve"> cost</w:t>
      </w:r>
    </w:p>
    <w:p w14:paraId="0BF2F4BC" w14:textId="77777777" w:rsidR="00712D04" w:rsidRDefault="00712D04" w:rsidP="00712D04">
      <w:pPr>
        <w:pStyle w:val="ListParagraph"/>
        <w:rPr>
          <w:rFonts w:ascii="Arial" w:eastAsia="Times New Roman" w:hAnsi="Arial" w:cs="Arial"/>
          <w:color w:val="000000"/>
          <w:szCs w:val="24"/>
          <w:lang w:val="en-IN" w:eastAsia="en-IN"/>
        </w:rPr>
      </w:pPr>
      <w:r>
        <w:rPr>
          <w:lang w:eastAsia="en-IN"/>
        </w:rPr>
        <w:t xml:space="preserve">                                                      = </w:t>
      </w:r>
      <w:r w:rsidRPr="00C84FBE">
        <w:rPr>
          <w:rFonts w:ascii="Arial" w:eastAsia="Times New Roman" w:hAnsi="Arial" w:cs="Arial"/>
          <w:color w:val="000000"/>
          <w:szCs w:val="24"/>
          <w:lang w:val="en-IN" w:eastAsia="en-IN"/>
        </w:rPr>
        <w:t>5000000</w:t>
      </w: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4000000</w:t>
      </w: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w:t>
      </w:r>
      <w:r>
        <w:rPr>
          <w:rFonts w:ascii="Arial" w:eastAsia="Times New Roman" w:hAnsi="Arial" w:cs="Arial"/>
          <w:color w:val="000000"/>
          <w:szCs w:val="24"/>
          <w:lang w:val="en-IN" w:eastAsia="en-IN"/>
        </w:rPr>
        <w:t xml:space="preserve"> </w:t>
      </w:r>
      <w:r w:rsidRPr="00C84FBE">
        <w:rPr>
          <w:rFonts w:ascii="Arial" w:eastAsia="Times New Roman" w:hAnsi="Arial" w:cs="Arial"/>
          <w:color w:val="000000"/>
          <w:szCs w:val="24"/>
          <w:lang w:val="en-IN" w:eastAsia="en-IN"/>
        </w:rPr>
        <w:t>1000000</w:t>
      </w:r>
    </w:p>
    <w:p w14:paraId="02A37E62" w14:textId="03EE571F" w:rsidR="00712D04" w:rsidRPr="002400F6" w:rsidRDefault="00712D04" w:rsidP="00712D04">
      <w:pPr>
        <w:pStyle w:val="ListParagraph"/>
        <w:numPr>
          <w:ilvl w:val="0"/>
          <w:numId w:val="2"/>
        </w:numPr>
        <w:rPr>
          <w:rFonts w:ascii="Arial" w:eastAsia="Times New Roman" w:hAnsi="Arial" w:cs="Arial"/>
          <w:color w:val="000000"/>
          <w:szCs w:val="24"/>
          <w:lang w:val="en-IN" w:eastAsia="en-IN"/>
        </w:rPr>
      </w:pPr>
      <w:r w:rsidRPr="002400F6">
        <w:rPr>
          <w:rFonts w:ascii="Arial" w:eastAsia="Times New Roman" w:hAnsi="Arial" w:cs="Arial"/>
          <w:color w:val="000000"/>
          <w:szCs w:val="24"/>
          <w:lang w:val="en-IN" w:eastAsia="en-IN"/>
        </w:rPr>
        <w:t xml:space="preserve">Total Fixed Costs in Variance = </w:t>
      </w:r>
      <w:r>
        <w:rPr>
          <w:lang w:eastAsia="en-IN"/>
        </w:rPr>
        <w:t>Original Fixed cost – Actual Fixed cost</w:t>
      </w:r>
    </w:p>
    <w:p w14:paraId="55341DE9" w14:textId="285D7A75" w:rsidR="00712D04" w:rsidRDefault="00712D04" w:rsidP="00712D04">
      <w:pPr>
        <w:rPr>
          <w:rFonts w:ascii="Arial" w:eastAsia="Times New Roman" w:hAnsi="Arial" w:cs="Arial"/>
          <w:color w:val="000000"/>
          <w:szCs w:val="24"/>
          <w:lang w:val="en-IN" w:eastAsia="en-IN"/>
        </w:rPr>
      </w:pPr>
      <w:r>
        <w:rPr>
          <w:lang w:val="en-IN" w:eastAsia="en-IN"/>
        </w:rPr>
        <w:lastRenderedPageBreak/>
        <w:t xml:space="preserve">                  </w:t>
      </w:r>
      <w:proofErr w:type="gramStart"/>
      <w:r>
        <w:rPr>
          <w:lang w:val="en-IN" w:eastAsia="en-IN"/>
        </w:rPr>
        <w:t xml:space="preserve">=  </w:t>
      </w:r>
      <w:r w:rsidRPr="00C84FBE">
        <w:rPr>
          <w:rFonts w:ascii="Arial" w:eastAsia="Times New Roman" w:hAnsi="Arial" w:cs="Arial"/>
          <w:color w:val="000000"/>
          <w:szCs w:val="24"/>
          <w:lang w:val="en-IN" w:eastAsia="en-IN"/>
        </w:rPr>
        <w:t>350,000.00</w:t>
      </w:r>
      <w:proofErr w:type="gramEnd"/>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305,000.00</w:t>
      </w:r>
    </w:p>
    <w:p w14:paraId="4B6C6936" w14:textId="67D05D40" w:rsidR="00712D04" w:rsidRDefault="00712D04" w:rsidP="00712D04">
      <w:pPr>
        <w:rPr>
          <w:rFonts w:ascii="Arial" w:eastAsia="Times New Roman" w:hAnsi="Arial" w:cs="Arial"/>
          <w:color w:val="000000"/>
          <w:szCs w:val="24"/>
          <w:lang w:val="en-IN" w:eastAsia="en-IN"/>
        </w:rPr>
      </w:pPr>
      <w:r>
        <w:rPr>
          <w:lang w:val="en-IN" w:eastAsia="en-IN"/>
        </w:rPr>
        <w:t xml:space="preserve">                  = </w:t>
      </w:r>
      <w:r w:rsidRPr="00C84FBE">
        <w:rPr>
          <w:rFonts w:ascii="Arial" w:eastAsia="Times New Roman" w:hAnsi="Arial" w:cs="Arial"/>
          <w:color w:val="000000"/>
          <w:szCs w:val="24"/>
          <w:lang w:val="en-IN" w:eastAsia="en-IN"/>
        </w:rPr>
        <w:t>£</w:t>
      </w:r>
      <w:r>
        <w:rPr>
          <w:lang w:val="en-IN" w:eastAsia="en-IN"/>
        </w:rPr>
        <w:t xml:space="preserve"> </w:t>
      </w:r>
      <w:r w:rsidRPr="00C84FBE">
        <w:rPr>
          <w:rFonts w:ascii="Arial" w:eastAsia="Times New Roman" w:hAnsi="Arial" w:cs="Arial"/>
          <w:color w:val="000000"/>
          <w:szCs w:val="24"/>
          <w:lang w:val="en-IN" w:eastAsia="en-IN"/>
        </w:rPr>
        <w:t>38,500.00</w:t>
      </w:r>
    </w:p>
    <w:p w14:paraId="190D06E0" w14:textId="77777777" w:rsidR="00712D04" w:rsidRPr="002400F6" w:rsidRDefault="00712D04" w:rsidP="00712D04">
      <w:pPr>
        <w:pStyle w:val="ListParagraph"/>
        <w:numPr>
          <w:ilvl w:val="0"/>
          <w:numId w:val="2"/>
        </w:numPr>
        <w:rPr>
          <w:rFonts w:ascii="Arial" w:eastAsia="Times New Roman" w:hAnsi="Arial" w:cs="Arial"/>
          <w:color w:val="000000"/>
          <w:szCs w:val="24"/>
          <w:lang w:val="en-IN" w:eastAsia="en-IN"/>
        </w:rPr>
      </w:pPr>
      <w:r w:rsidRPr="002400F6">
        <w:rPr>
          <w:rFonts w:ascii="Arial" w:eastAsia="Times New Roman" w:hAnsi="Arial" w:cs="Arial"/>
          <w:color w:val="000000"/>
          <w:szCs w:val="24"/>
          <w:lang w:val="en-IN" w:eastAsia="en-IN"/>
        </w:rPr>
        <w:t>Total cost = Total Variable Costs + Total Fixed Costs</w:t>
      </w:r>
    </w:p>
    <w:p w14:paraId="23CD7314" w14:textId="77777777" w:rsidR="00712D04" w:rsidRDefault="00712D04" w:rsidP="00712D04">
      <w:pP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1000000</w:t>
      </w: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38,500.00</w:t>
      </w:r>
    </w:p>
    <w:p w14:paraId="1BC4867B" w14:textId="5D67E9B5" w:rsidR="00712D04" w:rsidRPr="00BA3436" w:rsidRDefault="00712D04" w:rsidP="00712D04">
      <w:pPr>
        <w:rPr>
          <w:rFonts w:ascii="Arial" w:eastAsia="Times New Roman" w:hAnsi="Arial" w:cs="Arial"/>
          <w:color w:val="000000"/>
          <w:szCs w:val="24"/>
          <w:lang w:val="en-IN" w:eastAsia="en-IN"/>
        </w:rPr>
      </w:pPr>
      <w:r>
        <w:rPr>
          <w:rFonts w:ascii="Arial" w:eastAsia="Times New Roman" w:hAnsi="Arial" w:cs="Arial"/>
          <w:color w:val="000000"/>
          <w:szCs w:val="24"/>
          <w:lang w:val="en-IN" w:eastAsia="en-IN"/>
        </w:rPr>
        <w:t xml:space="preserve">                = </w:t>
      </w:r>
      <w:r w:rsidRPr="00C84FBE">
        <w:rPr>
          <w:rFonts w:ascii="Arial" w:eastAsia="Times New Roman" w:hAnsi="Arial" w:cs="Arial"/>
          <w:color w:val="000000"/>
          <w:szCs w:val="24"/>
          <w:lang w:val="en-IN" w:eastAsia="en-IN"/>
        </w:rPr>
        <w:t xml:space="preserve">£ </w:t>
      </w:r>
      <w:r>
        <w:rPr>
          <w:rFonts w:ascii="Arial" w:eastAsia="Times New Roman" w:hAnsi="Arial" w:cs="Arial"/>
          <w:color w:val="000000"/>
          <w:szCs w:val="24"/>
          <w:lang w:val="en-IN" w:eastAsia="en-IN"/>
        </w:rPr>
        <w:t>1038500</w:t>
      </w:r>
    </w:p>
    <w:p w14:paraId="6FFEEE2D" w14:textId="77777777" w:rsidR="00F53EC8" w:rsidRPr="00FF32A6" w:rsidRDefault="00F53EC8" w:rsidP="006D4292">
      <w:pPr>
        <w:jc w:val="both"/>
        <w:rPr>
          <w:rFonts w:cs="Times New Roman"/>
          <w:szCs w:val="24"/>
        </w:rPr>
      </w:pPr>
    </w:p>
    <w:p w14:paraId="2204221F" w14:textId="77777777" w:rsidR="00F53EC8" w:rsidRPr="00592114" w:rsidRDefault="00F53EC8" w:rsidP="006D4292">
      <w:pPr>
        <w:pStyle w:val="Heading2"/>
        <w:jc w:val="both"/>
        <w:rPr>
          <w:i/>
          <w:iCs/>
          <w:u w:val="single"/>
        </w:rPr>
      </w:pPr>
      <w:bookmarkStart w:id="1" w:name="_Toc92102841"/>
      <w:r w:rsidRPr="00592114">
        <w:rPr>
          <w:i/>
          <w:iCs/>
          <w:u w:val="single"/>
        </w:rPr>
        <w:t>Amana’s performance for the year 2020</w:t>
      </w:r>
      <w:bookmarkEnd w:id="1"/>
    </w:p>
    <w:p w14:paraId="139DB6C9" w14:textId="4AE674AA" w:rsidR="005B18A7" w:rsidRPr="00FF32A6" w:rsidRDefault="00891C6C" w:rsidP="006D4292">
      <w:pPr>
        <w:jc w:val="both"/>
        <w:rPr>
          <w:rFonts w:cs="Times New Roman"/>
          <w:szCs w:val="24"/>
        </w:rPr>
      </w:pPr>
      <w:r w:rsidRPr="00FF32A6">
        <w:rPr>
          <w:rFonts w:cs="Times New Roman"/>
          <w:szCs w:val="24"/>
        </w:rPr>
        <w:t xml:space="preserve">There are two conventions either positive or negative based on values. It is calculated by subtracting actual spending from budget spending. In this case the </w:t>
      </w:r>
      <w:r w:rsidR="005D2239" w:rsidRPr="00FF32A6">
        <w:rPr>
          <w:rFonts w:cs="Times New Roman"/>
          <w:szCs w:val="24"/>
        </w:rPr>
        <w:t>original</w:t>
      </w:r>
      <w:r w:rsidRPr="00FF32A6">
        <w:rPr>
          <w:rFonts w:cs="Times New Roman"/>
          <w:szCs w:val="24"/>
        </w:rPr>
        <w:t xml:space="preserve"> spending for the year 2020 is </w:t>
      </w:r>
      <w:r w:rsidRPr="00F53EC8">
        <w:rPr>
          <w:rFonts w:cs="Times New Roman"/>
          <w:szCs w:val="24"/>
        </w:rPr>
        <w:t xml:space="preserve">£ </w:t>
      </w:r>
      <w:r w:rsidRPr="00FF32A6">
        <w:rPr>
          <w:rFonts w:cs="Times New Roman"/>
          <w:szCs w:val="24"/>
        </w:rPr>
        <w:t>28</w:t>
      </w:r>
      <w:r w:rsidR="005D2239" w:rsidRPr="00FF32A6">
        <w:rPr>
          <w:rFonts w:cs="Times New Roman"/>
          <w:szCs w:val="24"/>
        </w:rPr>
        <w:t>,</w:t>
      </w:r>
      <w:r w:rsidRPr="00FF32A6">
        <w:rPr>
          <w:rFonts w:cs="Times New Roman"/>
          <w:szCs w:val="24"/>
        </w:rPr>
        <w:t>60</w:t>
      </w:r>
      <w:r w:rsidR="005D2239" w:rsidRPr="00FF32A6">
        <w:rPr>
          <w:rFonts w:cs="Times New Roman"/>
          <w:szCs w:val="24"/>
        </w:rPr>
        <w:t xml:space="preserve">, </w:t>
      </w:r>
      <w:r w:rsidRPr="00FF32A6">
        <w:rPr>
          <w:rFonts w:cs="Times New Roman"/>
          <w:szCs w:val="24"/>
        </w:rPr>
        <w:t xml:space="preserve">900 </w:t>
      </w:r>
      <w:r w:rsidR="005D2239" w:rsidRPr="00FF32A6">
        <w:rPr>
          <w:rFonts w:cs="Times New Roman"/>
          <w:szCs w:val="24"/>
        </w:rPr>
        <w:t xml:space="preserve">and actual spending is </w:t>
      </w:r>
      <w:r w:rsidR="005D2239" w:rsidRPr="00F53EC8">
        <w:rPr>
          <w:rFonts w:cs="Times New Roman"/>
          <w:szCs w:val="24"/>
        </w:rPr>
        <w:t>£</w:t>
      </w:r>
      <w:r w:rsidR="005D2239" w:rsidRPr="00FF32A6">
        <w:rPr>
          <w:rFonts w:cs="Times New Roman"/>
          <w:szCs w:val="24"/>
        </w:rPr>
        <w:t xml:space="preserve">20,38,500. Here, variance is negative convention because budgeted spending is greater than actual spending. The variance is calculated by subtracting budgeted spending </w:t>
      </w:r>
      <w:r w:rsidR="005B18A7" w:rsidRPr="00FF32A6">
        <w:rPr>
          <w:rFonts w:cs="Times New Roman"/>
          <w:szCs w:val="24"/>
        </w:rPr>
        <w:t xml:space="preserve">from actual spending i.e., </w:t>
      </w:r>
      <w:r w:rsidR="005B18A7" w:rsidRPr="00F53EC8">
        <w:rPr>
          <w:rFonts w:cs="Times New Roman"/>
          <w:szCs w:val="24"/>
        </w:rPr>
        <w:t>£</w:t>
      </w:r>
      <w:r w:rsidR="005B18A7" w:rsidRPr="00FF32A6">
        <w:rPr>
          <w:rFonts w:cs="Times New Roman"/>
          <w:szCs w:val="24"/>
        </w:rPr>
        <w:t xml:space="preserve"> 822,400. </w:t>
      </w:r>
    </w:p>
    <w:p w14:paraId="2A07BB24" w14:textId="77777777" w:rsidR="00290559" w:rsidRDefault="00290559" w:rsidP="006D4292">
      <w:pPr>
        <w:jc w:val="both"/>
        <w:rPr>
          <w:rFonts w:cs="Times New Roman"/>
          <w:b/>
          <w:bCs/>
          <w:szCs w:val="24"/>
        </w:rPr>
      </w:pPr>
    </w:p>
    <w:p w14:paraId="247A075A" w14:textId="489F803F" w:rsidR="005B18A7" w:rsidRPr="00592114" w:rsidRDefault="005B18A7" w:rsidP="006D4292">
      <w:pPr>
        <w:jc w:val="both"/>
        <w:rPr>
          <w:rFonts w:cs="Times New Roman"/>
          <w:b/>
          <w:bCs/>
          <w:i/>
          <w:iCs/>
          <w:szCs w:val="24"/>
          <w:u w:val="single"/>
        </w:rPr>
      </w:pPr>
      <w:r w:rsidRPr="00592114">
        <w:rPr>
          <w:rFonts w:cs="Times New Roman"/>
          <w:b/>
          <w:bCs/>
          <w:i/>
          <w:iCs/>
          <w:szCs w:val="24"/>
          <w:u w:val="single"/>
        </w:rPr>
        <w:t>Material variance</w:t>
      </w:r>
    </w:p>
    <w:p w14:paraId="7878C25C" w14:textId="77777777" w:rsidR="0052290B" w:rsidRPr="00FF32A6" w:rsidRDefault="00E701CE" w:rsidP="006D4292">
      <w:pPr>
        <w:jc w:val="both"/>
        <w:rPr>
          <w:rFonts w:cs="Times New Roman"/>
          <w:szCs w:val="24"/>
        </w:rPr>
      </w:pPr>
      <w:r w:rsidRPr="00E701CE">
        <w:rPr>
          <w:rFonts w:cs="Times New Roman"/>
          <w:szCs w:val="24"/>
        </w:rPr>
        <w:t>Material Variances represent the gap between the actual cost of manufacturing and the requirements. These variations in material costs might be sensitive to variations in product pricing, quantity utilised, material mixture, or performance produced</w:t>
      </w:r>
      <w:r w:rsidR="0043536A">
        <w:rPr>
          <w:rFonts w:cs="Times New Roman"/>
          <w:szCs w:val="24"/>
        </w:rPr>
        <w:t xml:space="preserve"> (Patel et al., 2018)</w:t>
      </w:r>
      <w:r w:rsidRPr="00E701CE">
        <w:rPr>
          <w:rFonts w:cs="Times New Roman"/>
          <w:szCs w:val="24"/>
        </w:rPr>
        <w:t>.</w:t>
      </w:r>
      <w:r>
        <w:rPr>
          <w:rFonts w:cs="Times New Roman"/>
          <w:szCs w:val="24"/>
        </w:rPr>
        <w:t xml:space="preserve"> </w:t>
      </w:r>
      <w:r w:rsidR="0052290B" w:rsidRPr="00FF32A6">
        <w:rPr>
          <w:rFonts w:cs="Times New Roman"/>
          <w:szCs w:val="24"/>
        </w:rPr>
        <w:t xml:space="preserve">When assessing material variation, two elements must be considered: price variance and quantity variance. In this scenario, the total variance is £500,000. It is unfavourable for any organisation, thus management must focus their efforts on improving their material variance. Although pricing variance can be argued to be in favour of business, companies must recognise that they require more material for standardising their goods in order to compensate for discrepancies. </w:t>
      </w:r>
    </w:p>
    <w:p w14:paraId="4BC54C3E" w14:textId="77777777" w:rsidR="001148C7" w:rsidRPr="00592114" w:rsidRDefault="001148C7" w:rsidP="006D4292">
      <w:pPr>
        <w:jc w:val="both"/>
        <w:rPr>
          <w:rFonts w:eastAsia="Times New Roman" w:cs="Times New Roman"/>
          <w:b/>
          <w:bCs/>
          <w:i/>
          <w:iCs/>
          <w:color w:val="000000"/>
          <w:szCs w:val="24"/>
          <w:u w:val="single"/>
          <w:lang w:val="en-IN" w:eastAsia="en-IN"/>
        </w:rPr>
      </w:pPr>
      <w:r w:rsidRPr="00592114">
        <w:rPr>
          <w:rFonts w:eastAsia="Times New Roman" w:cs="Times New Roman"/>
          <w:b/>
          <w:bCs/>
          <w:i/>
          <w:iCs/>
          <w:color w:val="000000"/>
          <w:szCs w:val="24"/>
          <w:u w:val="single"/>
          <w:lang w:val="en-IN" w:eastAsia="en-IN"/>
        </w:rPr>
        <w:t xml:space="preserve">Variable Factory Overhead </w:t>
      </w:r>
    </w:p>
    <w:p w14:paraId="6B0AB412" w14:textId="77777777" w:rsidR="0052290B" w:rsidRPr="00FF32A6" w:rsidRDefault="00E701CE" w:rsidP="006D4292">
      <w:pPr>
        <w:jc w:val="both"/>
        <w:rPr>
          <w:rFonts w:cs="Times New Roman"/>
          <w:szCs w:val="24"/>
        </w:rPr>
      </w:pPr>
      <w:r w:rsidRPr="00E701CE">
        <w:rPr>
          <w:rFonts w:cs="Times New Roman"/>
          <w:szCs w:val="24"/>
        </w:rPr>
        <w:t>Overhead costs are referred to as external costs. These expenditures are difficult to associate with a certain item, method, or division. It is made up of costs that the cost accountant is still unable reluctant to attribute to specific cost units</w:t>
      </w:r>
      <w:r w:rsidR="0043536A">
        <w:rPr>
          <w:rFonts w:cs="Times New Roman"/>
          <w:szCs w:val="24"/>
        </w:rPr>
        <w:t xml:space="preserve"> (</w:t>
      </w:r>
      <w:proofErr w:type="spellStart"/>
      <w:r w:rsidR="0043536A">
        <w:rPr>
          <w:rFonts w:cs="Times New Roman"/>
          <w:szCs w:val="24"/>
        </w:rPr>
        <w:t>Mundung</w:t>
      </w:r>
      <w:proofErr w:type="spellEnd"/>
      <w:r w:rsidR="0043536A">
        <w:rPr>
          <w:rFonts w:cs="Times New Roman"/>
          <w:szCs w:val="24"/>
        </w:rPr>
        <w:t xml:space="preserve"> et al., 2020)</w:t>
      </w:r>
      <w:r w:rsidRPr="00E701CE">
        <w:rPr>
          <w:rFonts w:cs="Times New Roman"/>
          <w:szCs w:val="24"/>
        </w:rPr>
        <w:t>. These are typical expenditures like as rent, renovations, and wages that are incurred for the advantage of a wide range of financial unit locations. Overhead is just the sum of all indirect expenses.</w:t>
      </w:r>
      <w:r>
        <w:rPr>
          <w:rFonts w:cs="Times New Roman"/>
          <w:szCs w:val="24"/>
        </w:rPr>
        <w:t xml:space="preserve"> </w:t>
      </w:r>
      <w:r w:rsidR="0052290B" w:rsidRPr="00FF32A6">
        <w:rPr>
          <w:rFonts w:cs="Times New Roman"/>
          <w:szCs w:val="24"/>
        </w:rPr>
        <w:t xml:space="preserve">One can determine overall variance in labour expenses by combining two variables: rate variance and </w:t>
      </w:r>
      <w:r w:rsidR="0052290B" w:rsidRPr="00FF32A6">
        <w:rPr>
          <w:rFonts w:cs="Times New Roman"/>
          <w:szCs w:val="24"/>
        </w:rPr>
        <w:lastRenderedPageBreak/>
        <w:t>efficiency variance. In the instance of Amana, the difference is £ 80,000. We cannot compute all labour costs per hour or any indirect labour costs here.</w:t>
      </w:r>
    </w:p>
    <w:p w14:paraId="14AB16AB" w14:textId="77777777" w:rsidR="0052290B" w:rsidRPr="00FF32A6" w:rsidRDefault="0052290B" w:rsidP="006D4292">
      <w:pPr>
        <w:jc w:val="both"/>
        <w:rPr>
          <w:rFonts w:cs="Times New Roman"/>
          <w:b/>
          <w:bCs/>
          <w:szCs w:val="24"/>
        </w:rPr>
      </w:pPr>
      <w:r w:rsidRPr="00FF32A6">
        <w:rPr>
          <w:rFonts w:cs="Times New Roman"/>
          <w:b/>
          <w:bCs/>
          <w:szCs w:val="24"/>
        </w:rPr>
        <w:t>Fixed Overhead Variance</w:t>
      </w:r>
    </w:p>
    <w:p w14:paraId="029168FB" w14:textId="77777777" w:rsidR="001B54F4" w:rsidRPr="00FF32A6" w:rsidRDefault="001148C7" w:rsidP="006D4292">
      <w:pPr>
        <w:jc w:val="both"/>
        <w:rPr>
          <w:rFonts w:cs="Times New Roman"/>
          <w:szCs w:val="24"/>
        </w:rPr>
      </w:pPr>
      <w:r w:rsidRPr="00FF32A6">
        <w:rPr>
          <w:rFonts w:cs="Times New Roman"/>
          <w:szCs w:val="24"/>
        </w:rPr>
        <w:t>The discrepancy between the quantity projected for fixed operational costs related to production output as well as the quantity finally consumed is referred to as the total fixed level variation</w:t>
      </w:r>
      <w:r w:rsidR="0043536A">
        <w:rPr>
          <w:rFonts w:cs="Times New Roman"/>
          <w:szCs w:val="24"/>
        </w:rPr>
        <w:t xml:space="preserve"> (Asuquo, 2020)</w:t>
      </w:r>
      <w:r w:rsidRPr="00FF32A6">
        <w:rPr>
          <w:rFonts w:cs="Times New Roman"/>
          <w:szCs w:val="24"/>
        </w:rPr>
        <w:t>. The distribution formula is calculated by dividing the estimated monthly quantity administrative expenditures by the number of items generated. It might be due to recent or outsourcing manufacturing, or it could be because the firm subcontracts all or most of its manufacturing. If a company's revenues are cyclical, weekly manufacturing levels may vary.</w:t>
      </w:r>
    </w:p>
    <w:p w14:paraId="1F7503E8" w14:textId="77777777" w:rsidR="001148C7" w:rsidRPr="00592114" w:rsidRDefault="001148C7" w:rsidP="006D4292">
      <w:pPr>
        <w:pStyle w:val="Heading1"/>
        <w:jc w:val="both"/>
        <w:rPr>
          <w:i/>
          <w:iCs/>
          <w:u w:val="single"/>
        </w:rPr>
      </w:pPr>
      <w:bookmarkStart w:id="2" w:name="_Toc92102842"/>
      <w:r w:rsidRPr="00592114">
        <w:rPr>
          <w:i/>
          <w:iCs/>
          <w:u w:val="single"/>
        </w:rPr>
        <w:t>Recommendations</w:t>
      </w:r>
      <w:bookmarkEnd w:id="2"/>
    </w:p>
    <w:p w14:paraId="61A1679A" w14:textId="77777777" w:rsidR="00883521" w:rsidRDefault="00D61F5A" w:rsidP="006D4292">
      <w:pPr>
        <w:jc w:val="both"/>
      </w:pPr>
      <w:r w:rsidRPr="00D61F5A">
        <w:t>Overhead encompasses indirect costs, indirect costs, and indirect expenditures; the phrase may refer to manufacturing, workplace, or supply and marketing overhead cost. Overhead Cost Variance (OCV) is the differential among standard overhead expenses and real overhead expenses for real production, i.e. recoverable overhead cost and real overhead expenses. Dynamic overhead expenses variance is commonly estimated in whole since flexible operational costs change based on production rather than time, thus there is just one variance.</w:t>
      </w:r>
      <w:r>
        <w:t xml:space="preserve"> </w:t>
      </w:r>
      <w:r w:rsidRPr="00D61F5A">
        <w:t>Fixed operating costs do not fluctuate with output but now with time, so various rates of excess expenditures per item will exist at various levels of activity. Whether the same level of operating costs are generated for greater or lower output than the current production over that period, volumetric variation will occur.</w:t>
      </w:r>
      <w:r>
        <w:t xml:space="preserve"> </w:t>
      </w:r>
      <w:r w:rsidRPr="00D61F5A">
        <w:t xml:space="preserve">It is the difference among overhead expenses taken on total performance and constant overhead cost received on projected production. Variance in Fixed Overhead Utilization. Is the fraction of flow variation caused by operating at a greater or lower capacities consumption than </w:t>
      </w:r>
      <w:proofErr w:type="gramStart"/>
      <w:r w:rsidR="00883521">
        <w:t>usual.</w:t>
      </w:r>
      <w:proofErr w:type="gramEnd"/>
    </w:p>
    <w:p w14:paraId="6723A0E4" w14:textId="23E34A2D" w:rsidR="00D61F5A" w:rsidRDefault="00D61F5A" w:rsidP="006D4292">
      <w:pPr>
        <w:jc w:val="both"/>
      </w:pPr>
      <w:r w:rsidRPr="00D61F5A">
        <w:t>Usable capacity of a machinery or facility may differ from intended or projected capacity owing to protests, lockdowns, and failures, labour shortages, absenteeism, and so on, as well as overtime work.</w:t>
      </w:r>
      <w:r>
        <w:t xml:space="preserve"> </w:t>
      </w:r>
    </w:p>
    <w:p w14:paraId="5CE031DA" w14:textId="77777777" w:rsidR="001148C7" w:rsidRDefault="00FF32A6" w:rsidP="006D4292">
      <w:pPr>
        <w:jc w:val="both"/>
      </w:pPr>
      <w:r w:rsidRPr="00FF32A6">
        <w:t>A flexibility budget is a financial plan depending on the specific volume of engagement as well as the income and expense formulae from the development plan to fill the gap here between planned cost and actual achievement and identify every discrepancy.</w:t>
      </w:r>
      <w:r>
        <w:t xml:space="preserve"> </w:t>
      </w:r>
      <w:r w:rsidRPr="00FF32A6">
        <w:t xml:space="preserve">The distinction between </w:t>
      </w:r>
      <w:r w:rsidRPr="00FF32A6">
        <w:lastRenderedPageBreak/>
        <w:t>statically and variable expenditures is attributed to the ratio among anticipated (static) and realized (flexible) activities. These variations are known as engagement variances.</w:t>
      </w:r>
    </w:p>
    <w:p w14:paraId="1FE56F09" w14:textId="77777777" w:rsidR="00FF32A6" w:rsidRDefault="00FF32A6" w:rsidP="006D4292">
      <w:pPr>
        <w:jc w:val="both"/>
      </w:pPr>
      <w:r w:rsidRPr="00FF32A6">
        <w:t>The disparities between the flexibility actual and budgeted results are attributable to variances in earnings cost of the goods sold or cost expenditure per piece. These discrepancies are referred to as revenue and expenditure disparities. It should be noted that expenditure fluctuations for administrative costs and marketing and management fees are caused both by cost per product and the quantity of goods consumed.</w:t>
      </w:r>
      <w:r>
        <w:t xml:space="preserve"> </w:t>
      </w:r>
    </w:p>
    <w:p w14:paraId="3FE162E5" w14:textId="77777777" w:rsidR="00FF32A6" w:rsidRDefault="00FF32A6" w:rsidP="006D4292">
      <w:pPr>
        <w:jc w:val="both"/>
      </w:pPr>
      <w:r w:rsidRPr="00FF32A6">
        <w:t>The static budgeting, budget cost, and current results are shown in the chart below, divided by variance sections. Quantity (Activity) variations demonstrate how variations in volume of sales affects revenue. Income and expenditures variations demonstrate how variations in sales wholesale price, variable cost per unit, and total fixed costs influenced income. Although variations in volume have no effect on fixed expenses, this would not guarantee that real fixed expenses has always been the same as anticipated fixed costs. Total fixed expenditure may or not be j</w:t>
      </w:r>
      <w:r>
        <w:t>ust like budgeted expenditure. Standard costs disclose details that may be used to evaluate the efficiency. The discrepancy between expectation and actual performance results is referred to as a "variance." Variances in the cost and amount of materials, labour, and changeable expenses are calculated and communicated to business. When real costs are fewer than budgeted amounts, favourable variances arise, and vice versa. </w:t>
      </w:r>
    </w:p>
    <w:p w14:paraId="449BAEA0" w14:textId="77777777" w:rsidR="00D61F5A" w:rsidRDefault="00D61F5A" w:rsidP="006D4292">
      <w:pPr>
        <w:jc w:val="both"/>
      </w:pPr>
    </w:p>
    <w:p w14:paraId="23871C40" w14:textId="77777777" w:rsidR="00D61F5A" w:rsidRDefault="00D61F5A" w:rsidP="006D4292">
      <w:pPr>
        <w:jc w:val="both"/>
      </w:pPr>
    </w:p>
    <w:p w14:paraId="11537ADA" w14:textId="77777777" w:rsidR="00036EA9" w:rsidRDefault="00036EA9" w:rsidP="006D4292">
      <w:pPr>
        <w:spacing w:line="259" w:lineRule="auto"/>
        <w:jc w:val="both"/>
        <w:rPr>
          <w:rFonts w:eastAsiaTheme="majorEastAsia" w:cstheme="majorBidi"/>
          <w:b/>
          <w:szCs w:val="32"/>
        </w:rPr>
      </w:pPr>
      <w:r>
        <w:br w:type="page"/>
      </w:r>
    </w:p>
    <w:p w14:paraId="4A9CA821" w14:textId="77777777" w:rsidR="00E701CE" w:rsidRPr="00592114" w:rsidRDefault="00951E5B" w:rsidP="006D4292">
      <w:pPr>
        <w:pStyle w:val="Heading1"/>
        <w:jc w:val="both"/>
        <w:rPr>
          <w:i/>
          <w:iCs/>
          <w:u w:val="single"/>
        </w:rPr>
      </w:pPr>
      <w:bookmarkStart w:id="3" w:name="_Toc92102843"/>
      <w:r w:rsidRPr="00592114">
        <w:rPr>
          <w:i/>
          <w:iCs/>
          <w:u w:val="single"/>
        </w:rPr>
        <w:lastRenderedPageBreak/>
        <w:t>Part 2</w:t>
      </w:r>
      <w:bookmarkEnd w:id="3"/>
    </w:p>
    <w:p w14:paraId="76EAD6E5" w14:textId="79E79DA7" w:rsidR="00E701CE" w:rsidRPr="00FA1989" w:rsidRDefault="00FE72B2" w:rsidP="006D4292">
      <w:pPr>
        <w:jc w:val="both"/>
        <w:rPr>
          <w:b/>
          <w:bCs/>
        </w:rPr>
      </w:pPr>
      <w:r>
        <w:rPr>
          <w:b/>
          <w:bCs/>
        </w:rPr>
        <w:t>A</w:t>
      </w:r>
      <w:r w:rsidR="00FA1989" w:rsidRPr="00FA1989">
        <w:rPr>
          <w:b/>
          <w:bCs/>
        </w:rPr>
        <w:t>nalyse Mr. Amana's choice to go online and recommend whether they should open their own online store or sell on Amazon. You should take into account all relevant charges.</w:t>
      </w:r>
    </w:p>
    <w:p w14:paraId="2A431863" w14:textId="77777777" w:rsidR="001148C7" w:rsidRDefault="00FA1989" w:rsidP="006D4292">
      <w:pPr>
        <w:jc w:val="both"/>
        <w:rPr>
          <w:rFonts w:cs="Times New Roman"/>
          <w:szCs w:val="24"/>
        </w:rPr>
      </w:pPr>
      <w:r w:rsidRPr="00FA1989">
        <w:rPr>
          <w:rFonts w:cs="Times New Roman"/>
          <w:szCs w:val="24"/>
        </w:rPr>
        <w:t xml:space="preserve">One of the advantages of an internet business is that this is minimal but successful in attracting customers 24 hours a day, seven days a week. The use of facilitated by digital worlds to promote and provide goods and services is referred to as online marketing. Because of the fast advancement of online computer technologies, </w:t>
      </w:r>
      <w:r w:rsidR="00271DB8">
        <w:rPr>
          <w:rFonts w:cs="Times New Roman"/>
          <w:szCs w:val="24"/>
        </w:rPr>
        <w:t>Amana’s</w:t>
      </w:r>
      <w:r w:rsidRPr="00FA1989">
        <w:rPr>
          <w:rFonts w:cs="Times New Roman"/>
          <w:szCs w:val="24"/>
        </w:rPr>
        <w:t xml:space="preserve"> must take internet Web carefully in order to maintain a competitive edge. The fundamental characteristics of the internet make the implementation of effective digital marketing interaction equally essential and beneficial for an internet firm. Online organisations need to understand more about when and who purchases what things online, to do with whether or not purchases are completed whatsoever</w:t>
      </w:r>
      <w:r w:rsidR="00035A69">
        <w:rPr>
          <w:rFonts w:cs="Times New Roman"/>
          <w:szCs w:val="24"/>
        </w:rPr>
        <w:t xml:space="preserve"> (</w:t>
      </w:r>
      <w:proofErr w:type="spellStart"/>
      <w:r w:rsidR="00035A69">
        <w:rPr>
          <w:rFonts w:cs="Times New Roman"/>
          <w:szCs w:val="24"/>
        </w:rPr>
        <w:t>Fahrurrozi</w:t>
      </w:r>
      <w:proofErr w:type="spellEnd"/>
      <w:r w:rsidR="00035A69">
        <w:rPr>
          <w:rFonts w:cs="Times New Roman"/>
          <w:szCs w:val="24"/>
        </w:rPr>
        <w:t xml:space="preserve"> et al., 2020)</w:t>
      </w:r>
      <w:r w:rsidRPr="00FA1989">
        <w:rPr>
          <w:rFonts w:cs="Times New Roman"/>
          <w:szCs w:val="24"/>
        </w:rPr>
        <w:t>.</w:t>
      </w:r>
      <w:r>
        <w:rPr>
          <w:rFonts w:cs="Times New Roman"/>
          <w:szCs w:val="24"/>
        </w:rPr>
        <w:t xml:space="preserve"> </w:t>
      </w:r>
    </w:p>
    <w:p w14:paraId="6B0B57EB" w14:textId="77777777" w:rsidR="00FA1989" w:rsidRDefault="00FA1989" w:rsidP="006D4292">
      <w:pPr>
        <w:jc w:val="both"/>
        <w:rPr>
          <w:rFonts w:cs="Times New Roman"/>
          <w:szCs w:val="24"/>
        </w:rPr>
      </w:pPr>
      <w:r w:rsidRPr="00FA1989">
        <w:rPr>
          <w:rFonts w:cs="Times New Roman"/>
          <w:szCs w:val="24"/>
        </w:rPr>
        <w:t>The Internet opens up new opportunities for organisations to analyse consumer wants and interests in order to generate a basis for strategic research, layout, and administration of all customer interactions. Establishing a site that promotes online purchasing is a difficulty when creating a buying experience that requires emotional states via restricted network interfaces, such as inter</w:t>
      </w:r>
      <w:r>
        <w:rPr>
          <w:rFonts w:cs="Times New Roman"/>
          <w:szCs w:val="24"/>
        </w:rPr>
        <w:t>net shopping</w:t>
      </w:r>
      <w:r w:rsidRPr="00FA1989">
        <w:rPr>
          <w:rFonts w:cs="Times New Roman"/>
          <w:szCs w:val="24"/>
        </w:rPr>
        <w:t>.</w:t>
      </w:r>
      <w:r w:rsidR="00271DB8">
        <w:rPr>
          <w:rFonts w:cs="Times New Roman"/>
          <w:szCs w:val="24"/>
        </w:rPr>
        <w:t xml:space="preserve"> </w:t>
      </w:r>
      <w:r w:rsidRPr="00FA1989">
        <w:rPr>
          <w:rFonts w:cs="Times New Roman"/>
          <w:szCs w:val="24"/>
        </w:rPr>
        <w:t>Some well benefits of digital networks (cheap cost, accessibility, rapid dissemination, and so on) has created economic thermal decomposition and pushed the concept of sided view to the front of marketplaces and systems. To part of the services internet marketing strategies such as wide-scale expression networking, digital feedback mechanisms must not only convey information, but also receive and incorporate feedback from vast audiences at a cheap cost</w:t>
      </w:r>
      <w:r w:rsidR="00035A69">
        <w:rPr>
          <w:rFonts w:cs="Times New Roman"/>
          <w:szCs w:val="24"/>
        </w:rPr>
        <w:t xml:space="preserve"> (Rini et al., 2017)</w:t>
      </w:r>
      <w:r w:rsidRPr="00FA1989">
        <w:rPr>
          <w:rFonts w:cs="Times New Roman"/>
          <w:szCs w:val="24"/>
        </w:rPr>
        <w:t>.</w:t>
      </w:r>
      <w:r>
        <w:rPr>
          <w:rFonts w:cs="Times New Roman"/>
          <w:szCs w:val="24"/>
        </w:rPr>
        <w:t xml:space="preserve"> </w:t>
      </w:r>
      <w:r w:rsidRPr="00FA1989">
        <w:rPr>
          <w:rFonts w:cs="Times New Roman"/>
          <w:szCs w:val="24"/>
        </w:rPr>
        <w:t>Incorporating marketing procedures into to the planning and application of an e-services strategy results in e-loyalty and profitability. Companies that join a current web collaborator may receive extra advantages and develop new relationships if they evaluate the context they are in and utilise their e-competence to participate actively with what the e-marke</w:t>
      </w:r>
      <w:r w:rsidR="00271DB8">
        <w:rPr>
          <w:rFonts w:cs="Times New Roman"/>
          <w:szCs w:val="24"/>
        </w:rPr>
        <w:t>tplace has had to provide. Amana’s</w:t>
      </w:r>
      <w:r w:rsidRPr="00FA1989">
        <w:rPr>
          <w:rFonts w:cs="Times New Roman"/>
          <w:szCs w:val="24"/>
        </w:rPr>
        <w:t xml:space="preserve"> have to face internationalisation challenges regardless of their purpose for global development, but the magnitude and scope of the challenges may vary. The much more reasonable strategy seems to be for merchants to improve their digital advertising management abilities; alternatively, marketing will underperform fast and more technically oriented divisions, such as IT, will take their functional tasks.</w:t>
      </w:r>
      <w:r>
        <w:rPr>
          <w:rFonts w:cs="Times New Roman"/>
          <w:szCs w:val="24"/>
        </w:rPr>
        <w:t xml:space="preserve"> </w:t>
      </w:r>
    </w:p>
    <w:p w14:paraId="2D38B6ED" w14:textId="2B91DCB3" w:rsidR="00C76DCE" w:rsidRDefault="005E4254" w:rsidP="006D4292">
      <w:pPr>
        <w:jc w:val="both"/>
        <w:rPr>
          <w:rFonts w:cs="Times New Roman"/>
          <w:szCs w:val="24"/>
        </w:rPr>
      </w:pPr>
      <w:r>
        <w:rPr>
          <w:rFonts w:cs="Times New Roman"/>
          <w:szCs w:val="24"/>
        </w:rPr>
        <w:lastRenderedPageBreak/>
        <w:t>T</w:t>
      </w:r>
      <w:r w:rsidR="00C76DCE" w:rsidRPr="00C76DCE">
        <w:rPr>
          <w:rFonts w:cs="Times New Roman"/>
          <w:szCs w:val="24"/>
        </w:rPr>
        <w:t xml:space="preserve">he publications because it is based on having to sacrifice the absolute number incurred by the firm for products and services are classified into two </w:t>
      </w:r>
      <w:proofErr w:type="gramStart"/>
      <w:r w:rsidR="00C76DCE" w:rsidRPr="00C76DCE">
        <w:rPr>
          <w:rFonts w:cs="Times New Roman"/>
          <w:szCs w:val="24"/>
        </w:rPr>
        <w:t>kin</w:t>
      </w:r>
      <w:r w:rsidR="00C76DCE">
        <w:rPr>
          <w:rFonts w:cs="Times New Roman"/>
          <w:szCs w:val="24"/>
        </w:rPr>
        <w:t>d</w:t>
      </w:r>
      <w:proofErr w:type="gramEnd"/>
      <w:r w:rsidR="00C76DCE">
        <w:rPr>
          <w:rFonts w:cs="Times New Roman"/>
          <w:szCs w:val="24"/>
        </w:rPr>
        <w:t xml:space="preserve">.  </w:t>
      </w:r>
      <w:r w:rsidR="00C76DCE" w:rsidRPr="00C76DCE">
        <w:rPr>
          <w:rFonts w:cs="Times New Roman"/>
          <w:szCs w:val="24"/>
        </w:rPr>
        <w:t>It costs to drain the expenditure associated to generate income for the latest quarter and convert these expenditures towards expenditures like amortization, rental, management, and taxation. It represents (assets) and things such as furnishings, houses, and prepaid expenses that have potential for improvement but will be useless just at end of the previous year.</w:t>
      </w:r>
      <w:r w:rsidR="00C76DCE">
        <w:rPr>
          <w:rFonts w:cs="Times New Roman"/>
          <w:szCs w:val="24"/>
        </w:rPr>
        <w:t xml:space="preserve"> </w:t>
      </w:r>
    </w:p>
    <w:p w14:paraId="73CE72F1" w14:textId="77777777" w:rsidR="005E4254" w:rsidRDefault="005E4254" w:rsidP="006D4292">
      <w:pPr>
        <w:jc w:val="both"/>
        <w:rPr>
          <w:rFonts w:cs="Times New Roman"/>
          <w:szCs w:val="24"/>
        </w:rPr>
      </w:pPr>
      <w:r w:rsidRPr="005E4254">
        <w:rPr>
          <w:rFonts w:cs="Times New Roman"/>
          <w:szCs w:val="24"/>
        </w:rPr>
        <w:t xml:space="preserve">The significance of e-commerce to decrease costs accrues to manufacturers or distributors in the pace of assessment system </w:t>
      </w:r>
      <w:r>
        <w:rPr>
          <w:rFonts w:cs="Times New Roman"/>
          <w:szCs w:val="24"/>
        </w:rPr>
        <w:t>shops and low priced beginnings. E</w:t>
      </w:r>
      <w:r w:rsidRPr="005E4254">
        <w:rPr>
          <w:rFonts w:cs="Times New Roman"/>
          <w:szCs w:val="24"/>
        </w:rPr>
        <w:t>specially in comparison to the handling of physical shopping, that also did lead to a decrease in the price of company strength and an increase in the purview of external suppliers, such as further than the conventional external suppliers did.</w:t>
      </w:r>
      <w:r>
        <w:rPr>
          <w:rFonts w:cs="Times New Roman"/>
          <w:szCs w:val="24"/>
        </w:rPr>
        <w:t xml:space="preserve"> </w:t>
      </w:r>
      <w:r w:rsidRPr="005E4254">
        <w:rPr>
          <w:rFonts w:cs="Times New Roman"/>
          <w:szCs w:val="24"/>
        </w:rPr>
        <w:t>Constraints of spatial and temporal, and therefore to boost competitiveness because of increased products or services</w:t>
      </w:r>
      <w:r>
        <w:rPr>
          <w:rFonts w:cs="Times New Roman"/>
          <w:szCs w:val="24"/>
        </w:rPr>
        <w:t xml:space="preserve"> </w:t>
      </w:r>
      <w:r w:rsidRPr="005E4254">
        <w:rPr>
          <w:rFonts w:cs="Times New Roman"/>
          <w:szCs w:val="24"/>
        </w:rPr>
        <w:t>low costs</w:t>
      </w:r>
      <w:r>
        <w:rPr>
          <w:rFonts w:cs="Times New Roman"/>
          <w:szCs w:val="24"/>
        </w:rPr>
        <w:t xml:space="preserve">. </w:t>
      </w:r>
      <w:r w:rsidRPr="005E4254">
        <w:rPr>
          <w:rFonts w:cs="Times New Roman"/>
          <w:szCs w:val="24"/>
        </w:rPr>
        <w:t>That reduce operational process full details a post - trade cost of obtaining knowledge, discussion and trading charges and customer orders, administrative regulations, as well as other significant parts of the item price. However, e-commerce plays a significant role in lowering these costs by enhancing sharing of information and boost business collaboration, as well as lowering the costs of seeking information about prospective buyers or venders.</w:t>
      </w:r>
      <w:r>
        <w:rPr>
          <w:rFonts w:cs="Times New Roman"/>
          <w:szCs w:val="24"/>
        </w:rPr>
        <w:t xml:space="preserve"> </w:t>
      </w:r>
      <w:r w:rsidRPr="005E4254">
        <w:rPr>
          <w:rFonts w:cs="Times New Roman"/>
          <w:szCs w:val="24"/>
        </w:rPr>
        <w:t xml:space="preserve">Contributing to e-commerce to minimise admin expenses to companies in transmission, storage, and retrieving of partial information can result in decreasing administration costs of procurement activities to 85 percent, resulting in reduced product pricing. Inventory control as a contributory factor to online shopping to lead to a significant reduction </w:t>
      </w:r>
      <w:r w:rsidR="009D7478" w:rsidRPr="005E4254">
        <w:rPr>
          <w:rFonts w:cs="Times New Roman"/>
          <w:szCs w:val="24"/>
        </w:rPr>
        <w:t>with</w:t>
      </w:r>
      <w:r w:rsidRPr="005E4254">
        <w:rPr>
          <w:rFonts w:cs="Times New Roman"/>
          <w:szCs w:val="24"/>
        </w:rPr>
        <w:t xml:space="preserve"> a</w:t>
      </w:r>
      <w:r w:rsidR="009D7478">
        <w:rPr>
          <w:rFonts w:cs="Times New Roman"/>
          <w:szCs w:val="24"/>
        </w:rPr>
        <w:t xml:space="preserve"> drug in the logistics network. T</w:t>
      </w:r>
      <w:r w:rsidRPr="005E4254">
        <w:rPr>
          <w:rFonts w:cs="Times New Roman"/>
          <w:szCs w:val="24"/>
        </w:rPr>
        <w:t>he process will start with acquiring market interest first from purchaser and providing him with his implementation across transitory industrial growth, and it would collaborate to greatly reduce economic cycle; in which the goods are shipped straightforwardly from the manufacturer to the ultimate consumer.</w:t>
      </w:r>
      <w:r w:rsidR="009D7478">
        <w:rPr>
          <w:rFonts w:cs="Times New Roman"/>
          <w:szCs w:val="24"/>
        </w:rPr>
        <w:t xml:space="preserve"> </w:t>
      </w:r>
      <w:r w:rsidR="009D7478" w:rsidRPr="009D7478">
        <w:rPr>
          <w:rFonts w:cs="Times New Roman"/>
          <w:szCs w:val="24"/>
        </w:rPr>
        <w:t>This is most evident in online services, which are any commodities given digitally. Thus, e-commerce is a significant instrument in inventory control and decrease storage requirements, which has macroeconomic consequences if they understand that 10% of the variability in monthly productivity growth of output is due to the unpredictability of returns on capital in stock</w:t>
      </w:r>
      <w:r w:rsidR="007D53F4">
        <w:rPr>
          <w:rFonts w:cs="Times New Roman"/>
          <w:szCs w:val="24"/>
        </w:rPr>
        <w:t xml:space="preserve"> (Jan et al., 2019)</w:t>
      </w:r>
      <w:r w:rsidR="009D7478" w:rsidRPr="009D7478">
        <w:rPr>
          <w:rFonts w:cs="Times New Roman"/>
          <w:szCs w:val="24"/>
        </w:rPr>
        <w:t>.</w:t>
      </w:r>
      <w:r w:rsidR="009D7478">
        <w:rPr>
          <w:rFonts w:cs="Times New Roman"/>
          <w:szCs w:val="24"/>
        </w:rPr>
        <w:t xml:space="preserve"> </w:t>
      </w:r>
      <w:r w:rsidR="009D7478" w:rsidRPr="009D7478">
        <w:rPr>
          <w:rFonts w:cs="Times New Roman"/>
          <w:szCs w:val="24"/>
        </w:rPr>
        <w:t xml:space="preserve">If e-commerce is striving to decrease storage to a limit, one of the consequences of e-commerce is intended to want to reduce the adverse effects of something like the market cycle caused by the shift in stock. With both the advances in information and communication advances and new dissemination of information, the influence of the economic cycle inventory is projected to be reduced to a </w:t>
      </w:r>
      <w:r w:rsidR="009D7478" w:rsidRPr="009D7478">
        <w:rPr>
          <w:rFonts w:cs="Times New Roman"/>
          <w:szCs w:val="24"/>
        </w:rPr>
        <w:lastRenderedPageBreak/>
        <w:t>minimal, if not eliminated.</w:t>
      </w:r>
      <w:r w:rsidR="009D7478">
        <w:rPr>
          <w:rFonts w:cs="Times New Roman"/>
          <w:szCs w:val="24"/>
        </w:rPr>
        <w:t xml:space="preserve"> </w:t>
      </w:r>
      <w:r w:rsidR="009D7478" w:rsidRPr="009D7478">
        <w:rPr>
          <w:rFonts w:cs="Times New Roman"/>
          <w:szCs w:val="24"/>
        </w:rPr>
        <w:t>If e-commerce is striving to decrease storage to a limit, one of the consequences of e-commerce is intended to want to reduce the adverse effects of something like the market cycle caused by the shift in stock. With both the advancement of digital advances and new dissemination of information, the influence of the economic cycle inventory is projected to be reduced to a minimal, if not eliminated.</w:t>
      </w:r>
      <w:r w:rsidR="009D7478">
        <w:rPr>
          <w:rFonts w:cs="Times New Roman"/>
          <w:szCs w:val="24"/>
        </w:rPr>
        <w:t xml:space="preserve"> </w:t>
      </w:r>
    </w:p>
    <w:p w14:paraId="521C8761" w14:textId="77777777" w:rsidR="009D7478" w:rsidRDefault="009D7478" w:rsidP="006D4292">
      <w:pPr>
        <w:jc w:val="both"/>
        <w:rPr>
          <w:rFonts w:cs="Times New Roman"/>
          <w:szCs w:val="24"/>
        </w:rPr>
      </w:pPr>
      <w:r w:rsidRPr="009D7478">
        <w:rPr>
          <w:rFonts w:cs="Times New Roman"/>
          <w:szCs w:val="24"/>
        </w:rPr>
        <w:t>Many individuals are troubled by security concerns including the legitimacy and safety of a Company website, confidentiality, cryptography, and auditing identification. The most commonly used languages on the Web is American, which accounts for over 80% of all searches, and this are among the most significant barriers to e-commerce in Middle eastern nations where Arabic is the primary language. Other issue is the responsibility of government to encourage native enterprises in competing with global ventures.</w:t>
      </w:r>
    </w:p>
    <w:p w14:paraId="2B826995" w14:textId="77777777" w:rsidR="00951E5B" w:rsidRDefault="00951E5B" w:rsidP="006D4292">
      <w:pPr>
        <w:spacing w:line="259" w:lineRule="auto"/>
        <w:jc w:val="both"/>
        <w:rPr>
          <w:rFonts w:eastAsiaTheme="majorEastAsia" w:cstheme="majorBidi"/>
          <w:b/>
          <w:szCs w:val="32"/>
        </w:rPr>
      </w:pPr>
      <w:r>
        <w:br w:type="page"/>
      </w:r>
    </w:p>
    <w:p w14:paraId="45194EB2" w14:textId="77777777" w:rsidR="009D7478" w:rsidRPr="00592114" w:rsidRDefault="00902DDA" w:rsidP="006D4292">
      <w:pPr>
        <w:pStyle w:val="Heading1"/>
        <w:jc w:val="both"/>
        <w:rPr>
          <w:i/>
          <w:iCs/>
          <w:u w:val="single"/>
        </w:rPr>
      </w:pPr>
      <w:bookmarkStart w:id="4" w:name="_Toc92102844"/>
      <w:r w:rsidRPr="00592114">
        <w:rPr>
          <w:i/>
          <w:iCs/>
          <w:u w:val="single"/>
        </w:rPr>
        <w:lastRenderedPageBreak/>
        <w:t>Conclusion</w:t>
      </w:r>
      <w:bookmarkEnd w:id="4"/>
    </w:p>
    <w:p w14:paraId="76ECED22" w14:textId="77777777" w:rsidR="00902DDA" w:rsidRDefault="00951E5B" w:rsidP="006D4292">
      <w:pPr>
        <w:jc w:val="both"/>
        <w:rPr>
          <w:rFonts w:cs="Times New Roman"/>
          <w:szCs w:val="24"/>
        </w:rPr>
      </w:pPr>
      <w:r w:rsidRPr="00951E5B">
        <w:rPr>
          <w:rFonts w:cs="Times New Roman"/>
          <w:szCs w:val="24"/>
        </w:rPr>
        <w:t>The term "flexible budget" refers to variations in a company's activity or the number of items produced. In contrast to static budgets, which are produced at the moment of budgeting, its value varies with time. Flexible budgets include variable expenses per unit rather than set costs, which helps the organisation predict potential cash flow increases or declines. I Amana's performance in 2020, estimated by deducting actual expenditure from budget spending, i.e., £ 822,400. Because budgeted spending exceeds actual spending, the variance is negative by convention.</w:t>
      </w:r>
      <w:r>
        <w:rPr>
          <w:rFonts w:cs="Times New Roman"/>
          <w:szCs w:val="24"/>
        </w:rPr>
        <w:t xml:space="preserve"> </w:t>
      </w:r>
      <w:r w:rsidRPr="00951E5B">
        <w:rPr>
          <w:rFonts w:cs="Times New Roman"/>
          <w:szCs w:val="24"/>
        </w:rPr>
        <w:t>Amana spent £ 28,60,900 in 2016 and really spent £20,38,500, therefore the difference is less than £1. Material Variances show the difference between the actual production cost and the specifications. Material cost fluctuations may be sensitive to changes in product pricing, amount used, material mixing, or performance produced. The overall variance in labour expenditures may be calculated by combining two variables: rate variance and efficiency variance. The difference in the case of Amana is £ 80,000.</w:t>
      </w:r>
    </w:p>
    <w:p w14:paraId="7A5235D2" w14:textId="77777777" w:rsidR="00C76DCE" w:rsidRDefault="00C76DCE" w:rsidP="006D4292">
      <w:pPr>
        <w:jc w:val="both"/>
        <w:rPr>
          <w:rFonts w:cs="Times New Roman"/>
          <w:szCs w:val="24"/>
        </w:rPr>
      </w:pPr>
    </w:p>
    <w:p w14:paraId="3EE7BEE3" w14:textId="77777777" w:rsidR="00C76DCE" w:rsidRDefault="00C76DCE" w:rsidP="006D4292">
      <w:pPr>
        <w:jc w:val="both"/>
        <w:rPr>
          <w:rFonts w:cs="Times New Roman"/>
          <w:szCs w:val="24"/>
        </w:rPr>
      </w:pPr>
    </w:p>
    <w:p w14:paraId="5B92DF35" w14:textId="77777777" w:rsidR="00C76DCE" w:rsidRDefault="00C76DCE" w:rsidP="006D4292">
      <w:pPr>
        <w:jc w:val="both"/>
        <w:rPr>
          <w:rFonts w:cs="Times New Roman"/>
          <w:szCs w:val="24"/>
        </w:rPr>
      </w:pPr>
    </w:p>
    <w:p w14:paraId="2C89DECE" w14:textId="77777777" w:rsidR="007D53F4" w:rsidRDefault="007D53F4" w:rsidP="006D4292">
      <w:pPr>
        <w:spacing w:line="259" w:lineRule="auto"/>
        <w:jc w:val="both"/>
        <w:rPr>
          <w:rFonts w:eastAsiaTheme="majorEastAsia" w:cstheme="majorBidi"/>
          <w:b/>
          <w:szCs w:val="32"/>
        </w:rPr>
      </w:pPr>
      <w:r>
        <w:br w:type="page"/>
      </w:r>
    </w:p>
    <w:p w14:paraId="4035438D" w14:textId="77777777" w:rsidR="00B96B69" w:rsidRPr="00592114" w:rsidRDefault="007D53F4" w:rsidP="006D4292">
      <w:pPr>
        <w:pStyle w:val="Heading1"/>
        <w:jc w:val="both"/>
        <w:rPr>
          <w:i/>
          <w:iCs/>
          <w:u w:val="single"/>
        </w:rPr>
      </w:pPr>
      <w:bookmarkStart w:id="5" w:name="_Toc92102845"/>
      <w:r w:rsidRPr="00592114">
        <w:rPr>
          <w:i/>
          <w:iCs/>
          <w:u w:val="single"/>
        </w:rPr>
        <w:lastRenderedPageBreak/>
        <w:t>References</w:t>
      </w:r>
      <w:bookmarkEnd w:id="5"/>
    </w:p>
    <w:p w14:paraId="566D5356" w14:textId="77777777" w:rsidR="007D53F4" w:rsidRPr="007D53F4" w:rsidRDefault="007D53F4" w:rsidP="006D4292">
      <w:pPr>
        <w:jc w:val="both"/>
      </w:pPr>
      <w:r w:rsidRPr="007D53F4">
        <w:t>Asuquo, A.I., 2020. Applicability of standard magnitude variance in the determination financial progress of business organizations. International Journal of Scientific and technology research, 9(3), pp.6351-6358.</w:t>
      </w:r>
    </w:p>
    <w:p w14:paraId="3B22DF49" w14:textId="77777777" w:rsidR="007D53F4" w:rsidRPr="007D53F4" w:rsidRDefault="007D53F4" w:rsidP="006D4292">
      <w:pPr>
        <w:jc w:val="both"/>
      </w:pPr>
      <w:proofErr w:type="spellStart"/>
      <w:r w:rsidRPr="007D53F4">
        <w:t>Fahrurrozi</w:t>
      </w:r>
      <w:proofErr w:type="spellEnd"/>
      <w:r w:rsidRPr="007D53F4">
        <w:t xml:space="preserve">, M., </w:t>
      </w:r>
      <w:proofErr w:type="spellStart"/>
      <w:r w:rsidRPr="007D53F4">
        <w:t>Soekiman</w:t>
      </w:r>
      <w:proofErr w:type="spellEnd"/>
      <w:r w:rsidRPr="007D53F4">
        <w:t xml:space="preserve">, J.F.X., </w:t>
      </w:r>
      <w:proofErr w:type="spellStart"/>
      <w:r w:rsidRPr="007D53F4">
        <w:t>Philipus</w:t>
      </w:r>
      <w:proofErr w:type="spellEnd"/>
      <w:r w:rsidRPr="007D53F4">
        <w:t xml:space="preserve"> Kurniawan </w:t>
      </w:r>
      <w:proofErr w:type="spellStart"/>
      <w:r w:rsidRPr="007D53F4">
        <w:t>Gheta</w:t>
      </w:r>
      <w:proofErr w:type="spellEnd"/>
      <w:r w:rsidRPr="007D53F4">
        <w:t>, A., Sudaryana, Y. and Husain, T., 2020. Business to Business ecommerce and role of Knowledge Management. Business to Business ecommerce and role of Knowledge Management, 82.</w:t>
      </w:r>
    </w:p>
    <w:p w14:paraId="43DCD394" w14:textId="77777777" w:rsidR="007D53F4" w:rsidRPr="00FF32A6" w:rsidRDefault="007D53F4" w:rsidP="006D4292">
      <w:pPr>
        <w:jc w:val="both"/>
      </w:pPr>
      <w:r w:rsidRPr="007D53F4">
        <w:t xml:space="preserve">Jan, R.H., Lydia, E.L., Shankar, K., Hashim, W. and </w:t>
      </w:r>
      <w:proofErr w:type="spellStart"/>
      <w:r w:rsidRPr="007D53F4">
        <w:t>Maseleno</w:t>
      </w:r>
      <w:proofErr w:type="spellEnd"/>
      <w:r w:rsidRPr="007D53F4">
        <w:t>, A., 2019. The increasing market of ecommerce and its impact on retailer. Journal of Critical Reviews, 6(5), pp.122-127.</w:t>
      </w:r>
    </w:p>
    <w:p w14:paraId="09ADA95D" w14:textId="77777777" w:rsidR="007D53F4" w:rsidRPr="007D53F4" w:rsidRDefault="007D53F4" w:rsidP="006D4292">
      <w:pPr>
        <w:jc w:val="both"/>
      </w:pPr>
      <w:r w:rsidRPr="007D53F4">
        <w:t>Mikola, R.O.B.E.R.T., 2019. The Impact of Trust Factor on Customer Loyalty in B2C ECommerce. In International Program, Graduate School of Business.</w:t>
      </w:r>
    </w:p>
    <w:p w14:paraId="66470B08" w14:textId="77777777" w:rsidR="007D53F4" w:rsidRPr="007D53F4" w:rsidRDefault="007D53F4" w:rsidP="006D4292">
      <w:pPr>
        <w:jc w:val="both"/>
      </w:pPr>
      <w:proofErr w:type="spellStart"/>
      <w:r w:rsidRPr="007D53F4">
        <w:t>Mundung</w:t>
      </w:r>
      <w:proofErr w:type="spellEnd"/>
      <w:r w:rsidRPr="007D53F4">
        <w:t xml:space="preserve">, A.V., </w:t>
      </w:r>
      <w:proofErr w:type="spellStart"/>
      <w:r w:rsidRPr="007D53F4">
        <w:t>Tandi</w:t>
      </w:r>
      <w:proofErr w:type="spellEnd"/>
      <w:r w:rsidRPr="007D53F4">
        <w:t xml:space="preserve">, A.A., </w:t>
      </w:r>
      <w:proofErr w:type="spellStart"/>
      <w:r w:rsidRPr="007D53F4">
        <w:t>Wakidin</w:t>
      </w:r>
      <w:proofErr w:type="spellEnd"/>
      <w:r w:rsidRPr="007D53F4">
        <w:t xml:space="preserve">, F.I., </w:t>
      </w:r>
      <w:proofErr w:type="spellStart"/>
      <w:r w:rsidRPr="007D53F4">
        <w:t>Limpeleh</w:t>
      </w:r>
      <w:proofErr w:type="spellEnd"/>
      <w:r w:rsidRPr="007D53F4">
        <w:t xml:space="preserve">, E.A. and </w:t>
      </w:r>
      <w:proofErr w:type="spellStart"/>
      <w:r w:rsidRPr="007D53F4">
        <w:t>Sungkowo</w:t>
      </w:r>
      <w:proofErr w:type="spellEnd"/>
      <w:r w:rsidRPr="007D53F4">
        <w:t>, B., 2020, August. Comparative Analysis of the Wooden House Production Principal Cost Calculation Using the Full Costing and Variable Costing Method. In First International Conference on Applied Science and Technology (</w:t>
      </w:r>
      <w:proofErr w:type="spellStart"/>
      <w:r w:rsidRPr="007D53F4">
        <w:t>iCAST</w:t>
      </w:r>
      <w:proofErr w:type="spellEnd"/>
      <w:r w:rsidRPr="007D53F4">
        <w:t xml:space="preserve"> 2018) (pp. 165-169). Atlantis Press.</w:t>
      </w:r>
    </w:p>
    <w:p w14:paraId="4E7F1F3A" w14:textId="77777777" w:rsidR="007D53F4" w:rsidRPr="007D53F4" w:rsidRDefault="007D53F4" w:rsidP="006D4292">
      <w:pPr>
        <w:jc w:val="both"/>
      </w:pPr>
      <w:r w:rsidRPr="007D53F4">
        <w:t xml:space="preserve">Nguyen Thi Thanh, N., 2018. Preparation of the budgeting tool and different analyses. Commissioning company: </w:t>
      </w:r>
      <w:proofErr w:type="spellStart"/>
      <w:r w:rsidRPr="007D53F4">
        <w:t>Lumoa</w:t>
      </w:r>
      <w:proofErr w:type="spellEnd"/>
      <w:r w:rsidRPr="007D53F4">
        <w:t>. me Oy.</w:t>
      </w:r>
    </w:p>
    <w:p w14:paraId="7DDDCE6E" w14:textId="77777777" w:rsidR="007D53F4" w:rsidRPr="007D53F4" w:rsidRDefault="007D53F4" w:rsidP="006D4292">
      <w:pPr>
        <w:jc w:val="both"/>
      </w:pPr>
      <w:r w:rsidRPr="007D53F4">
        <w:t>Patel, A., Mehta, K. and Parekh, A., 2018. TRENDS IN MODERN VARIANCE ANALYSIS.</w:t>
      </w:r>
    </w:p>
    <w:p w14:paraId="41455469" w14:textId="77777777" w:rsidR="007D53F4" w:rsidRDefault="007D53F4" w:rsidP="006D4292">
      <w:pPr>
        <w:jc w:val="both"/>
      </w:pPr>
      <w:proofErr w:type="spellStart"/>
      <w:r w:rsidRPr="007D53F4">
        <w:t>Rini</w:t>
      </w:r>
      <w:proofErr w:type="spellEnd"/>
      <w:r w:rsidRPr="007D53F4">
        <w:t xml:space="preserve">, E.S., </w:t>
      </w:r>
      <w:proofErr w:type="spellStart"/>
      <w:r w:rsidRPr="007D53F4">
        <w:t>Ginting</w:t>
      </w:r>
      <w:proofErr w:type="spellEnd"/>
      <w:r w:rsidRPr="007D53F4">
        <w:t xml:space="preserve">, P. and </w:t>
      </w:r>
      <w:proofErr w:type="spellStart"/>
      <w:r w:rsidRPr="007D53F4">
        <w:t>Sembiring</w:t>
      </w:r>
      <w:proofErr w:type="spellEnd"/>
      <w:r w:rsidRPr="007D53F4">
        <w:t>, B.K.F., 2017, November. Impact of eCommerce service quality, recovery service quality, and satisfaction in Indonesia. In 2017 International Conference on Sustainable Information Engineering and Technology (SIET) (pp. 35-40). IEEE.</w:t>
      </w:r>
    </w:p>
    <w:p w14:paraId="1BC42321" w14:textId="77777777" w:rsidR="004F17DC" w:rsidRDefault="004F17DC" w:rsidP="006D4292">
      <w:pPr>
        <w:jc w:val="both"/>
      </w:pPr>
    </w:p>
    <w:p w14:paraId="3C3F5FCA" w14:textId="35EA6E67" w:rsidR="004F17DC" w:rsidRDefault="004F17DC" w:rsidP="00231156">
      <w:pPr>
        <w:spacing w:line="259" w:lineRule="auto"/>
      </w:pPr>
      <w:r>
        <w:br w:type="page"/>
      </w:r>
    </w:p>
    <w:sectPr w:rsidR="004F17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CE79D" w14:textId="77777777" w:rsidR="00A40C90" w:rsidRDefault="00A40C90" w:rsidP="00386FFB">
      <w:pPr>
        <w:spacing w:after="0" w:line="240" w:lineRule="auto"/>
      </w:pPr>
      <w:r>
        <w:separator/>
      </w:r>
    </w:p>
  </w:endnote>
  <w:endnote w:type="continuationSeparator" w:id="0">
    <w:p w14:paraId="345AA755" w14:textId="77777777" w:rsidR="00A40C90" w:rsidRDefault="00A40C90" w:rsidP="00386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8F29F" w14:textId="77777777" w:rsidR="00A40C90" w:rsidRDefault="00A40C90" w:rsidP="00386FFB">
      <w:pPr>
        <w:spacing w:after="0" w:line="240" w:lineRule="auto"/>
      </w:pPr>
      <w:r>
        <w:separator/>
      </w:r>
    </w:p>
  </w:footnote>
  <w:footnote w:type="continuationSeparator" w:id="0">
    <w:p w14:paraId="643EA59A" w14:textId="77777777" w:rsidR="00A40C90" w:rsidRDefault="00A40C90" w:rsidP="00386F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3C1F"/>
    <w:multiLevelType w:val="hybridMultilevel"/>
    <w:tmpl w:val="5FB051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2CD50AF"/>
    <w:multiLevelType w:val="hybridMultilevel"/>
    <w:tmpl w:val="5B287F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wM7C0MDQxApFGSjpKwanFxZn5eSAFxrUA7b9wvSwAAAA="/>
  </w:docVars>
  <w:rsids>
    <w:rsidRoot w:val="003E1087"/>
    <w:rsid w:val="00035A69"/>
    <w:rsid w:val="00036EA9"/>
    <w:rsid w:val="000A4153"/>
    <w:rsid w:val="00110809"/>
    <w:rsid w:val="001148C7"/>
    <w:rsid w:val="00177C6B"/>
    <w:rsid w:val="001B54F4"/>
    <w:rsid w:val="00231156"/>
    <w:rsid w:val="002400F6"/>
    <w:rsid w:val="00271DB8"/>
    <w:rsid w:val="00290559"/>
    <w:rsid w:val="00307C3F"/>
    <w:rsid w:val="00383B16"/>
    <w:rsid w:val="00386FFB"/>
    <w:rsid w:val="003E1087"/>
    <w:rsid w:val="0043536A"/>
    <w:rsid w:val="00462E1E"/>
    <w:rsid w:val="0046333E"/>
    <w:rsid w:val="004978B4"/>
    <w:rsid w:val="004F17DC"/>
    <w:rsid w:val="0052290B"/>
    <w:rsid w:val="00575C0E"/>
    <w:rsid w:val="00592114"/>
    <w:rsid w:val="005B18A7"/>
    <w:rsid w:val="005D2239"/>
    <w:rsid w:val="005E4254"/>
    <w:rsid w:val="006D4292"/>
    <w:rsid w:val="00712D04"/>
    <w:rsid w:val="0072114D"/>
    <w:rsid w:val="0075767F"/>
    <w:rsid w:val="007D53F4"/>
    <w:rsid w:val="00883521"/>
    <w:rsid w:val="00891C6C"/>
    <w:rsid w:val="00902DDA"/>
    <w:rsid w:val="00951E5B"/>
    <w:rsid w:val="009A01AF"/>
    <w:rsid w:val="009D7478"/>
    <w:rsid w:val="00A40C90"/>
    <w:rsid w:val="00A80C5E"/>
    <w:rsid w:val="00A83696"/>
    <w:rsid w:val="00B1562C"/>
    <w:rsid w:val="00B40D91"/>
    <w:rsid w:val="00B5428F"/>
    <w:rsid w:val="00B77718"/>
    <w:rsid w:val="00B96B69"/>
    <w:rsid w:val="00BA3436"/>
    <w:rsid w:val="00C063E5"/>
    <w:rsid w:val="00C76DCE"/>
    <w:rsid w:val="00D61F5A"/>
    <w:rsid w:val="00D77C5F"/>
    <w:rsid w:val="00E07691"/>
    <w:rsid w:val="00E22BDB"/>
    <w:rsid w:val="00E623D3"/>
    <w:rsid w:val="00E701CE"/>
    <w:rsid w:val="00E90223"/>
    <w:rsid w:val="00EF06BE"/>
    <w:rsid w:val="00F259DF"/>
    <w:rsid w:val="00F509B5"/>
    <w:rsid w:val="00F53EC8"/>
    <w:rsid w:val="00F81335"/>
    <w:rsid w:val="00FA1989"/>
    <w:rsid w:val="00FE72B2"/>
    <w:rsid w:val="00FF32A6"/>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FC7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D04"/>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951E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51E5B"/>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7C6B"/>
    <w:rPr>
      <w:b/>
      <w:bCs/>
    </w:rPr>
  </w:style>
  <w:style w:type="character" w:customStyle="1" w:styleId="Heading1Char">
    <w:name w:val="Heading 1 Char"/>
    <w:basedOn w:val="DefaultParagraphFont"/>
    <w:link w:val="Heading1"/>
    <w:uiPriority w:val="9"/>
    <w:rsid w:val="00951E5B"/>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951E5B"/>
    <w:rPr>
      <w:rFonts w:ascii="Times New Roman" w:eastAsiaTheme="majorEastAsia" w:hAnsi="Times New Roman" w:cstheme="majorBidi"/>
      <w:b/>
      <w:sz w:val="24"/>
      <w:szCs w:val="26"/>
      <w:lang w:val="en-GB"/>
    </w:rPr>
  </w:style>
  <w:style w:type="paragraph" w:styleId="Title">
    <w:name w:val="Title"/>
    <w:basedOn w:val="Normal"/>
    <w:next w:val="Normal"/>
    <w:link w:val="TitleChar"/>
    <w:uiPriority w:val="10"/>
    <w:qFormat/>
    <w:rsid w:val="00B77718"/>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B77718"/>
    <w:rPr>
      <w:rFonts w:ascii="Times New Roman" w:eastAsiaTheme="majorEastAsia" w:hAnsi="Times New Roman" w:cstheme="majorBidi"/>
      <w:b/>
      <w:spacing w:val="-10"/>
      <w:kern w:val="28"/>
      <w:sz w:val="56"/>
      <w:szCs w:val="56"/>
      <w:lang w:val="en-GB"/>
    </w:rPr>
  </w:style>
  <w:style w:type="paragraph" w:styleId="TOCHeading">
    <w:name w:val="TOC Heading"/>
    <w:basedOn w:val="Heading1"/>
    <w:next w:val="Normal"/>
    <w:uiPriority w:val="39"/>
    <w:unhideWhenUsed/>
    <w:qFormat/>
    <w:rsid w:val="00E623D3"/>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623D3"/>
    <w:pPr>
      <w:spacing w:after="100"/>
    </w:pPr>
  </w:style>
  <w:style w:type="paragraph" w:styleId="TOC2">
    <w:name w:val="toc 2"/>
    <w:basedOn w:val="Normal"/>
    <w:next w:val="Normal"/>
    <w:autoRedefine/>
    <w:uiPriority w:val="39"/>
    <w:unhideWhenUsed/>
    <w:rsid w:val="00E623D3"/>
    <w:pPr>
      <w:spacing w:after="100"/>
      <w:ind w:left="240"/>
    </w:pPr>
  </w:style>
  <w:style w:type="character" w:styleId="Hyperlink">
    <w:name w:val="Hyperlink"/>
    <w:basedOn w:val="DefaultParagraphFont"/>
    <w:uiPriority w:val="99"/>
    <w:unhideWhenUsed/>
    <w:rsid w:val="00E623D3"/>
    <w:rPr>
      <w:color w:val="0563C1" w:themeColor="hyperlink"/>
      <w:u w:val="single"/>
    </w:rPr>
  </w:style>
  <w:style w:type="paragraph" w:styleId="ListParagraph">
    <w:name w:val="List Paragraph"/>
    <w:basedOn w:val="Normal"/>
    <w:uiPriority w:val="34"/>
    <w:qFormat/>
    <w:rsid w:val="004F17DC"/>
    <w:pPr>
      <w:ind w:left="720"/>
      <w:contextualSpacing/>
    </w:pPr>
  </w:style>
  <w:style w:type="paragraph" w:styleId="Header">
    <w:name w:val="header"/>
    <w:basedOn w:val="Normal"/>
    <w:link w:val="HeaderChar"/>
    <w:uiPriority w:val="99"/>
    <w:unhideWhenUsed/>
    <w:rsid w:val="0038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FFB"/>
    <w:rPr>
      <w:rFonts w:ascii="Times New Roman" w:hAnsi="Times New Roman"/>
      <w:sz w:val="24"/>
      <w:lang w:val="en-GB"/>
    </w:rPr>
  </w:style>
  <w:style w:type="paragraph" w:styleId="Footer">
    <w:name w:val="footer"/>
    <w:basedOn w:val="Normal"/>
    <w:link w:val="FooterChar"/>
    <w:uiPriority w:val="99"/>
    <w:unhideWhenUsed/>
    <w:rsid w:val="0038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FF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0155">
      <w:bodyDiv w:val="1"/>
      <w:marLeft w:val="0"/>
      <w:marRight w:val="0"/>
      <w:marTop w:val="0"/>
      <w:marBottom w:val="0"/>
      <w:divBdr>
        <w:top w:val="none" w:sz="0" w:space="0" w:color="auto"/>
        <w:left w:val="none" w:sz="0" w:space="0" w:color="auto"/>
        <w:bottom w:val="none" w:sz="0" w:space="0" w:color="auto"/>
        <w:right w:val="none" w:sz="0" w:space="0" w:color="auto"/>
      </w:divBdr>
    </w:div>
    <w:div w:id="1016425966">
      <w:bodyDiv w:val="1"/>
      <w:marLeft w:val="0"/>
      <w:marRight w:val="0"/>
      <w:marTop w:val="0"/>
      <w:marBottom w:val="0"/>
      <w:divBdr>
        <w:top w:val="none" w:sz="0" w:space="0" w:color="auto"/>
        <w:left w:val="none" w:sz="0" w:space="0" w:color="auto"/>
        <w:bottom w:val="none" w:sz="0" w:space="0" w:color="auto"/>
        <w:right w:val="none" w:sz="0" w:space="0" w:color="auto"/>
      </w:divBdr>
    </w:div>
    <w:div w:id="1607735088">
      <w:bodyDiv w:val="1"/>
      <w:marLeft w:val="0"/>
      <w:marRight w:val="0"/>
      <w:marTop w:val="0"/>
      <w:marBottom w:val="0"/>
      <w:divBdr>
        <w:top w:val="none" w:sz="0" w:space="0" w:color="auto"/>
        <w:left w:val="none" w:sz="0" w:space="0" w:color="auto"/>
        <w:bottom w:val="none" w:sz="0" w:space="0" w:color="auto"/>
        <w:right w:val="none" w:sz="0" w:space="0" w:color="auto"/>
      </w:divBdr>
    </w:div>
    <w:div w:id="1989438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EBA35-E2DA-4E67-ADE4-C20A08E93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3105</Words>
  <Characters>17701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2022-01-13T06:34:00Z</dcterms:created>
  <dcterms:modified xsi:type="dcterms:W3CDTF">2022-01-13T06:34:00Z</dcterms:modified>
</cp:coreProperties>
</file>