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70689" w14:textId="77777777" w:rsidR="00D11A11" w:rsidRDefault="00D11A11" w:rsidP="00D11A11">
      <w:pPr>
        <w:jc w:val="center"/>
        <w:rPr>
          <w:rFonts w:ascii="Arial" w:hAnsi="Arial" w:cs="Arial"/>
          <w:b/>
          <w:bCs/>
          <w:sz w:val="28"/>
          <w:szCs w:val="28"/>
        </w:rPr>
      </w:pPr>
    </w:p>
    <w:p w14:paraId="2D1FFDF9" w14:textId="77777777" w:rsidR="00D11A11" w:rsidRDefault="00D11A11" w:rsidP="00D11A11">
      <w:pPr>
        <w:jc w:val="center"/>
        <w:rPr>
          <w:rFonts w:ascii="Arial" w:hAnsi="Arial" w:cs="Arial"/>
          <w:b/>
          <w:bCs/>
          <w:sz w:val="28"/>
          <w:szCs w:val="28"/>
        </w:rPr>
      </w:pPr>
    </w:p>
    <w:p w14:paraId="3CADC535" w14:textId="77777777" w:rsidR="00D11A11" w:rsidRDefault="00D11A11" w:rsidP="00D11A11">
      <w:pPr>
        <w:jc w:val="center"/>
        <w:rPr>
          <w:rFonts w:ascii="Arial" w:hAnsi="Arial" w:cs="Arial"/>
          <w:b/>
          <w:bCs/>
          <w:sz w:val="28"/>
          <w:szCs w:val="28"/>
        </w:rPr>
      </w:pPr>
    </w:p>
    <w:p w14:paraId="6E2E5E17" w14:textId="77777777" w:rsidR="00D11A11" w:rsidRDefault="00D11A11" w:rsidP="00D11A11">
      <w:pPr>
        <w:jc w:val="center"/>
        <w:rPr>
          <w:rFonts w:ascii="Arial" w:hAnsi="Arial" w:cs="Arial"/>
          <w:b/>
          <w:bCs/>
          <w:sz w:val="28"/>
          <w:szCs w:val="28"/>
        </w:rPr>
      </w:pPr>
    </w:p>
    <w:p w14:paraId="40A779C4" w14:textId="77777777" w:rsidR="00D11A11" w:rsidRDefault="00D11A11" w:rsidP="00D11A11">
      <w:pPr>
        <w:jc w:val="center"/>
        <w:rPr>
          <w:rFonts w:ascii="Arial" w:hAnsi="Arial" w:cs="Arial"/>
          <w:b/>
          <w:bCs/>
          <w:sz w:val="28"/>
          <w:szCs w:val="28"/>
        </w:rPr>
      </w:pPr>
    </w:p>
    <w:p w14:paraId="6C0A550A" w14:textId="77777777" w:rsidR="00D11A11" w:rsidRDefault="00D11A11" w:rsidP="00D11A11">
      <w:pPr>
        <w:jc w:val="center"/>
        <w:rPr>
          <w:rFonts w:ascii="Arial" w:hAnsi="Arial" w:cs="Arial"/>
          <w:b/>
          <w:bCs/>
          <w:sz w:val="28"/>
          <w:szCs w:val="28"/>
        </w:rPr>
      </w:pPr>
    </w:p>
    <w:p w14:paraId="60C73C16" w14:textId="73F729C5" w:rsidR="00D11A11" w:rsidRDefault="00D11A11" w:rsidP="00D11A11">
      <w:pPr>
        <w:jc w:val="center"/>
        <w:rPr>
          <w:rFonts w:ascii="Arial" w:hAnsi="Arial" w:cs="Arial"/>
          <w:b/>
          <w:bCs/>
          <w:sz w:val="28"/>
          <w:szCs w:val="28"/>
        </w:rPr>
      </w:pPr>
      <w:r>
        <w:rPr>
          <w:rFonts w:ascii="Arial" w:hAnsi="Arial" w:cs="Arial"/>
          <w:b/>
          <w:bCs/>
          <w:sz w:val="28"/>
          <w:szCs w:val="28"/>
        </w:rPr>
        <w:t>Measuring employee engagement level</w:t>
      </w:r>
    </w:p>
    <w:p w14:paraId="5658F37B" w14:textId="77777777" w:rsidR="00D11A11" w:rsidRPr="007719DB" w:rsidRDefault="00D11A11" w:rsidP="00D11A11">
      <w:pPr>
        <w:jc w:val="center"/>
        <w:rPr>
          <w:rFonts w:ascii="Arial" w:hAnsi="Arial" w:cs="Arial"/>
          <w:b/>
          <w:bCs/>
          <w:sz w:val="28"/>
          <w:szCs w:val="28"/>
        </w:rPr>
      </w:pPr>
      <w:r>
        <w:rPr>
          <w:rFonts w:ascii="Arial" w:hAnsi="Arial" w:cs="Arial"/>
          <w:b/>
          <w:bCs/>
          <w:sz w:val="28"/>
          <w:szCs w:val="28"/>
        </w:rPr>
        <w:t xml:space="preserve"> at </w:t>
      </w:r>
      <w:r w:rsidRPr="007719DB">
        <w:rPr>
          <w:rFonts w:ascii="Arial" w:hAnsi="Arial" w:cs="Arial"/>
          <w:b/>
          <w:bCs/>
          <w:sz w:val="28"/>
          <w:szCs w:val="28"/>
        </w:rPr>
        <w:t xml:space="preserve">Riviera Hotel </w:t>
      </w:r>
    </w:p>
    <w:p w14:paraId="2D818735" w14:textId="77777777" w:rsidR="00D11A11" w:rsidRDefault="00D11A11" w:rsidP="00D11A11">
      <w:pPr>
        <w:jc w:val="center"/>
      </w:pPr>
    </w:p>
    <w:p w14:paraId="5D2CC7B5" w14:textId="77777777" w:rsidR="00D11A11" w:rsidRDefault="00D11A11" w:rsidP="00D11A11">
      <w:pPr>
        <w:jc w:val="center"/>
      </w:pPr>
    </w:p>
    <w:p w14:paraId="3E0F52EF" w14:textId="77777777" w:rsidR="00D11A11" w:rsidRDefault="00D11A11" w:rsidP="00D11A11"/>
    <w:p w14:paraId="6CED7423" w14:textId="77777777" w:rsidR="00D11A11" w:rsidRDefault="00D11A11" w:rsidP="00D11A11">
      <w:pPr>
        <w:jc w:val="center"/>
      </w:pPr>
    </w:p>
    <w:p w14:paraId="6C8D5055" w14:textId="77777777" w:rsidR="00D11A11" w:rsidRDefault="00D11A11" w:rsidP="00D11A11">
      <w:pPr>
        <w:jc w:val="center"/>
      </w:pPr>
    </w:p>
    <w:p w14:paraId="044FC332" w14:textId="77777777" w:rsidR="00D11A11" w:rsidRDefault="00D11A11" w:rsidP="00D11A11">
      <w:pPr>
        <w:jc w:val="center"/>
      </w:pPr>
    </w:p>
    <w:p w14:paraId="03000173" w14:textId="77777777" w:rsidR="00D11A11" w:rsidRDefault="00D11A11" w:rsidP="00D11A11">
      <w:pPr>
        <w:jc w:val="center"/>
      </w:pPr>
    </w:p>
    <w:p w14:paraId="324459AB" w14:textId="77777777" w:rsidR="00D11A11" w:rsidRDefault="00D11A11" w:rsidP="00D11A11">
      <w:pPr>
        <w:jc w:val="center"/>
      </w:pPr>
    </w:p>
    <w:p w14:paraId="0330B424" w14:textId="77777777" w:rsidR="00D11A11" w:rsidRDefault="00D11A11" w:rsidP="00D11A11">
      <w:pPr>
        <w:jc w:val="center"/>
      </w:pPr>
    </w:p>
    <w:p w14:paraId="7E7B8A56" w14:textId="77777777" w:rsidR="00D11A11" w:rsidRPr="00344E22" w:rsidRDefault="00D11A11" w:rsidP="00D11A11">
      <w:pPr>
        <w:jc w:val="center"/>
        <w:rPr>
          <w:rFonts w:ascii="Arial" w:hAnsi="Arial" w:cs="Arial"/>
          <w:sz w:val="24"/>
          <w:szCs w:val="24"/>
        </w:rPr>
      </w:pPr>
      <w:r w:rsidRPr="00344E22">
        <w:rPr>
          <w:rFonts w:ascii="Arial" w:hAnsi="Arial" w:cs="Arial"/>
          <w:sz w:val="24"/>
          <w:szCs w:val="24"/>
        </w:rPr>
        <w:t>Nicolae A. Puiu</w:t>
      </w:r>
    </w:p>
    <w:p w14:paraId="64770D76" w14:textId="77777777" w:rsidR="00D11A11" w:rsidRDefault="00D11A11" w:rsidP="00D11A11">
      <w:pPr>
        <w:jc w:val="center"/>
      </w:pPr>
      <w:r>
        <w:t>2025173</w:t>
      </w:r>
    </w:p>
    <w:p w14:paraId="464C6153" w14:textId="77777777" w:rsidR="00D11A11" w:rsidRDefault="00D11A11" w:rsidP="00D11A11">
      <w:pPr>
        <w:jc w:val="center"/>
        <w:rPr>
          <w:rFonts w:ascii="Arial" w:hAnsi="Arial" w:cs="Arial"/>
        </w:rPr>
      </w:pPr>
      <w:r>
        <w:rPr>
          <w:rFonts w:ascii="Arial" w:hAnsi="Arial" w:cs="Arial"/>
        </w:rPr>
        <w:t>Personnel Resourcing and Development</w:t>
      </w:r>
    </w:p>
    <w:p w14:paraId="7B3E97D9" w14:textId="77777777" w:rsidR="00D11A11" w:rsidRDefault="00D11A11" w:rsidP="00D11A11">
      <w:pPr>
        <w:jc w:val="center"/>
        <w:rPr>
          <w:rFonts w:ascii="Arial" w:hAnsi="Arial" w:cs="Arial"/>
        </w:rPr>
      </w:pPr>
      <w:r>
        <w:rPr>
          <w:rFonts w:ascii="Arial" w:hAnsi="Arial" w:cs="Arial"/>
        </w:rPr>
        <w:t>BMIH5005</w:t>
      </w:r>
    </w:p>
    <w:p w14:paraId="2B5452D9" w14:textId="77777777" w:rsidR="00D11A11" w:rsidRDefault="00D11A11" w:rsidP="00D11A11">
      <w:pPr>
        <w:jc w:val="center"/>
        <w:rPr>
          <w:rFonts w:ascii="Arial" w:hAnsi="Arial" w:cs="Arial"/>
        </w:rPr>
      </w:pPr>
      <w:r>
        <w:rPr>
          <w:rFonts w:ascii="Arial" w:hAnsi="Arial" w:cs="Arial"/>
        </w:rPr>
        <w:t>Kathrin Roberts</w:t>
      </w:r>
    </w:p>
    <w:p w14:paraId="5CFB21C7" w14:textId="77777777" w:rsidR="00D11A11" w:rsidRDefault="00D11A11" w:rsidP="00D11A11">
      <w:pPr>
        <w:jc w:val="center"/>
        <w:rPr>
          <w:rFonts w:ascii="Arial" w:hAnsi="Arial" w:cs="Arial"/>
        </w:rPr>
      </w:pPr>
    </w:p>
    <w:p w14:paraId="294BAC0E" w14:textId="77777777" w:rsidR="00D11A11" w:rsidRDefault="00D11A11" w:rsidP="00D11A11">
      <w:pPr>
        <w:jc w:val="center"/>
        <w:rPr>
          <w:rFonts w:ascii="Arial" w:hAnsi="Arial" w:cs="Arial"/>
        </w:rPr>
      </w:pPr>
    </w:p>
    <w:p w14:paraId="571469FB" w14:textId="77777777" w:rsidR="00D11A11" w:rsidRDefault="00D11A11" w:rsidP="00D11A11">
      <w:pPr>
        <w:jc w:val="center"/>
        <w:rPr>
          <w:rFonts w:ascii="Arial" w:hAnsi="Arial" w:cs="Arial"/>
        </w:rPr>
      </w:pPr>
    </w:p>
    <w:p w14:paraId="4532944E" w14:textId="77777777" w:rsidR="00D11A11" w:rsidRDefault="00D11A11" w:rsidP="00D11A11">
      <w:pPr>
        <w:jc w:val="center"/>
        <w:rPr>
          <w:rFonts w:ascii="Arial" w:hAnsi="Arial" w:cs="Arial"/>
        </w:rPr>
      </w:pPr>
    </w:p>
    <w:p w14:paraId="4070512C" w14:textId="77777777" w:rsidR="00D11A11" w:rsidRDefault="00D11A11" w:rsidP="00D11A11">
      <w:pPr>
        <w:jc w:val="center"/>
        <w:rPr>
          <w:rFonts w:ascii="Arial" w:hAnsi="Arial" w:cs="Arial"/>
        </w:rPr>
      </w:pPr>
    </w:p>
    <w:p w14:paraId="2FE6E0D9" w14:textId="77777777" w:rsidR="00D11A11" w:rsidRDefault="00D11A11" w:rsidP="00D11A11">
      <w:pPr>
        <w:jc w:val="center"/>
        <w:rPr>
          <w:rFonts w:ascii="Arial" w:hAnsi="Arial" w:cs="Arial"/>
        </w:rPr>
      </w:pPr>
    </w:p>
    <w:p w14:paraId="474CB2D5" w14:textId="77777777" w:rsidR="00D11A11" w:rsidRDefault="00D11A11" w:rsidP="00D11A11">
      <w:pPr>
        <w:jc w:val="center"/>
        <w:rPr>
          <w:rFonts w:ascii="Arial" w:hAnsi="Arial" w:cs="Arial"/>
        </w:rPr>
      </w:pPr>
    </w:p>
    <w:p w14:paraId="64757296" w14:textId="77777777" w:rsidR="00D11A11" w:rsidRDefault="00D11A11" w:rsidP="00D11A11">
      <w:pPr>
        <w:jc w:val="center"/>
        <w:rPr>
          <w:rFonts w:ascii="Arial" w:hAnsi="Arial" w:cs="Arial"/>
        </w:rPr>
      </w:pPr>
    </w:p>
    <w:p w14:paraId="08B9E333" w14:textId="77777777" w:rsidR="00D11A11" w:rsidRDefault="00D11A11" w:rsidP="00D11A11">
      <w:pPr>
        <w:jc w:val="center"/>
        <w:rPr>
          <w:rFonts w:ascii="Arial" w:hAnsi="Arial" w:cs="Arial"/>
        </w:rPr>
      </w:pPr>
    </w:p>
    <w:p w14:paraId="5E4DD4EC" w14:textId="636D3ED1" w:rsidR="00D11A11" w:rsidRDefault="00D11A11" w:rsidP="00D11A11">
      <w:pPr>
        <w:jc w:val="center"/>
        <w:rPr>
          <w:rFonts w:ascii="Arial" w:hAnsi="Arial" w:cs="Arial"/>
        </w:rPr>
      </w:pPr>
    </w:p>
    <w:p w14:paraId="710FBE33" w14:textId="0400A869" w:rsidR="00D11A11" w:rsidRDefault="00D11A11" w:rsidP="00D11A11">
      <w:pPr>
        <w:jc w:val="center"/>
        <w:rPr>
          <w:rFonts w:ascii="Arial" w:hAnsi="Arial" w:cs="Arial"/>
        </w:rPr>
      </w:pPr>
    </w:p>
    <w:p w14:paraId="28497D9E" w14:textId="2664D617" w:rsidR="00D11A11" w:rsidRDefault="00D11A11" w:rsidP="00D11A11">
      <w:pPr>
        <w:jc w:val="center"/>
        <w:rPr>
          <w:rFonts w:ascii="Arial" w:hAnsi="Arial" w:cs="Arial"/>
        </w:rPr>
      </w:pPr>
    </w:p>
    <w:p w14:paraId="0575F2F8" w14:textId="18F6D9EE" w:rsidR="00D11A11" w:rsidRDefault="00D11A11" w:rsidP="00D11A11">
      <w:pPr>
        <w:jc w:val="center"/>
        <w:rPr>
          <w:rFonts w:ascii="Arial" w:hAnsi="Arial" w:cs="Arial"/>
        </w:rPr>
      </w:pPr>
    </w:p>
    <w:p w14:paraId="51133E06" w14:textId="6A3F5FB8" w:rsidR="00D11A11" w:rsidRDefault="00D11A11" w:rsidP="00D11A11">
      <w:pPr>
        <w:jc w:val="center"/>
        <w:rPr>
          <w:rFonts w:ascii="Arial" w:hAnsi="Arial" w:cs="Arial"/>
        </w:rPr>
      </w:pPr>
    </w:p>
    <w:p w14:paraId="1C47F322" w14:textId="0F47184D" w:rsidR="00D11A11" w:rsidRDefault="00D11A11" w:rsidP="00D11A11">
      <w:pPr>
        <w:jc w:val="center"/>
        <w:rPr>
          <w:rFonts w:ascii="Arial" w:hAnsi="Arial" w:cs="Arial"/>
        </w:rPr>
      </w:pPr>
    </w:p>
    <w:p w14:paraId="357BF73F" w14:textId="77777777" w:rsidR="00D11A11" w:rsidRDefault="00D11A11" w:rsidP="00D11A11">
      <w:pPr>
        <w:jc w:val="center"/>
        <w:rPr>
          <w:rFonts w:ascii="Arial" w:hAnsi="Arial" w:cs="Arial"/>
        </w:rPr>
      </w:pPr>
    </w:p>
    <w:p w14:paraId="6AEE40D1" w14:textId="77777777" w:rsidR="00D11A11" w:rsidRDefault="00D11A11" w:rsidP="00D11A11">
      <w:pPr>
        <w:jc w:val="center"/>
        <w:rPr>
          <w:rFonts w:ascii="Arial" w:hAnsi="Arial" w:cs="Arial"/>
        </w:rPr>
      </w:pPr>
    </w:p>
    <w:p w14:paraId="51397F05" w14:textId="77777777" w:rsidR="00D11A11" w:rsidRDefault="00D11A11" w:rsidP="00D11A11">
      <w:pPr>
        <w:jc w:val="center"/>
        <w:rPr>
          <w:rFonts w:ascii="Arial" w:hAnsi="Arial" w:cs="Arial"/>
        </w:rPr>
      </w:pPr>
    </w:p>
    <w:p w14:paraId="25CACEA4" w14:textId="77777777" w:rsidR="00D11A11" w:rsidRPr="005B66C1" w:rsidRDefault="00D11A11" w:rsidP="00D11A11">
      <w:pPr>
        <w:jc w:val="both"/>
        <w:rPr>
          <w:rFonts w:ascii="Arial" w:hAnsi="Arial" w:cs="Arial"/>
          <w:sz w:val="24"/>
          <w:szCs w:val="24"/>
        </w:rPr>
      </w:pPr>
      <w:r w:rsidRPr="005B66C1">
        <w:rPr>
          <w:rFonts w:ascii="Arial" w:hAnsi="Arial" w:cs="Arial"/>
          <w:sz w:val="24"/>
          <w:szCs w:val="24"/>
        </w:rPr>
        <w:t>Executive Summary</w:t>
      </w:r>
    </w:p>
    <w:p w14:paraId="70662BAA" w14:textId="77777777" w:rsidR="00D11A11" w:rsidRDefault="00D11A11" w:rsidP="00D11A11">
      <w:pPr>
        <w:jc w:val="center"/>
        <w:rPr>
          <w:rFonts w:ascii="Arial" w:hAnsi="Arial" w:cs="Arial"/>
        </w:rPr>
      </w:pPr>
    </w:p>
    <w:p w14:paraId="1AA5FA8B" w14:textId="77777777" w:rsidR="00D11A11" w:rsidRPr="005B66C1" w:rsidRDefault="00D11A11" w:rsidP="00D11A11">
      <w:pPr>
        <w:spacing w:line="360" w:lineRule="auto"/>
        <w:jc w:val="both"/>
        <w:rPr>
          <w:rFonts w:ascii="Arial" w:hAnsi="Arial" w:cs="Arial"/>
          <w:sz w:val="24"/>
          <w:szCs w:val="24"/>
        </w:rPr>
      </w:pPr>
      <w:r>
        <w:rPr>
          <w:rFonts w:ascii="Arial" w:hAnsi="Arial" w:cs="Arial"/>
          <w:sz w:val="24"/>
          <w:szCs w:val="24"/>
        </w:rPr>
        <w:t>As Riviera Hotel is suffering of staff shortage, an employee engagement questionnaire can help to find out where the issues lay. Questionnaires are cheaper and time saving compared to other methods of measuring engagement.</w:t>
      </w:r>
    </w:p>
    <w:p w14:paraId="6C895B9E" w14:textId="77777777" w:rsidR="00D11A11" w:rsidRDefault="00D11A11" w:rsidP="00D11A11">
      <w:pPr>
        <w:jc w:val="center"/>
        <w:rPr>
          <w:rFonts w:ascii="Arial" w:hAnsi="Arial" w:cs="Arial"/>
        </w:rPr>
      </w:pPr>
    </w:p>
    <w:p w14:paraId="6C8CB448" w14:textId="77777777" w:rsidR="00D11A11" w:rsidRDefault="00D11A11" w:rsidP="00D11A11">
      <w:pPr>
        <w:jc w:val="center"/>
        <w:rPr>
          <w:rFonts w:ascii="Arial" w:hAnsi="Arial" w:cs="Arial"/>
        </w:rPr>
      </w:pPr>
    </w:p>
    <w:p w14:paraId="6CED1FF8" w14:textId="77777777" w:rsidR="00D11A11" w:rsidRDefault="00D11A11" w:rsidP="00D11A11">
      <w:pPr>
        <w:jc w:val="center"/>
        <w:rPr>
          <w:rFonts w:ascii="Arial" w:hAnsi="Arial" w:cs="Arial"/>
        </w:rPr>
      </w:pPr>
    </w:p>
    <w:p w14:paraId="5FF069FF" w14:textId="77777777" w:rsidR="00D11A11" w:rsidRDefault="00D11A11" w:rsidP="00D11A11">
      <w:pPr>
        <w:jc w:val="center"/>
        <w:rPr>
          <w:rFonts w:ascii="Arial" w:hAnsi="Arial" w:cs="Arial"/>
        </w:rPr>
      </w:pPr>
    </w:p>
    <w:p w14:paraId="251F540C" w14:textId="77777777" w:rsidR="00D11A11" w:rsidRDefault="00D11A11" w:rsidP="00D11A11">
      <w:pPr>
        <w:jc w:val="center"/>
        <w:rPr>
          <w:rFonts w:ascii="Arial" w:hAnsi="Arial" w:cs="Arial"/>
        </w:rPr>
      </w:pPr>
    </w:p>
    <w:p w14:paraId="3DE8263A" w14:textId="77777777" w:rsidR="00D11A11" w:rsidRDefault="00D11A11" w:rsidP="00D11A11">
      <w:pPr>
        <w:jc w:val="center"/>
        <w:rPr>
          <w:rFonts w:ascii="Arial" w:hAnsi="Arial" w:cs="Arial"/>
        </w:rPr>
      </w:pPr>
    </w:p>
    <w:p w14:paraId="0E0F5F0F" w14:textId="77777777" w:rsidR="00D11A11" w:rsidRDefault="00D11A11" w:rsidP="00D11A11">
      <w:pPr>
        <w:jc w:val="center"/>
        <w:rPr>
          <w:rFonts w:ascii="Arial" w:hAnsi="Arial" w:cs="Arial"/>
        </w:rPr>
      </w:pPr>
    </w:p>
    <w:p w14:paraId="7EBE69B5" w14:textId="77777777" w:rsidR="00D11A11" w:rsidRDefault="00D11A11" w:rsidP="00D11A11">
      <w:pPr>
        <w:jc w:val="center"/>
        <w:rPr>
          <w:rFonts w:ascii="Arial" w:hAnsi="Arial" w:cs="Arial"/>
        </w:rPr>
      </w:pPr>
    </w:p>
    <w:p w14:paraId="69EA4BD9" w14:textId="77777777" w:rsidR="00D11A11" w:rsidRDefault="00D11A11" w:rsidP="00D11A11">
      <w:pPr>
        <w:jc w:val="center"/>
        <w:rPr>
          <w:rFonts w:ascii="Arial" w:hAnsi="Arial" w:cs="Arial"/>
        </w:rPr>
      </w:pPr>
    </w:p>
    <w:p w14:paraId="5C6CB0DA" w14:textId="77777777" w:rsidR="00D11A11" w:rsidRDefault="00D11A11" w:rsidP="00D11A11">
      <w:pPr>
        <w:jc w:val="center"/>
        <w:rPr>
          <w:rFonts w:ascii="Arial" w:hAnsi="Arial" w:cs="Arial"/>
        </w:rPr>
      </w:pPr>
    </w:p>
    <w:p w14:paraId="50C9800C" w14:textId="77777777" w:rsidR="00D11A11" w:rsidRDefault="00D11A11" w:rsidP="00D11A11">
      <w:pPr>
        <w:jc w:val="center"/>
        <w:rPr>
          <w:rFonts w:ascii="Arial" w:hAnsi="Arial" w:cs="Arial"/>
        </w:rPr>
      </w:pPr>
    </w:p>
    <w:p w14:paraId="5D4238EE" w14:textId="77777777" w:rsidR="00D11A11" w:rsidRDefault="00D11A11" w:rsidP="00D11A11">
      <w:pPr>
        <w:jc w:val="center"/>
        <w:rPr>
          <w:rFonts w:ascii="Arial" w:hAnsi="Arial" w:cs="Arial"/>
        </w:rPr>
      </w:pPr>
    </w:p>
    <w:p w14:paraId="508EE3DE" w14:textId="77777777" w:rsidR="00D11A11" w:rsidRDefault="00D11A11" w:rsidP="00D11A11">
      <w:pPr>
        <w:jc w:val="center"/>
        <w:rPr>
          <w:rFonts w:ascii="Arial" w:hAnsi="Arial" w:cs="Arial"/>
        </w:rPr>
      </w:pPr>
    </w:p>
    <w:p w14:paraId="14C89A96" w14:textId="77777777" w:rsidR="00D11A11" w:rsidRDefault="00D11A11" w:rsidP="00D11A11">
      <w:pPr>
        <w:jc w:val="center"/>
        <w:rPr>
          <w:rFonts w:ascii="Arial" w:hAnsi="Arial" w:cs="Arial"/>
        </w:rPr>
      </w:pPr>
    </w:p>
    <w:p w14:paraId="3517B9B7" w14:textId="6FC90B58" w:rsidR="00D11A11" w:rsidRDefault="00D11A11" w:rsidP="00D11A11">
      <w:pPr>
        <w:jc w:val="center"/>
        <w:rPr>
          <w:rFonts w:ascii="Arial" w:hAnsi="Arial" w:cs="Arial"/>
        </w:rPr>
      </w:pPr>
    </w:p>
    <w:p w14:paraId="0EC5188C" w14:textId="77777777" w:rsidR="00D11A11" w:rsidRDefault="00D11A11" w:rsidP="00D11A11">
      <w:pPr>
        <w:jc w:val="center"/>
        <w:rPr>
          <w:rFonts w:ascii="Arial" w:hAnsi="Arial" w:cs="Arial"/>
        </w:rPr>
      </w:pPr>
    </w:p>
    <w:p w14:paraId="6A3C60B8" w14:textId="77777777" w:rsidR="00D11A11" w:rsidRDefault="00D11A11" w:rsidP="00D11A11">
      <w:pPr>
        <w:jc w:val="center"/>
        <w:rPr>
          <w:rFonts w:ascii="Arial" w:hAnsi="Arial" w:cs="Arial"/>
        </w:rPr>
      </w:pPr>
    </w:p>
    <w:p w14:paraId="29575860" w14:textId="77777777" w:rsidR="00D11A11" w:rsidRPr="00F61378" w:rsidRDefault="00D11A11" w:rsidP="00D11A11">
      <w:pPr>
        <w:jc w:val="both"/>
        <w:rPr>
          <w:rFonts w:ascii="Arial" w:hAnsi="Arial" w:cs="Arial"/>
          <w:sz w:val="24"/>
          <w:szCs w:val="24"/>
        </w:rPr>
      </w:pPr>
      <w:r w:rsidRPr="00F61378">
        <w:rPr>
          <w:rFonts w:ascii="Arial" w:hAnsi="Arial" w:cs="Arial"/>
          <w:sz w:val="24"/>
          <w:szCs w:val="24"/>
        </w:rPr>
        <w:t>Table of contents</w:t>
      </w:r>
    </w:p>
    <w:p w14:paraId="16E61313" w14:textId="0764113A" w:rsidR="00D11A11" w:rsidRPr="00F61378" w:rsidRDefault="00D11A11" w:rsidP="00D11A11">
      <w:pPr>
        <w:jc w:val="both"/>
        <w:rPr>
          <w:rFonts w:ascii="Arial" w:hAnsi="Arial" w:cs="Arial"/>
          <w:sz w:val="24"/>
          <w:szCs w:val="24"/>
        </w:rPr>
      </w:pPr>
      <w:r w:rsidRPr="00F61378">
        <w:rPr>
          <w:rFonts w:ascii="Arial" w:hAnsi="Arial" w:cs="Arial"/>
          <w:sz w:val="24"/>
          <w:szCs w:val="24"/>
        </w:rPr>
        <w:t>Introduction………………………………………………………………</w:t>
      </w:r>
      <w:proofErr w:type="gramStart"/>
      <w:r w:rsidRPr="00F61378">
        <w:rPr>
          <w:rFonts w:ascii="Arial" w:hAnsi="Arial" w:cs="Arial"/>
          <w:sz w:val="24"/>
          <w:szCs w:val="24"/>
        </w:rPr>
        <w:t>…</w:t>
      </w:r>
      <w:r w:rsidR="00F61378">
        <w:rPr>
          <w:rFonts w:ascii="Arial" w:hAnsi="Arial" w:cs="Arial"/>
          <w:sz w:val="24"/>
          <w:szCs w:val="24"/>
        </w:rPr>
        <w:t>..</w:t>
      </w:r>
      <w:proofErr w:type="gramEnd"/>
      <w:r w:rsidRPr="00F61378">
        <w:rPr>
          <w:rFonts w:ascii="Arial" w:hAnsi="Arial" w:cs="Arial"/>
          <w:sz w:val="24"/>
          <w:szCs w:val="24"/>
        </w:rPr>
        <w:t>………………</w:t>
      </w:r>
      <w:r w:rsidR="00F61378">
        <w:rPr>
          <w:rFonts w:ascii="Arial" w:hAnsi="Arial" w:cs="Arial"/>
          <w:sz w:val="24"/>
          <w:szCs w:val="24"/>
        </w:rPr>
        <w:t>4</w:t>
      </w:r>
    </w:p>
    <w:p w14:paraId="13767C39" w14:textId="7A81A92D" w:rsidR="00D11A11" w:rsidRPr="00F61378" w:rsidRDefault="00D11A11" w:rsidP="00D11A11">
      <w:pPr>
        <w:jc w:val="both"/>
        <w:rPr>
          <w:rFonts w:ascii="Arial" w:hAnsi="Arial" w:cs="Arial"/>
          <w:sz w:val="24"/>
          <w:szCs w:val="24"/>
        </w:rPr>
      </w:pPr>
      <w:r w:rsidRPr="00F61378">
        <w:rPr>
          <w:rFonts w:ascii="Arial" w:hAnsi="Arial" w:cs="Arial"/>
          <w:sz w:val="24"/>
          <w:szCs w:val="24"/>
        </w:rPr>
        <w:t>Main findings……………………………………………………</w:t>
      </w:r>
      <w:r w:rsidR="00F61378">
        <w:rPr>
          <w:rFonts w:ascii="Arial" w:hAnsi="Arial" w:cs="Arial"/>
          <w:sz w:val="24"/>
          <w:szCs w:val="24"/>
        </w:rPr>
        <w:t>.</w:t>
      </w:r>
      <w:r w:rsidRPr="00F61378">
        <w:rPr>
          <w:rFonts w:ascii="Arial" w:hAnsi="Arial" w:cs="Arial"/>
          <w:sz w:val="24"/>
          <w:szCs w:val="24"/>
        </w:rPr>
        <w:t>…………………</w:t>
      </w:r>
      <w:proofErr w:type="gramStart"/>
      <w:r w:rsidRPr="00F61378">
        <w:rPr>
          <w:rFonts w:ascii="Arial" w:hAnsi="Arial" w:cs="Arial"/>
          <w:sz w:val="24"/>
          <w:szCs w:val="24"/>
        </w:rPr>
        <w:t>…</w:t>
      </w:r>
      <w:r w:rsidR="00F61378">
        <w:rPr>
          <w:rFonts w:ascii="Arial" w:hAnsi="Arial" w:cs="Arial"/>
          <w:sz w:val="24"/>
          <w:szCs w:val="24"/>
        </w:rPr>
        <w:t>..</w:t>
      </w:r>
      <w:proofErr w:type="gramEnd"/>
      <w:r w:rsidRPr="00F61378">
        <w:rPr>
          <w:rFonts w:ascii="Arial" w:hAnsi="Arial" w:cs="Arial"/>
          <w:sz w:val="24"/>
          <w:szCs w:val="24"/>
        </w:rPr>
        <w:t>……….….4</w:t>
      </w:r>
    </w:p>
    <w:p w14:paraId="438852A6" w14:textId="77777777" w:rsidR="00D11A11" w:rsidRPr="00F61378" w:rsidRDefault="00D11A11" w:rsidP="00D11A11">
      <w:pPr>
        <w:pStyle w:val="ListParagraph"/>
        <w:numPr>
          <w:ilvl w:val="0"/>
          <w:numId w:val="1"/>
        </w:numPr>
        <w:spacing w:line="360" w:lineRule="auto"/>
        <w:jc w:val="both"/>
        <w:rPr>
          <w:rFonts w:ascii="Arial" w:hAnsi="Arial" w:cs="Arial"/>
          <w:color w:val="4D5156"/>
          <w:sz w:val="24"/>
          <w:szCs w:val="24"/>
          <w:shd w:val="clear" w:color="auto" w:fill="FFFFFF"/>
        </w:rPr>
      </w:pPr>
      <w:r w:rsidRPr="00F61378">
        <w:rPr>
          <w:rFonts w:ascii="Arial" w:hAnsi="Arial" w:cs="Arial"/>
          <w:color w:val="4D5156"/>
          <w:sz w:val="24"/>
          <w:szCs w:val="24"/>
          <w:shd w:val="clear" w:color="auto" w:fill="FFFFFF"/>
        </w:rPr>
        <w:t>Formats of questions …….……………………………………………………….…5</w:t>
      </w:r>
    </w:p>
    <w:p w14:paraId="5FD79021" w14:textId="0FD9AA59" w:rsidR="00D11A11" w:rsidRPr="00F61378" w:rsidRDefault="00D11A11" w:rsidP="00D11A11">
      <w:pPr>
        <w:pStyle w:val="ListParagraph"/>
        <w:numPr>
          <w:ilvl w:val="0"/>
          <w:numId w:val="1"/>
        </w:numPr>
        <w:spacing w:line="360" w:lineRule="auto"/>
        <w:jc w:val="both"/>
        <w:rPr>
          <w:rFonts w:ascii="Arial" w:hAnsi="Arial" w:cs="Arial"/>
          <w:sz w:val="24"/>
          <w:szCs w:val="24"/>
        </w:rPr>
      </w:pPr>
      <w:r w:rsidRPr="00F61378">
        <w:rPr>
          <w:rFonts w:ascii="Arial" w:hAnsi="Arial" w:cs="Arial"/>
          <w:sz w:val="24"/>
          <w:szCs w:val="24"/>
        </w:rPr>
        <w:t>Questionnaires vs other methods…………………………………………….…….5</w:t>
      </w:r>
    </w:p>
    <w:p w14:paraId="6BC13C6B" w14:textId="77777777" w:rsidR="00D11A11" w:rsidRPr="00F61378" w:rsidRDefault="00D11A11" w:rsidP="00D11A11">
      <w:pPr>
        <w:pStyle w:val="ListParagraph"/>
        <w:numPr>
          <w:ilvl w:val="0"/>
          <w:numId w:val="1"/>
        </w:numPr>
        <w:spacing w:line="360" w:lineRule="auto"/>
        <w:jc w:val="both"/>
        <w:rPr>
          <w:rFonts w:ascii="Arial" w:hAnsi="Arial" w:cs="Arial"/>
          <w:sz w:val="24"/>
          <w:szCs w:val="24"/>
        </w:rPr>
      </w:pPr>
      <w:r w:rsidRPr="00F61378">
        <w:rPr>
          <w:rFonts w:ascii="Arial" w:hAnsi="Arial" w:cs="Arial"/>
          <w:sz w:val="24"/>
          <w:szCs w:val="24"/>
          <w:shd w:val="clear" w:color="auto" w:fill="FFFFFF"/>
        </w:rPr>
        <w:t>Listening to employees……………………………………………………………...6</w:t>
      </w:r>
    </w:p>
    <w:p w14:paraId="6F37CD6E" w14:textId="4069268C" w:rsidR="00D11A11" w:rsidRPr="00F61378" w:rsidRDefault="00D11A11" w:rsidP="00D11A11">
      <w:pPr>
        <w:pStyle w:val="ListParagraph"/>
        <w:numPr>
          <w:ilvl w:val="0"/>
          <w:numId w:val="1"/>
        </w:numPr>
        <w:spacing w:line="360" w:lineRule="auto"/>
        <w:jc w:val="both"/>
        <w:rPr>
          <w:rFonts w:ascii="Arial" w:hAnsi="Arial" w:cs="Arial"/>
          <w:sz w:val="24"/>
          <w:szCs w:val="24"/>
        </w:rPr>
      </w:pPr>
      <w:r w:rsidRPr="00F61378">
        <w:rPr>
          <w:rFonts w:ascii="Arial" w:hAnsi="Arial" w:cs="Arial"/>
          <w:sz w:val="24"/>
          <w:szCs w:val="24"/>
          <w:shd w:val="clear" w:color="auto" w:fill="FFFFFF"/>
        </w:rPr>
        <w:t>Further actions……………………………………………………………………….7</w:t>
      </w:r>
    </w:p>
    <w:p w14:paraId="4AD0D8D7" w14:textId="6A29B6E6" w:rsidR="00D11A11" w:rsidRPr="00F61378" w:rsidRDefault="00D11A11" w:rsidP="00D11A11">
      <w:pPr>
        <w:spacing w:line="360" w:lineRule="auto"/>
        <w:jc w:val="both"/>
        <w:rPr>
          <w:rFonts w:ascii="Arial" w:hAnsi="Arial" w:cs="Arial"/>
          <w:sz w:val="24"/>
          <w:szCs w:val="24"/>
        </w:rPr>
      </w:pPr>
      <w:r w:rsidRPr="00F61378">
        <w:rPr>
          <w:rFonts w:ascii="Arial" w:hAnsi="Arial" w:cs="Arial"/>
          <w:sz w:val="24"/>
          <w:szCs w:val="24"/>
          <w:shd w:val="clear" w:color="auto" w:fill="FFFFFF"/>
        </w:rPr>
        <w:t>The connection between employee engagement and retention……………</w:t>
      </w:r>
      <w:r w:rsidR="00F61378">
        <w:rPr>
          <w:rFonts w:ascii="Arial" w:hAnsi="Arial" w:cs="Arial"/>
          <w:sz w:val="24"/>
          <w:szCs w:val="24"/>
          <w:shd w:val="clear" w:color="auto" w:fill="FFFFFF"/>
        </w:rPr>
        <w:t>…</w:t>
      </w:r>
      <w:r w:rsidRPr="00F61378">
        <w:rPr>
          <w:rFonts w:ascii="Arial" w:hAnsi="Arial" w:cs="Arial"/>
          <w:sz w:val="24"/>
          <w:szCs w:val="24"/>
          <w:shd w:val="clear" w:color="auto" w:fill="FFFFFF"/>
        </w:rPr>
        <w:t>……</w:t>
      </w:r>
      <w:proofErr w:type="gramStart"/>
      <w:r w:rsidRPr="00F61378">
        <w:rPr>
          <w:rFonts w:ascii="Arial" w:hAnsi="Arial" w:cs="Arial"/>
          <w:sz w:val="24"/>
          <w:szCs w:val="24"/>
          <w:shd w:val="clear" w:color="auto" w:fill="FFFFFF"/>
        </w:rPr>
        <w:t>…..</w:t>
      </w:r>
      <w:proofErr w:type="gramEnd"/>
      <w:r w:rsidRPr="00F61378">
        <w:rPr>
          <w:rFonts w:ascii="Arial" w:hAnsi="Arial" w:cs="Arial"/>
          <w:sz w:val="24"/>
          <w:szCs w:val="24"/>
          <w:shd w:val="clear" w:color="auto" w:fill="FFFFFF"/>
        </w:rPr>
        <w:t>7</w:t>
      </w:r>
    </w:p>
    <w:p w14:paraId="491B8EE4" w14:textId="72A6B965" w:rsidR="00D11A11" w:rsidRPr="00F61378" w:rsidRDefault="00D11A11" w:rsidP="00D11A11">
      <w:pPr>
        <w:spacing w:line="360" w:lineRule="auto"/>
        <w:jc w:val="both"/>
        <w:rPr>
          <w:rFonts w:ascii="Arial" w:hAnsi="Arial" w:cs="Arial"/>
          <w:sz w:val="24"/>
          <w:szCs w:val="24"/>
        </w:rPr>
      </w:pPr>
      <w:r w:rsidRPr="00F61378">
        <w:rPr>
          <w:rFonts w:ascii="Arial" w:hAnsi="Arial" w:cs="Arial"/>
          <w:sz w:val="24"/>
          <w:szCs w:val="24"/>
        </w:rPr>
        <w:t>Conclusion……………………………</w:t>
      </w:r>
      <w:proofErr w:type="gramStart"/>
      <w:r w:rsidR="00F61378">
        <w:rPr>
          <w:rFonts w:ascii="Arial" w:hAnsi="Arial" w:cs="Arial"/>
          <w:sz w:val="24"/>
          <w:szCs w:val="24"/>
        </w:rPr>
        <w:t>…..</w:t>
      </w:r>
      <w:proofErr w:type="gramEnd"/>
      <w:r w:rsidRPr="00F61378">
        <w:rPr>
          <w:rFonts w:ascii="Arial" w:hAnsi="Arial" w:cs="Arial"/>
          <w:sz w:val="24"/>
          <w:szCs w:val="24"/>
        </w:rPr>
        <w:t>………………………………………………….8</w:t>
      </w:r>
    </w:p>
    <w:p w14:paraId="4145920D" w14:textId="25C804C8" w:rsidR="00D11A11" w:rsidRPr="00F61378" w:rsidRDefault="00F61378" w:rsidP="00D11A11">
      <w:pPr>
        <w:spacing w:line="360" w:lineRule="auto"/>
        <w:jc w:val="both"/>
        <w:rPr>
          <w:rFonts w:ascii="Arial" w:hAnsi="Arial" w:cs="Arial"/>
          <w:sz w:val="24"/>
          <w:szCs w:val="24"/>
        </w:rPr>
      </w:pPr>
      <w:r>
        <w:rPr>
          <w:rFonts w:ascii="Arial" w:hAnsi="Arial" w:cs="Arial"/>
          <w:sz w:val="24"/>
          <w:szCs w:val="24"/>
        </w:rPr>
        <w:t>Reference…………………………………………………………………………………...10</w:t>
      </w:r>
    </w:p>
    <w:p w14:paraId="2500D2AB" w14:textId="77777777" w:rsidR="00D11A11" w:rsidRDefault="00D11A11" w:rsidP="00D11A11">
      <w:pPr>
        <w:jc w:val="both"/>
        <w:rPr>
          <w:rFonts w:ascii="Arial" w:hAnsi="Arial" w:cs="Arial"/>
        </w:rPr>
      </w:pPr>
    </w:p>
    <w:p w14:paraId="2B9EAAB6" w14:textId="77777777" w:rsidR="00D11A11" w:rsidRDefault="00D11A11" w:rsidP="00D11A11">
      <w:pPr>
        <w:jc w:val="both"/>
        <w:rPr>
          <w:rFonts w:ascii="Arial" w:hAnsi="Arial" w:cs="Arial"/>
        </w:rPr>
      </w:pPr>
    </w:p>
    <w:p w14:paraId="0107D1A0" w14:textId="77777777" w:rsidR="00D11A11" w:rsidRDefault="00D11A11" w:rsidP="00D11A11">
      <w:pPr>
        <w:jc w:val="both"/>
        <w:rPr>
          <w:rFonts w:ascii="Arial" w:hAnsi="Arial" w:cs="Arial"/>
        </w:rPr>
      </w:pPr>
    </w:p>
    <w:p w14:paraId="2401A1DF" w14:textId="77777777" w:rsidR="00D11A11" w:rsidRDefault="00D11A11" w:rsidP="00D11A11">
      <w:pPr>
        <w:jc w:val="both"/>
        <w:rPr>
          <w:rFonts w:ascii="Arial" w:hAnsi="Arial" w:cs="Arial"/>
        </w:rPr>
      </w:pPr>
    </w:p>
    <w:p w14:paraId="6DABAB12" w14:textId="77777777" w:rsidR="00D11A11" w:rsidRDefault="00D11A11" w:rsidP="00D11A11">
      <w:pPr>
        <w:jc w:val="both"/>
        <w:rPr>
          <w:rFonts w:ascii="Arial" w:hAnsi="Arial" w:cs="Arial"/>
        </w:rPr>
      </w:pPr>
    </w:p>
    <w:p w14:paraId="6DCECCAE" w14:textId="77777777" w:rsidR="00D11A11" w:rsidRDefault="00D11A11" w:rsidP="00D11A11">
      <w:pPr>
        <w:jc w:val="both"/>
        <w:rPr>
          <w:rFonts w:ascii="Arial" w:hAnsi="Arial" w:cs="Arial"/>
        </w:rPr>
      </w:pPr>
    </w:p>
    <w:p w14:paraId="318F3077" w14:textId="77777777" w:rsidR="00D11A11" w:rsidRDefault="00D11A11" w:rsidP="00D11A11">
      <w:pPr>
        <w:jc w:val="both"/>
        <w:rPr>
          <w:rFonts w:ascii="Arial" w:hAnsi="Arial" w:cs="Arial"/>
        </w:rPr>
      </w:pPr>
    </w:p>
    <w:p w14:paraId="5D430571" w14:textId="77777777" w:rsidR="00D11A11" w:rsidRDefault="00D11A11" w:rsidP="00D11A11">
      <w:pPr>
        <w:jc w:val="both"/>
        <w:rPr>
          <w:rFonts w:ascii="Arial" w:hAnsi="Arial" w:cs="Arial"/>
        </w:rPr>
      </w:pPr>
    </w:p>
    <w:p w14:paraId="6F34B370" w14:textId="77777777" w:rsidR="00D11A11" w:rsidRDefault="00D11A11" w:rsidP="00D11A11">
      <w:pPr>
        <w:jc w:val="both"/>
        <w:rPr>
          <w:rFonts w:ascii="Arial" w:hAnsi="Arial" w:cs="Arial"/>
        </w:rPr>
      </w:pPr>
    </w:p>
    <w:p w14:paraId="53D4C566" w14:textId="77777777" w:rsidR="00D11A11" w:rsidRDefault="00D11A11" w:rsidP="00D11A11">
      <w:pPr>
        <w:jc w:val="both"/>
        <w:rPr>
          <w:rFonts w:ascii="Arial" w:hAnsi="Arial" w:cs="Arial"/>
        </w:rPr>
      </w:pPr>
    </w:p>
    <w:p w14:paraId="24A5C1AF" w14:textId="77777777" w:rsidR="00D11A11" w:rsidRDefault="00D11A11" w:rsidP="00D11A11">
      <w:pPr>
        <w:jc w:val="both"/>
        <w:rPr>
          <w:rFonts w:ascii="Arial" w:hAnsi="Arial" w:cs="Arial"/>
        </w:rPr>
      </w:pPr>
    </w:p>
    <w:p w14:paraId="06041212" w14:textId="77777777" w:rsidR="00D11A11" w:rsidRDefault="00D11A11" w:rsidP="00D11A11">
      <w:pPr>
        <w:jc w:val="both"/>
        <w:rPr>
          <w:rFonts w:ascii="Arial" w:hAnsi="Arial" w:cs="Arial"/>
        </w:rPr>
      </w:pPr>
    </w:p>
    <w:p w14:paraId="6535F88E" w14:textId="77777777" w:rsidR="00D11A11" w:rsidRDefault="00D11A11" w:rsidP="00D11A11">
      <w:pPr>
        <w:jc w:val="both"/>
        <w:rPr>
          <w:rFonts w:ascii="Arial" w:hAnsi="Arial" w:cs="Arial"/>
        </w:rPr>
      </w:pPr>
    </w:p>
    <w:p w14:paraId="628D4C61" w14:textId="77777777" w:rsidR="00D11A11" w:rsidRDefault="00D11A11" w:rsidP="00D11A11">
      <w:pPr>
        <w:jc w:val="both"/>
        <w:rPr>
          <w:rFonts w:ascii="Arial" w:hAnsi="Arial" w:cs="Arial"/>
        </w:rPr>
      </w:pPr>
    </w:p>
    <w:p w14:paraId="61B81B8C" w14:textId="77777777" w:rsidR="00D11A11" w:rsidRDefault="00D11A11" w:rsidP="00D11A11">
      <w:pPr>
        <w:jc w:val="both"/>
        <w:rPr>
          <w:rFonts w:ascii="Arial" w:hAnsi="Arial" w:cs="Arial"/>
        </w:rPr>
      </w:pPr>
    </w:p>
    <w:p w14:paraId="6F05C2CB" w14:textId="77777777" w:rsidR="00D11A11" w:rsidRDefault="00D11A11" w:rsidP="00D11A11">
      <w:pPr>
        <w:jc w:val="both"/>
        <w:rPr>
          <w:rFonts w:ascii="Arial" w:hAnsi="Arial" w:cs="Arial"/>
        </w:rPr>
      </w:pPr>
    </w:p>
    <w:p w14:paraId="4B0EC607" w14:textId="77777777" w:rsidR="00D11A11" w:rsidRDefault="00D11A11" w:rsidP="00D11A11">
      <w:pPr>
        <w:jc w:val="both"/>
        <w:rPr>
          <w:rFonts w:ascii="Arial" w:hAnsi="Arial" w:cs="Arial"/>
        </w:rPr>
      </w:pPr>
    </w:p>
    <w:p w14:paraId="10CFE41F" w14:textId="77777777" w:rsidR="00D11A11" w:rsidRDefault="00D11A11" w:rsidP="00D11A11">
      <w:pPr>
        <w:jc w:val="both"/>
        <w:rPr>
          <w:rFonts w:ascii="Arial" w:hAnsi="Arial" w:cs="Arial"/>
        </w:rPr>
      </w:pPr>
    </w:p>
    <w:p w14:paraId="126F2A1E" w14:textId="3A4B63CA" w:rsidR="00D11A11" w:rsidRDefault="00D11A11" w:rsidP="00D11A11">
      <w:pPr>
        <w:jc w:val="both"/>
        <w:rPr>
          <w:rFonts w:ascii="Arial" w:hAnsi="Arial" w:cs="Arial"/>
        </w:rPr>
      </w:pPr>
    </w:p>
    <w:p w14:paraId="5258C476" w14:textId="77777777" w:rsidR="00D11A11" w:rsidRDefault="00D11A11" w:rsidP="00D11A11">
      <w:pPr>
        <w:jc w:val="both"/>
        <w:rPr>
          <w:rFonts w:ascii="Arial" w:hAnsi="Arial" w:cs="Arial"/>
        </w:rPr>
      </w:pPr>
    </w:p>
    <w:p w14:paraId="4DAF84DC" w14:textId="77777777" w:rsidR="00D11A11" w:rsidRPr="00F61378" w:rsidRDefault="00D11A11" w:rsidP="00F61378">
      <w:pPr>
        <w:spacing w:line="360" w:lineRule="auto"/>
        <w:jc w:val="both"/>
        <w:rPr>
          <w:rFonts w:ascii="Arial" w:hAnsi="Arial" w:cs="Arial"/>
          <w:b/>
          <w:bCs/>
          <w:sz w:val="24"/>
          <w:szCs w:val="24"/>
        </w:rPr>
      </w:pPr>
      <w:r w:rsidRPr="00F61378">
        <w:rPr>
          <w:rFonts w:ascii="Arial" w:hAnsi="Arial" w:cs="Arial"/>
          <w:b/>
          <w:bCs/>
          <w:sz w:val="24"/>
          <w:szCs w:val="24"/>
        </w:rPr>
        <w:t>Introduction</w:t>
      </w:r>
    </w:p>
    <w:p w14:paraId="6188BC18" w14:textId="5B454741"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Riviera Hotel in Torquay offers accommodations of 145 well-appointed, an-suite guestrooms (Riviera Hotel, 2022). The hotel is just a short walk away from the beaches with dazzling blue water and all else the English Riviera and surrounding areas have to offer (</w:t>
      </w:r>
      <w:proofErr w:type="spellStart"/>
      <w:r w:rsidRPr="00F61378">
        <w:rPr>
          <w:rFonts w:ascii="Arial" w:hAnsi="Arial" w:cs="Arial"/>
          <w:sz w:val="24"/>
          <w:szCs w:val="24"/>
          <w:shd w:val="clear" w:color="auto" w:fill="FFFFFF"/>
        </w:rPr>
        <w:t>Tripadvisor</w:t>
      </w:r>
      <w:proofErr w:type="spellEnd"/>
      <w:r w:rsidRPr="00F61378">
        <w:rPr>
          <w:rFonts w:ascii="Arial" w:hAnsi="Arial" w:cs="Arial"/>
          <w:sz w:val="24"/>
          <w:szCs w:val="24"/>
          <w:shd w:val="clear" w:color="auto" w:fill="FFFFFF"/>
        </w:rPr>
        <w:t>, 2022). Although employees enjoy working at Riviera Hotel (Indeed, 2022), and jobs are better paid than at other companies in the area (Indeed, 2022), the Hotel still deals with staff shortage. Addressing staff shortage is more important now than before, as the hospitality industry has suffered the great resignation and business closer during the pandemic (Career Group Companies, 2022). Brexit and legal reforms also resulted in the loss of many workers (Stint, 2021). All these events have changed employees’ trends and expectations, meaning that employers must find out what employees need and want to motivate them, keep them engaged and retain them. This can either be higher wages, flexible hours for workers with family, tools to support and make their jobs easier or a better work environment (</w:t>
      </w:r>
      <w:proofErr w:type="spellStart"/>
      <w:r w:rsidRPr="00F61378">
        <w:rPr>
          <w:rFonts w:ascii="Arial" w:hAnsi="Arial" w:cs="Arial"/>
          <w:sz w:val="24"/>
          <w:szCs w:val="24"/>
          <w:shd w:val="clear" w:color="auto" w:fill="FFFFFF"/>
        </w:rPr>
        <w:t>BMAGroup</w:t>
      </w:r>
      <w:proofErr w:type="spellEnd"/>
      <w:r w:rsidRPr="00F61378">
        <w:rPr>
          <w:rFonts w:ascii="Arial" w:hAnsi="Arial" w:cs="Arial"/>
          <w:sz w:val="24"/>
          <w:szCs w:val="24"/>
          <w:shd w:val="clear" w:color="auto" w:fill="FFFFFF"/>
        </w:rPr>
        <w:t>, 2022). Before Riviera Hotel makes any changes, it needs to find out how engaged the workers are, and what they expect from the company, what motivates them to be more involved in the hotel’s goals and mission (</w:t>
      </w:r>
      <w:proofErr w:type="spellStart"/>
      <w:r w:rsidRPr="00F61378">
        <w:rPr>
          <w:rFonts w:ascii="Arial" w:hAnsi="Arial" w:cs="Arial"/>
          <w:sz w:val="24"/>
          <w:szCs w:val="24"/>
          <w:shd w:val="clear" w:color="auto" w:fill="FFFFFF"/>
        </w:rPr>
        <w:t>Shrotryia</w:t>
      </w:r>
      <w:proofErr w:type="spellEnd"/>
      <w:r w:rsidRPr="00F61378">
        <w:rPr>
          <w:rFonts w:ascii="Arial" w:hAnsi="Arial" w:cs="Arial"/>
          <w:sz w:val="24"/>
          <w:szCs w:val="24"/>
          <w:shd w:val="clear" w:color="auto" w:fill="FFFFFF"/>
        </w:rPr>
        <w:t xml:space="preserve"> and Dhanda, 2020), and what will make them stay with Riviera Hotel. The best way to find this out is through a questionnaire and a follow up action planned carried out by great managers.</w:t>
      </w:r>
    </w:p>
    <w:p w14:paraId="0BCB68D3" w14:textId="77777777" w:rsidR="00D11A11" w:rsidRPr="00F61378" w:rsidRDefault="00D11A11" w:rsidP="00F61378">
      <w:pPr>
        <w:spacing w:line="360" w:lineRule="auto"/>
        <w:jc w:val="both"/>
        <w:rPr>
          <w:rFonts w:ascii="Arial" w:hAnsi="Arial" w:cs="Arial"/>
          <w:sz w:val="24"/>
          <w:szCs w:val="24"/>
          <w:shd w:val="clear" w:color="auto" w:fill="FFFFFF"/>
        </w:rPr>
      </w:pPr>
    </w:p>
    <w:p w14:paraId="55A4CC32" w14:textId="77777777" w:rsidR="00D11A11" w:rsidRPr="00F61378" w:rsidRDefault="00D11A11" w:rsidP="00F61378">
      <w:pPr>
        <w:spacing w:line="360" w:lineRule="auto"/>
        <w:jc w:val="both"/>
        <w:rPr>
          <w:rFonts w:ascii="Arial" w:hAnsi="Arial" w:cs="Arial"/>
          <w:b/>
          <w:bCs/>
          <w:sz w:val="24"/>
          <w:szCs w:val="24"/>
          <w:shd w:val="clear" w:color="auto" w:fill="FFFFFF"/>
        </w:rPr>
      </w:pPr>
      <w:r w:rsidRPr="00F61378">
        <w:rPr>
          <w:rFonts w:ascii="Arial" w:hAnsi="Arial" w:cs="Arial"/>
          <w:b/>
          <w:bCs/>
          <w:sz w:val="24"/>
          <w:szCs w:val="24"/>
          <w:shd w:val="clear" w:color="auto" w:fill="FFFFFF"/>
        </w:rPr>
        <w:t>Main findings</w:t>
      </w:r>
    </w:p>
    <w:p w14:paraId="2E3A6E16" w14:textId="39828CC4"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 xml:space="preserve">Gallup's 12 question questionnaire has been shown to be the most effective method of measuring employee engagement (Harter, 2020). The twelve questions are based on the twelve needs an employee has that manager must meet. Each of the 12 employee engagement questions falls into one of the four stages of the employee development requirements pyramid. The stages do not correspond to phases. Managers must guarantee that employees' demands on stage one is addressed first, then continue to meet their needs on the second, third, and fourth stages. The subsequent tiers will not follow unless </w:t>
      </w:r>
      <w:proofErr w:type="gramStart"/>
      <w:r w:rsidRPr="00F61378">
        <w:rPr>
          <w:rFonts w:ascii="Arial" w:hAnsi="Arial" w:cs="Arial"/>
          <w:sz w:val="24"/>
          <w:szCs w:val="24"/>
          <w:shd w:val="clear" w:color="auto" w:fill="FFFFFF"/>
        </w:rPr>
        <w:t>basic necessities</w:t>
      </w:r>
      <w:proofErr w:type="gramEnd"/>
      <w:r w:rsidRPr="00F61378">
        <w:rPr>
          <w:rFonts w:ascii="Arial" w:hAnsi="Arial" w:cs="Arial"/>
          <w:sz w:val="24"/>
          <w:szCs w:val="24"/>
          <w:shd w:val="clear" w:color="auto" w:fill="FFFFFF"/>
        </w:rPr>
        <w:t xml:space="preserve"> are met (Workplace, 2022). Measuring workers involvement is essential because a high level of engagement will contribute to higher retention (Bhatnagar, </w:t>
      </w:r>
      <w:r w:rsidRPr="00F61378">
        <w:rPr>
          <w:rFonts w:ascii="Arial" w:hAnsi="Arial" w:cs="Arial"/>
          <w:i/>
          <w:iCs/>
          <w:sz w:val="24"/>
          <w:szCs w:val="24"/>
          <w:shd w:val="clear" w:color="auto" w:fill="FFFFFF"/>
        </w:rPr>
        <w:t xml:space="preserve">et al., </w:t>
      </w:r>
      <w:r w:rsidRPr="00F61378">
        <w:rPr>
          <w:rFonts w:ascii="Arial" w:hAnsi="Arial" w:cs="Arial"/>
          <w:sz w:val="24"/>
          <w:szCs w:val="24"/>
          <w:shd w:val="clear" w:color="auto" w:fill="FFFFFF"/>
        </w:rPr>
        <w:t xml:space="preserve">2007). </w:t>
      </w:r>
    </w:p>
    <w:p w14:paraId="129E0641" w14:textId="13841E8E" w:rsidR="00D11A11" w:rsidRPr="00F61378" w:rsidRDefault="0073112C" w:rsidP="00F61378">
      <w:pPr>
        <w:spacing w:line="360" w:lineRule="auto"/>
        <w:jc w:val="both"/>
        <w:rPr>
          <w:rFonts w:ascii="Arial" w:hAnsi="Arial" w:cs="Arial"/>
          <w:sz w:val="24"/>
          <w:szCs w:val="24"/>
          <w:u w:val="single"/>
          <w:shd w:val="clear" w:color="auto" w:fill="FFFFFF"/>
        </w:rPr>
      </w:pPr>
      <w:r w:rsidRPr="00F61378">
        <w:rPr>
          <w:noProof/>
        </w:rPr>
        <w:drawing>
          <wp:anchor distT="0" distB="0" distL="114300" distR="114300" simplePos="0" relativeHeight="251659264" behindDoc="1" locked="0" layoutInCell="1" allowOverlap="1" wp14:anchorId="145AB9CA" wp14:editId="3D5D2E72">
            <wp:simplePos x="0" y="0"/>
            <wp:positionH relativeFrom="margin">
              <wp:posOffset>1724025</wp:posOffset>
            </wp:positionH>
            <wp:positionV relativeFrom="margin">
              <wp:align>top</wp:align>
            </wp:positionV>
            <wp:extent cx="2197100" cy="1402715"/>
            <wp:effectExtent l="0" t="0" r="0" b="6985"/>
            <wp:wrapSquare wrapText="bothSides"/>
            <wp:docPr id="1" name="Picture 1"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hap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7100" cy="1402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62B14C" w14:textId="129FB234" w:rsidR="00D11A11" w:rsidRPr="00F61378" w:rsidRDefault="00D11A11" w:rsidP="00F61378">
      <w:pPr>
        <w:spacing w:line="360" w:lineRule="auto"/>
        <w:jc w:val="both"/>
        <w:rPr>
          <w:rFonts w:ascii="Arial" w:hAnsi="Arial" w:cs="Arial"/>
          <w:sz w:val="24"/>
          <w:szCs w:val="24"/>
          <w:u w:val="single"/>
          <w:shd w:val="clear" w:color="auto" w:fill="FFFFFF"/>
        </w:rPr>
      </w:pPr>
    </w:p>
    <w:p w14:paraId="0C38879B" w14:textId="264AAFC4" w:rsidR="00D11A11" w:rsidRPr="00F61378" w:rsidRDefault="00D11A11" w:rsidP="00F61378">
      <w:pPr>
        <w:spacing w:line="360" w:lineRule="auto"/>
        <w:jc w:val="both"/>
        <w:rPr>
          <w:rFonts w:ascii="Arial" w:hAnsi="Arial" w:cs="Arial"/>
          <w:sz w:val="24"/>
          <w:szCs w:val="24"/>
          <w:u w:val="single"/>
          <w:shd w:val="clear" w:color="auto" w:fill="FFFFFF"/>
        </w:rPr>
      </w:pPr>
    </w:p>
    <w:p w14:paraId="42E6E037" w14:textId="77777777" w:rsidR="00D11A11" w:rsidRPr="00F61378" w:rsidRDefault="00D11A11" w:rsidP="00F61378">
      <w:pPr>
        <w:spacing w:line="360" w:lineRule="auto"/>
        <w:jc w:val="both"/>
        <w:rPr>
          <w:rFonts w:ascii="Arial" w:hAnsi="Arial" w:cs="Arial"/>
          <w:sz w:val="24"/>
          <w:szCs w:val="24"/>
          <w:u w:val="single"/>
          <w:shd w:val="clear" w:color="auto" w:fill="FFFFFF"/>
        </w:rPr>
      </w:pPr>
    </w:p>
    <w:p w14:paraId="32DBE5BE" w14:textId="77777777" w:rsidR="00F61378" w:rsidRDefault="00F61378" w:rsidP="00F61378">
      <w:pPr>
        <w:spacing w:line="360" w:lineRule="auto"/>
        <w:jc w:val="both"/>
        <w:rPr>
          <w:rFonts w:ascii="Arial" w:hAnsi="Arial" w:cs="Arial"/>
          <w:sz w:val="24"/>
          <w:szCs w:val="24"/>
          <w:u w:val="single"/>
          <w:shd w:val="clear" w:color="auto" w:fill="FFFFFF"/>
        </w:rPr>
      </w:pPr>
    </w:p>
    <w:p w14:paraId="2E34836F" w14:textId="51FEB112" w:rsidR="00D11A11" w:rsidRPr="00F61378" w:rsidRDefault="00D11A11" w:rsidP="00F61378">
      <w:pPr>
        <w:spacing w:line="360" w:lineRule="auto"/>
        <w:jc w:val="both"/>
        <w:rPr>
          <w:rFonts w:ascii="Arial" w:hAnsi="Arial" w:cs="Arial"/>
          <w:sz w:val="24"/>
          <w:szCs w:val="24"/>
          <w:u w:val="single"/>
          <w:shd w:val="clear" w:color="auto" w:fill="FFFFFF"/>
        </w:rPr>
      </w:pPr>
      <w:r w:rsidRPr="00F61378">
        <w:rPr>
          <w:rFonts w:ascii="Arial" w:hAnsi="Arial" w:cs="Arial"/>
          <w:sz w:val="24"/>
          <w:szCs w:val="24"/>
          <w:u w:val="single"/>
          <w:shd w:val="clear" w:color="auto" w:fill="FFFFFF"/>
        </w:rPr>
        <w:t xml:space="preserve">Formats of questions </w:t>
      </w:r>
    </w:p>
    <w:p w14:paraId="2FA310EB" w14:textId="158122D3"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 xml:space="preserve">Before creating a questionnaire, one must first establish its purpose and then write specific questions based on that (Ekinci, 2015). It is better to plan the questionnaire by first determining what data needs to be collected and then crafting the questions. Writing poorly phrased questions may be misleading and the answers obtained may be worse than meaningless (Brace, 2008). Making certain that each question offers value and generates questionnaire responses that are directly related to the company objectives. The questions must be undertaken in a logical sequence and in a fair amount of time (Survey Monkey, 2022). To make it easy for respondents to react, questions should be straightforward and clear, without doubling them as that can lead to misunderstandings and inaccuracy in responses. Participants in the questionnaire can be asked to react on a five-point Likert scale ranging from 1 strongly agree to 5 strongly disagree. Response scales provide valuable data by capturing the direction and strength of attitudes. In comparison, categorical or binary response options, such as true/false or yes/no, offer less meaningful data (Pew Research </w:t>
      </w:r>
      <w:proofErr w:type="spellStart"/>
      <w:r w:rsidRPr="00F61378">
        <w:rPr>
          <w:rFonts w:ascii="Arial" w:hAnsi="Arial" w:cs="Arial"/>
          <w:sz w:val="24"/>
          <w:szCs w:val="24"/>
          <w:shd w:val="clear" w:color="auto" w:fill="FFFFFF"/>
        </w:rPr>
        <w:t>Center</w:t>
      </w:r>
      <w:proofErr w:type="spellEnd"/>
      <w:r w:rsidRPr="00F61378">
        <w:rPr>
          <w:rFonts w:ascii="Arial" w:hAnsi="Arial" w:cs="Arial"/>
          <w:sz w:val="24"/>
          <w:szCs w:val="24"/>
          <w:shd w:val="clear" w:color="auto" w:fill="FFFFFF"/>
        </w:rPr>
        <w:t>, 2022).</w:t>
      </w:r>
    </w:p>
    <w:p w14:paraId="1621A6A9" w14:textId="77777777" w:rsidR="00D11A11" w:rsidRPr="00F61378" w:rsidRDefault="00D11A11" w:rsidP="00F61378">
      <w:pPr>
        <w:spacing w:line="360" w:lineRule="auto"/>
        <w:jc w:val="both"/>
        <w:rPr>
          <w:rFonts w:ascii="Arial" w:hAnsi="Arial" w:cs="Arial"/>
          <w:sz w:val="24"/>
          <w:szCs w:val="24"/>
          <w:shd w:val="clear" w:color="auto" w:fill="FFFFFF"/>
        </w:rPr>
      </w:pPr>
    </w:p>
    <w:p w14:paraId="1DCCC7D0" w14:textId="77777777" w:rsidR="00D11A11" w:rsidRPr="00F61378" w:rsidRDefault="00D11A11" w:rsidP="00F61378">
      <w:pPr>
        <w:spacing w:line="360" w:lineRule="auto"/>
        <w:jc w:val="both"/>
        <w:rPr>
          <w:rFonts w:ascii="Arial" w:hAnsi="Arial" w:cs="Arial"/>
          <w:sz w:val="24"/>
          <w:szCs w:val="24"/>
          <w:u w:val="single"/>
          <w:shd w:val="clear" w:color="auto" w:fill="FFFFFF"/>
        </w:rPr>
      </w:pPr>
      <w:r w:rsidRPr="00F61378">
        <w:rPr>
          <w:rFonts w:ascii="Arial" w:hAnsi="Arial" w:cs="Arial"/>
          <w:sz w:val="24"/>
          <w:szCs w:val="24"/>
          <w:u w:val="single"/>
          <w:shd w:val="clear" w:color="auto" w:fill="FFFFFF"/>
        </w:rPr>
        <w:t>Questionnaires vs other methods</w:t>
      </w:r>
    </w:p>
    <w:p w14:paraId="541A3221" w14:textId="2403691A"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A questionnaire is the process of gathering, analysing, and interpreting data from many people (Smart Survey, 2022). In the case of the Riviera Hotel, the questionnaire aims to provide insights into engagement and areas where it falls short. Questionnaires are a faster, more efficient, and less expensive way of acquiring information than interviews, which are more expensive and time consuming. Interviews, on the other hand, can be more informative than questionnaires since they enable researchers to obtain nonverbal data (Green, 2017). When compared to other ways, such as face-to-face and over-the-phone interviewing, the ability to provide anonymity with a questionnaire is a considerable advantage, especially when the questions reach participants on sensitive subjects (</w:t>
      </w:r>
      <w:proofErr w:type="spellStart"/>
      <w:r w:rsidRPr="00F61378">
        <w:rPr>
          <w:rFonts w:ascii="Arial" w:hAnsi="Arial" w:cs="Arial"/>
          <w:sz w:val="24"/>
          <w:szCs w:val="24"/>
          <w:shd w:val="clear" w:color="auto" w:fill="FFFFFF"/>
        </w:rPr>
        <w:t>Pearlin</w:t>
      </w:r>
      <w:proofErr w:type="spellEnd"/>
      <w:r w:rsidRPr="00F61378">
        <w:rPr>
          <w:rFonts w:ascii="Arial" w:hAnsi="Arial" w:cs="Arial"/>
          <w:sz w:val="24"/>
          <w:szCs w:val="24"/>
          <w:shd w:val="clear" w:color="auto" w:fill="FFFFFF"/>
        </w:rPr>
        <w:t>, 1961). When participants are given anonymity, it instantly relaxes them and enables them to give an honest answer, which is ideal for obtaining a more precise and truthful image of the subject of inquiry, in this case employee engagement. To ensure the questionnaire is anonymous it should not include any questions that request the employee to provide personal information (Smart Survey, 2022). Anonymity not only relaxes the employees when taking part in the questionnaire, but it also protects the business by handling personal data under the new regulations. Sometimes the questionnaire may seem anonymous however it is not if the participant can be identified from any of the answers. Riviera Hotel can ensure that GDPR is being followed, by notifying employees about how their data will be used and the purpose of the questionnaire. GDPR requires businesses to acquire as little data as possible (</w:t>
      </w:r>
      <w:proofErr w:type="spellStart"/>
      <w:r w:rsidRPr="00F61378">
        <w:rPr>
          <w:rFonts w:ascii="Arial" w:hAnsi="Arial" w:cs="Arial"/>
          <w:sz w:val="24"/>
          <w:szCs w:val="24"/>
          <w:shd w:val="clear" w:color="auto" w:fill="FFFFFF"/>
        </w:rPr>
        <w:t>Netigate</w:t>
      </w:r>
      <w:proofErr w:type="spellEnd"/>
      <w:r w:rsidRPr="00F61378">
        <w:rPr>
          <w:rFonts w:ascii="Arial" w:hAnsi="Arial" w:cs="Arial"/>
          <w:sz w:val="24"/>
          <w:szCs w:val="24"/>
          <w:shd w:val="clear" w:color="auto" w:fill="FFFFFF"/>
        </w:rPr>
        <w:t xml:space="preserve">, 2021). </w:t>
      </w:r>
    </w:p>
    <w:p w14:paraId="31E3DDC4" w14:textId="77777777" w:rsidR="00D11A11" w:rsidRPr="00F61378" w:rsidRDefault="00D11A11" w:rsidP="00F61378">
      <w:pPr>
        <w:spacing w:line="360" w:lineRule="auto"/>
        <w:jc w:val="both"/>
        <w:rPr>
          <w:rFonts w:ascii="Arial" w:hAnsi="Arial" w:cs="Arial"/>
          <w:sz w:val="24"/>
          <w:szCs w:val="24"/>
          <w:shd w:val="clear" w:color="auto" w:fill="FFFFFF"/>
        </w:rPr>
      </w:pPr>
    </w:p>
    <w:p w14:paraId="0C020557" w14:textId="77777777" w:rsidR="00D11A11" w:rsidRPr="00F61378" w:rsidRDefault="00D11A11" w:rsidP="00F61378">
      <w:pPr>
        <w:spacing w:line="360" w:lineRule="auto"/>
        <w:jc w:val="both"/>
        <w:rPr>
          <w:rFonts w:ascii="Arial" w:hAnsi="Arial" w:cs="Arial"/>
          <w:sz w:val="24"/>
          <w:szCs w:val="24"/>
          <w:u w:val="single"/>
          <w:shd w:val="clear" w:color="auto" w:fill="FFFFFF"/>
        </w:rPr>
      </w:pPr>
      <w:r w:rsidRPr="00F61378">
        <w:rPr>
          <w:rFonts w:ascii="Arial" w:hAnsi="Arial" w:cs="Arial"/>
          <w:sz w:val="24"/>
          <w:szCs w:val="24"/>
          <w:u w:val="single"/>
          <w:shd w:val="clear" w:color="auto" w:fill="FFFFFF"/>
        </w:rPr>
        <w:t>Listening to employees</w:t>
      </w:r>
    </w:p>
    <w:p w14:paraId="44939CEB" w14:textId="0DBF8172"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Giving employees a greater say is an important component of employee engagement initiatives. Employee voice, in its most basic form, is the simplicity with which employees can share their thoughts to their employer, the amount of influence they have in effecting change, and the extent to which they believe they are listened to by Riviera Hotel. It refers to those who believe they are part of the solution, rather than the problem, and that they can speak openly about issues that concern them. It offers employees the impression that they are being heard and that their opinions are being considered in the decision-making process (Smart Survey, 2022). Staff who feel genuinely listened to and part of the group are more prone to stay with the company. Therefore, it is important to act upon the results of the questionnaire, so that employees feel that their voices are heard and not just listened to. If Riviera Hotel is willing to grow individuals based on their feedback, adjust work processes, enhance business culture, listen to suggestions, and strengthen the employee experience, employees will be more likely to stay with the company in the long run. Employee engagement and employee voice go side by side (Smart Survey, 2022). Employee engagement questionnaires can provide a frequent channel for employees to provide input to HR or managers. It assesses employee engagement and delves into the details of the issues. Based on the data, the hotel can develop strategies and launch activities. Conducting these on a regular basis provides the Hotel with more touchpoints as well as the opportunity to assess the outcomes and monitor how they improve over time (Jorgensen, 2020).</w:t>
      </w:r>
    </w:p>
    <w:p w14:paraId="06D5B2B5" w14:textId="77777777" w:rsidR="00D11A11" w:rsidRPr="00F61378" w:rsidRDefault="00D11A11" w:rsidP="00F61378">
      <w:pPr>
        <w:spacing w:line="360" w:lineRule="auto"/>
        <w:jc w:val="both"/>
        <w:rPr>
          <w:rFonts w:ascii="Arial" w:hAnsi="Arial" w:cs="Arial"/>
          <w:sz w:val="24"/>
          <w:szCs w:val="24"/>
          <w:shd w:val="clear" w:color="auto" w:fill="FFFFFF"/>
        </w:rPr>
      </w:pPr>
    </w:p>
    <w:p w14:paraId="6DF7B3B1" w14:textId="77777777" w:rsidR="00D11A11" w:rsidRPr="00F61378" w:rsidRDefault="00D11A11" w:rsidP="00F61378">
      <w:pPr>
        <w:spacing w:line="360" w:lineRule="auto"/>
        <w:jc w:val="both"/>
        <w:rPr>
          <w:rFonts w:ascii="Arial" w:hAnsi="Arial" w:cs="Arial"/>
          <w:sz w:val="24"/>
          <w:szCs w:val="24"/>
          <w:u w:val="single"/>
          <w:shd w:val="clear" w:color="auto" w:fill="FFFFFF"/>
        </w:rPr>
      </w:pPr>
      <w:r w:rsidRPr="00F61378">
        <w:rPr>
          <w:rFonts w:ascii="Arial" w:hAnsi="Arial" w:cs="Arial"/>
          <w:sz w:val="24"/>
          <w:szCs w:val="24"/>
          <w:u w:val="single"/>
          <w:shd w:val="clear" w:color="auto" w:fill="FFFFFF"/>
        </w:rPr>
        <w:t>Further actions</w:t>
      </w:r>
    </w:p>
    <w:p w14:paraId="20C68C9E" w14:textId="25FBF1D2" w:rsidR="00417496"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Thanking employees for answering the questionnaire and communicating the overall results can be done at a high level at first, focusing on the most positive and unfavourable areas and high-level next moves. Then, determining which engagement-related initiatives will have the greatest impact on both employees and the hotel.</w:t>
      </w:r>
      <w:r w:rsidRPr="00F61378">
        <w:t xml:space="preserve"> </w:t>
      </w:r>
      <w:r w:rsidRPr="00F61378">
        <w:rPr>
          <w:rFonts w:ascii="Arial" w:hAnsi="Arial" w:cs="Arial"/>
          <w:sz w:val="24"/>
          <w:szCs w:val="24"/>
          <w:shd w:val="clear" w:color="auto" w:fill="FFFFFF"/>
        </w:rPr>
        <w:t>Informing employees that the manager is dedicated to making changes and explaining how they fit into overarching strategy and talent priorities. Then, creating a timeline and communication system that keeps employees informed of developments and making it clear how workers will be actively involved in the future (People Insight, 2022). The management should then prioritise the key few tasks that have the highest likelihood of improvement in this unique situation. Assuring that the emphasis is on areas that are directly related to the hotel's strategic aims. The management should next designate employees for each assignment, establish a delivery timeframe, and select dates for crucial follow-up meetings. Action planning for employee engagement is critical. Employees trust the system and believe that their manager appreciate them. When managers take engagement questionnaire results seriously and include workers in problem solving and follow through on action plans co-created in teamwork groups, employee engagement improves 12 times more than when managers do not (Insync, 2022).</w:t>
      </w:r>
    </w:p>
    <w:p w14:paraId="4D78CC3F" w14:textId="77777777" w:rsidR="0073112C" w:rsidRPr="00F61378" w:rsidRDefault="0073112C" w:rsidP="00F61378">
      <w:pPr>
        <w:spacing w:line="360" w:lineRule="auto"/>
        <w:jc w:val="both"/>
        <w:rPr>
          <w:rFonts w:ascii="Arial" w:hAnsi="Arial" w:cs="Arial"/>
          <w:sz w:val="24"/>
          <w:szCs w:val="24"/>
          <w:shd w:val="clear" w:color="auto" w:fill="FFFFFF"/>
        </w:rPr>
      </w:pPr>
    </w:p>
    <w:p w14:paraId="607F33C6" w14:textId="77777777"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b/>
          <w:bCs/>
          <w:sz w:val="24"/>
          <w:szCs w:val="24"/>
          <w:shd w:val="clear" w:color="auto" w:fill="FFFFFF"/>
        </w:rPr>
        <w:t xml:space="preserve">The connection between employee engagement and retention </w:t>
      </w:r>
    </w:p>
    <w:p w14:paraId="03EEE716" w14:textId="05C7448B"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 xml:space="preserve">The relationship between employee engagement and employee turnover suggests that higher levels of employee engagement result in lower levels of employee turnover. This is essential because it allows the HR at Riviera Hotel to establish a clear and defined target for action to reduce staff turnover and hence realise significant savings for the organisation (Smith and Macko, 2014). According to Lockwood (2006), staff who are most devoted perform 20 percent better and are 87 percent less likely to leave. Higher staff productivity and customer engagement levels, as well as revenue growth and higher operational and profit margins, are all essential organisational benefits related with increased levels of employee engagement (Christensen Hughes, </w:t>
      </w:r>
      <w:r w:rsidRPr="00F61378">
        <w:rPr>
          <w:rFonts w:ascii="Arial" w:hAnsi="Arial" w:cs="Arial"/>
          <w:i/>
          <w:iCs/>
          <w:sz w:val="24"/>
          <w:szCs w:val="24"/>
          <w:shd w:val="clear" w:color="auto" w:fill="FFFFFF"/>
        </w:rPr>
        <w:t>et al.</w:t>
      </w:r>
      <w:r w:rsidRPr="00F61378">
        <w:rPr>
          <w:rFonts w:ascii="Arial" w:hAnsi="Arial" w:cs="Arial"/>
          <w:sz w:val="24"/>
          <w:szCs w:val="24"/>
          <w:shd w:val="clear" w:color="auto" w:fill="FFFFFF"/>
        </w:rPr>
        <w:t xml:space="preserve"> 2008).</w:t>
      </w:r>
      <w:r w:rsidR="00F61378" w:rsidRPr="00F61378">
        <w:rPr>
          <w:rFonts w:ascii="Arial" w:hAnsi="Arial" w:cs="Arial"/>
          <w:sz w:val="24"/>
          <w:szCs w:val="24"/>
          <w:shd w:val="clear" w:color="auto" w:fill="FFFFFF"/>
        </w:rPr>
        <w:t xml:space="preserve"> </w:t>
      </w:r>
      <w:r w:rsidRPr="00F61378">
        <w:rPr>
          <w:rFonts w:ascii="Arial" w:hAnsi="Arial" w:cs="Arial"/>
          <w:sz w:val="24"/>
          <w:szCs w:val="24"/>
          <w:shd w:val="clear" w:color="auto" w:fill="FFFFFF"/>
        </w:rPr>
        <w:t xml:space="preserve">Recruitment and retention have long been acknowledged as major difficulties in the hotel business. To change this, managers must have good skills in different subjects such as communication, the ability to deal with changes effectively, people management and mentoring, and of course patience and the ability to motivate. According to research, managers account for 70 percent of the difference in employee engagement. Management is thought to be a predictor of employee engagement because of the amount of influence a manager has on how people view their work. Furthermore, it has been stated that the quality of an employee's relationship with his or her management is what affects the total level of employee engagement (Book, </w:t>
      </w:r>
      <w:r w:rsidRPr="00F61378">
        <w:rPr>
          <w:rFonts w:ascii="Arial" w:hAnsi="Arial" w:cs="Arial"/>
          <w:i/>
          <w:iCs/>
          <w:sz w:val="24"/>
          <w:szCs w:val="24"/>
          <w:shd w:val="clear" w:color="auto" w:fill="FFFFFF"/>
        </w:rPr>
        <w:t>et al.</w:t>
      </w:r>
      <w:r w:rsidRPr="00F61378">
        <w:rPr>
          <w:rFonts w:ascii="Arial" w:hAnsi="Arial" w:cs="Arial"/>
          <w:sz w:val="24"/>
          <w:szCs w:val="24"/>
          <w:shd w:val="clear" w:color="auto" w:fill="FFFFFF"/>
        </w:rPr>
        <w:t xml:space="preserve"> 2019). In other words, Riviera Hotel must have people with great skills in the management role, who then will know what actions to take in the wake of the questionnaire results. Managers with strong interpersonal skills can keep employees interested and motivated to stay with the organisation.</w:t>
      </w:r>
    </w:p>
    <w:p w14:paraId="7F23E645" w14:textId="77777777" w:rsidR="00D11A11" w:rsidRPr="00F61378" w:rsidRDefault="00D11A11" w:rsidP="00F61378">
      <w:pPr>
        <w:spacing w:line="360" w:lineRule="auto"/>
        <w:jc w:val="both"/>
        <w:rPr>
          <w:rFonts w:ascii="Arial" w:hAnsi="Arial" w:cs="Arial"/>
          <w:sz w:val="24"/>
          <w:szCs w:val="24"/>
          <w:shd w:val="clear" w:color="auto" w:fill="FFFFFF"/>
        </w:rPr>
      </w:pPr>
    </w:p>
    <w:p w14:paraId="1F45D683" w14:textId="77777777" w:rsidR="00D11A11" w:rsidRPr="00F61378" w:rsidRDefault="00D11A11" w:rsidP="00F61378">
      <w:pPr>
        <w:spacing w:line="360" w:lineRule="auto"/>
        <w:jc w:val="both"/>
        <w:rPr>
          <w:rFonts w:ascii="Arial" w:hAnsi="Arial" w:cs="Arial"/>
          <w:b/>
          <w:bCs/>
          <w:sz w:val="24"/>
          <w:szCs w:val="24"/>
          <w:shd w:val="clear" w:color="auto" w:fill="FFFFFF"/>
        </w:rPr>
      </w:pPr>
      <w:r w:rsidRPr="00F61378">
        <w:rPr>
          <w:rFonts w:ascii="Arial" w:hAnsi="Arial" w:cs="Arial"/>
          <w:b/>
          <w:bCs/>
          <w:sz w:val="24"/>
          <w:szCs w:val="24"/>
          <w:shd w:val="clear" w:color="auto" w:fill="FFFFFF"/>
        </w:rPr>
        <w:t>Conclusion</w:t>
      </w:r>
    </w:p>
    <w:p w14:paraId="5543135D" w14:textId="77777777" w:rsidR="00D11A11" w:rsidRPr="00F61378" w:rsidRDefault="00D11A11" w:rsidP="00F61378">
      <w:pPr>
        <w:spacing w:line="360" w:lineRule="auto"/>
        <w:jc w:val="both"/>
        <w:rPr>
          <w:rFonts w:ascii="Arial" w:hAnsi="Arial" w:cs="Arial"/>
          <w:sz w:val="24"/>
          <w:szCs w:val="24"/>
          <w:shd w:val="clear" w:color="auto" w:fill="FFFFFF"/>
        </w:rPr>
      </w:pPr>
      <w:r w:rsidRPr="00F61378">
        <w:rPr>
          <w:rFonts w:ascii="Arial" w:hAnsi="Arial" w:cs="Arial"/>
          <w:sz w:val="24"/>
          <w:szCs w:val="24"/>
          <w:shd w:val="clear" w:color="auto" w:fill="FFFFFF"/>
        </w:rPr>
        <w:t xml:space="preserve">To retain staff at Riviera Hotel, the HR manager must address employee engagement to find out the new trends that employees need or are looking for and the specific areas where engagement lacks. Measuring engagement through a questionnaire will save time and money and can be useful long term because data can be compared with new data from future engagement measures, therefore the hotel can constantly improve and keep track of how engaged the employees are. The HR manager must take great care when creating the questionnaire, meaning the wording of the questions must be clear and easy to understand and each question must ask one thing at a time. Failure of this can lead to employees being confused and the results of the questionnaire being compromised. The Hotel manager must ensure that the new regulations of GDPR are being followed and that staff members are assured that the questionnaire is anonymous. This is beneficial because employees will give more truthful answers. Following the completion of the questionnaire, a superb employee engagement action plan will help the hotel to make genuine change. Employees do not get disinterested in questionnaires; rather, they feel disillusioned by insufficient progress. Employee engagement, retention, and management performance all link with each other. Meaning that managers with good skills can keep employees engaged who then want to remain with the company. </w:t>
      </w:r>
    </w:p>
    <w:p w14:paraId="094AC455" w14:textId="77777777" w:rsidR="00D11A11" w:rsidRDefault="00D11A11" w:rsidP="00D11A11">
      <w:pPr>
        <w:spacing w:line="360" w:lineRule="auto"/>
        <w:jc w:val="both"/>
        <w:rPr>
          <w:rFonts w:ascii="Arial" w:hAnsi="Arial" w:cs="Arial"/>
          <w:color w:val="4D5156"/>
          <w:sz w:val="21"/>
          <w:szCs w:val="21"/>
          <w:shd w:val="clear" w:color="auto" w:fill="FFFFFF"/>
        </w:rPr>
      </w:pPr>
    </w:p>
    <w:p w14:paraId="79FB644B" w14:textId="77777777" w:rsidR="009326CC" w:rsidRDefault="009326CC" w:rsidP="009326CC">
      <w:pPr>
        <w:pStyle w:val="Bibliography"/>
        <w:jc w:val="both"/>
        <w:rPr>
          <w:rFonts w:ascii="Arial" w:hAnsi="Arial" w:cs="Arial"/>
          <w:b/>
          <w:bCs/>
          <w:sz w:val="24"/>
          <w:szCs w:val="24"/>
        </w:rPr>
      </w:pPr>
    </w:p>
    <w:p w14:paraId="04051EFF" w14:textId="77777777" w:rsidR="009326CC" w:rsidRDefault="009326CC" w:rsidP="009326CC">
      <w:pPr>
        <w:pStyle w:val="Bibliography"/>
        <w:jc w:val="both"/>
        <w:rPr>
          <w:rFonts w:ascii="Arial" w:hAnsi="Arial" w:cs="Arial"/>
          <w:b/>
          <w:bCs/>
          <w:sz w:val="24"/>
          <w:szCs w:val="24"/>
        </w:rPr>
      </w:pPr>
    </w:p>
    <w:p w14:paraId="5F1FFB8E" w14:textId="77777777" w:rsidR="009326CC" w:rsidRDefault="009326CC" w:rsidP="009326CC">
      <w:pPr>
        <w:pStyle w:val="Bibliography"/>
        <w:jc w:val="both"/>
        <w:rPr>
          <w:rFonts w:ascii="Arial" w:hAnsi="Arial" w:cs="Arial"/>
          <w:b/>
          <w:bCs/>
          <w:sz w:val="24"/>
          <w:szCs w:val="24"/>
        </w:rPr>
      </w:pPr>
    </w:p>
    <w:p w14:paraId="1BDF343A" w14:textId="77777777" w:rsidR="009326CC" w:rsidRDefault="009326CC" w:rsidP="009326CC">
      <w:pPr>
        <w:pStyle w:val="Bibliography"/>
        <w:jc w:val="both"/>
        <w:rPr>
          <w:rFonts w:ascii="Arial" w:hAnsi="Arial" w:cs="Arial"/>
          <w:b/>
          <w:bCs/>
          <w:sz w:val="24"/>
          <w:szCs w:val="24"/>
        </w:rPr>
      </w:pPr>
    </w:p>
    <w:p w14:paraId="15ADDCAF" w14:textId="77777777" w:rsidR="009326CC" w:rsidRDefault="009326CC" w:rsidP="009326CC">
      <w:pPr>
        <w:pStyle w:val="Bibliography"/>
        <w:jc w:val="both"/>
        <w:rPr>
          <w:rFonts w:ascii="Arial" w:hAnsi="Arial" w:cs="Arial"/>
          <w:b/>
          <w:bCs/>
          <w:sz w:val="24"/>
          <w:szCs w:val="24"/>
        </w:rPr>
      </w:pPr>
    </w:p>
    <w:p w14:paraId="42E7498F" w14:textId="77777777" w:rsidR="009326CC" w:rsidRDefault="009326CC" w:rsidP="009326CC">
      <w:pPr>
        <w:pStyle w:val="Bibliography"/>
        <w:jc w:val="both"/>
        <w:rPr>
          <w:rFonts w:ascii="Arial" w:hAnsi="Arial" w:cs="Arial"/>
          <w:b/>
          <w:bCs/>
          <w:sz w:val="24"/>
          <w:szCs w:val="24"/>
        </w:rPr>
      </w:pPr>
    </w:p>
    <w:p w14:paraId="4F0A7782" w14:textId="77777777" w:rsidR="009326CC" w:rsidRDefault="009326CC" w:rsidP="009326CC">
      <w:pPr>
        <w:pStyle w:val="Bibliography"/>
        <w:jc w:val="both"/>
        <w:rPr>
          <w:rFonts w:ascii="Arial" w:hAnsi="Arial" w:cs="Arial"/>
          <w:b/>
          <w:bCs/>
          <w:sz w:val="24"/>
          <w:szCs w:val="24"/>
        </w:rPr>
      </w:pPr>
    </w:p>
    <w:p w14:paraId="551CC6BC" w14:textId="77777777" w:rsidR="009326CC" w:rsidRDefault="009326CC" w:rsidP="009326CC">
      <w:pPr>
        <w:pStyle w:val="Bibliography"/>
        <w:jc w:val="both"/>
        <w:rPr>
          <w:rFonts w:ascii="Arial" w:hAnsi="Arial" w:cs="Arial"/>
          <w:b/>
          <w:bCs/>
          <w:sz w:val="24"/>
          <w:szCs w:val="24"/>
        </w:rPr>
      </w:pPr>
    </w:p>
    <w:p w14:paraId="5C188F15" w14:textId="050AC286" w:rsidR="009326CC" w:rsidRDefault="009326CC" w:rsidP="009326CC">
      <w:pPr>
        <w:pStyle w:val="Bibliography"/>
        <w:jc w:val="both"/>
        <w:rPr>
          <w:rFonts w:ascii="Arial" w:hAnsi="Arial" w:cs="Arial"/>
          <w:b/>
          <w:bCs/>
          <w:sz w:val="24"/>
          <w:szCs w:val="24"/>
        </w:rPr>
      </w:pPr>
    </w:p>
    <w:p w14:paraId="08D54E4C" w14:textId="7A297540" w:rsidR="00F61378" w:rsidRDefault="00F61378" w:rsidP="00F61378"/>
    <w:p w14:paraId="23840892" w14:textId="1B49874F" w:rsidR="00F61378" w:rsidRDefault="00F61378" w:rsidP="00F61378"/>
    <w:p w14:paraId="6ED89300" w14:textId="058C54C6" w:rsidR="00F61378" w:rsidRDefault="00F61378" w:rsidP="00F61378"/>
    <w:p w14:paraId="739CE773" w14:textId="65681778" w:rsidR="00F61378" w:rsidRDefault="00F61378" w:rsidP="00F61378"/>
    <w:p w14:paraId="655937A0" w14:textId="2AB7D795" w:rsidR="00F61378" w:rsidRDefault="00F61378" w:rsidP="00F61378"/>
    <w:p w14:paraId="69D63C87" w14:textId="5ADCF93B" w:rsidR="00F61378" w:rsidRDefault="00F61378" w:rsidP="00F61378"/>
    <w:p w14:paraId="6A5245BE" w14:textId="714A66C8" w:rsidR="00F61378" w:rsidRDefault="00F61378" w:rsidP="00F61378"/>
    <w:p w14:paraId="4E5601EA" w14:textId="54944034" w:rsidR="00F61378" w:rsidRDefault="00F61378" w:rsidP="00F61378"/>
    <w:p w14:paraId="566FEEB2" w14:textId="1F24FA68" w:rsidR="00F61378" w:rsidRDefault="00F61378" w:rsidP="00F61378"/>
    <w:p w14:paraId="68A73627" w14:textId="71D57638" w:rsidR="00F61378" w:rsidRDefault="00F61378" w:rsidP="00F61378"/>
    <w:p w14:paraId="25252C72" w14:textId="1E26CCAF" w:rsidR="00F61378" w:rsidRDefault="00F61378" w:rsidP="00F61378"/>
    <w:p w14:paraId="58B26492" w14:textId="2770FEB2" w:rsidR="009326CC" w:rsidRDefault="009326CC" w:rsidP="009326CC">
      <w:pPr>
        <w:pStyle w:val="Bibliography"/>
        <w:jc w:val="both"/>
        <w:rPr>
          <w:rFonts w:ascii="Arial" w:hAnsi="Arial" w:cs="Arial"/>
          <w:b/>
          <w:bCs/>
          <w:sz w:val="24"/>
          <w:szCs w:val="24"/>
        </w:rPr>
      </w:pPr>
    </w:p>
    <w:p w14:paraId="34E7CD41" w14:textId="73D93387" w:rsidR="00417496" w:rsidRDefault="00417496" w:rsidP="00417496"/>
    <w:p w14:paraId="6E9AC46A" w14:textId="426E18CF" w:rsidR="0073112C" w:rsidRDefault="0073112C" w:rsidP="00417496"/>
    <w:p w14:paraId="2EB30CB9" w14:textId="77777777" w:rsidR="0073112C" w:rsidRPr="00417496" w:rsidRDefault="0073112C" w:rsidP="00417496"/>
    <w:p w14:paraId="136092FF" w14:textId="77777777" w:rsidR="009326CC" w:rsidRDefault="009326CC" w:rsidP="009326CC">
      <w:pPr>
        <w:pStyle w:val="Bibliography"/>
        <w:jc w:val="both"/>
        <w:rPr>
          <w:rFonts w:ascii="Arial" w:hAnsi="Arial" w:cs="Arial"/>
          <w:b/>
          <w:bCs/>
          <w:sz w:val="24"/>
          <w:szCs w:val="24"/>
        </w:rPr>
      </w:pPr>
    </w:p>
    <w:p w14:paraId="285059B2" w14:textId="4EC91612" w:rsidR="009326CC" w:rsidRPr="009326CC" w:rsidRDefault="009326CC" w:rsidP="009326CC">
      <w:pPr>
        <w:pStyle w:val="Bibliography"/>
        <w:jc w:val="both"/>
        <w:rPr>
          <w:rFonts w:ascii="Arial" w:hAnsi="Arial" w:cs="Arial"/>
          <w:b/>
          <w:bCs/>
          <w:sz w:val="24"/>
          <w:szCs w:val="24"/>
        </w:rPr>
      </w:pPr>
      <w:r>
        <w:rPr>
          <w:rFonts w:ascii="Arial" w:hAnsi="Arial" w:cs="Arial"/>
          <w:b/>
          <w:bCs/>
          <w:sz w:val="24"/>
          <w:szCs w:val="24"/>
        </w:rPr>
        <w:t>Reference</w:t>
      </w:r>
    </w:p>
    <w:p w14:paraId="2794AB9B" w14:textId="4EF501BC" w:rsidR="009326CC" w:rsidRDefault="009326CC" w:rsidP="009326CC">
      <w:pPr>
        <w:pStyle w:val="Bibliography"/>
        <w:jc w:val="both"/>
        <w:rPr>
          <w:noProof/>
          <w:sz w:val="24"/>
          <w:szCs w:val="24"/>
          <w:lang w:val="en-US"/>
        </w:rPr>
      </w:pPr>
      <w:r>
        <w:fldChar w:fldCharType="begin"/>
      </w:r>
      <w:r>
        <w:instrText xml:space="preserve"> BIBLIOGRAPHY </w:instrText>
      </w:r>
      <w:r>
        <w:fldChar w:fldCharType="separate"/>
      </w:r>
      <w:r>
        <w:rPr>
          <w:noProof/>
          <w:lang w:val="en-US"/>
        </w:rPr>
        <w:t xml:space="preserve">Bhatnagar, J., Bhatnagar, J. &amp; Budhwar, P. S. (2007) Talent management strategy of employee engagement in Indian ITES employees: key to retention. </w:t>
      </w:r>
      <w:r>
        <w:rPr>
          <w:i/>
          <w:iCs/>
          <w:noProof/>
          <w:lang w:val="en-US"/>
        </w:rPr>
        <w:t xml:space="preserve">Employee relations, </w:t>
      </w:r>
      <w:r>
        <w:rPr>
          <w:noProof/>
          <w:lang w:val="en-US"/>
        </w:rPr>
        <w:t>29(6), pp. 640-663.</w:t>
      </w:r>
    </w:p>
    <w:p w14:paraId="0D882F08" w14:textId="77777777" w:rsidR="009326CC" w:rsidRDefault="009326CC" w:rsidP="009326CC">
      <w:pPr>
        <w:pStyle w:val="Bibliography"/>
        <w:jc w:val="both"/>
        <w:rPr>
          <w:noProof/>
          <w:lang w:val="en-US"/>
        </w:rPr>
      </w:pPr>
      <w:r>
        <w:rPr>
          <w:noProof/>
          <w:lang w:val="en-US"/>
        </w:rPr>
        <w:t xml:space="preserve">BMAGroup (2022) </w:t>
      </w:r>
      <w:r>
        <w:rPr>
          <w:i/>
          <w:iCs/>
          <w:noProof/>
          <w:lang w:val="en-US"/>
        </w:rPr>
        <w:t xml:space="preserve">TOP HIRING CHALLENGES FOR 2022: WHY IT’S SO HARD TO FILL JOBS RIGHT NOW. </w:t>
      </w:r>
      <w:r>
        <w:rPr>
          <w:noProof/>
          <w:lang w:val="en-US"/>
        </w:rPr>
        <w:br/>
        <w:t xml:space="preserve">Available at: </w:t>
      </w:r>
      <w:r w:rsidRPr="003B4060">
        <w:rPr>
          <w:noProof/>
          <w:lang w:val="en-US"/>
        </w:rPr>
        <w:t>https://brendamarreropr.com/top-hiring-challenges-for-2022-why-its-so-hard-to-fill-jobs-right-now/</w:t>
      </w:r>
      <w:r>
        <w:rPr>
          <w:noProof/>
          <w:lang w:val="en-US"/>
        </w:rPr>
        <w:t xml:space="preserve"> (Accessed: 30 June 2022).</w:t>
      </w:r>
    </w:p>
    <w:p w14:paraId="3C80F197" w14:textId="77777777" w:rsidR="009326CC" w:rsidRDefault="009326CC" w:rsidP="009326CC">
      <w:pPr>
        <w:pStyle w:val="Bibliography"/>
        <w:jc w:val="both"/>
        <w:rPr>
          <w:noProof/>
          <w:lang w:val="en-US"/>
        </w:rPr>
      </w:pPr>
      <w:r>
        <w:rPr>
          <w:noProof/>
          <w:lang w:val="en-US"/>
        </w:rPr>
        <w:t xml:space="preserve">Book, L., Gatling, A. &amp; Kim, J. (2019) The effects of leadership satisfaction on employee engagement, loyalty, and retention in the hospitality industry. </w:t>
      </w:r>
      <w:r>
        <w:rPr>
          <w:i/>
          <w:iCs/>
          <w:noProof/>
          <w:lang w:val="en-US"/>
        </w:rPr>
        <w:t xml:space="preserve">JOURNAL OF HUMAN RESOURCES IN HOSPITALITY AND TOURISM, </w:t>
      </w:r>
      <w:r>
        <w:rPr>
          <w:noProof/>
          <w:lang w:val="en-US"/>
        </w:rPr>
        <w:t>18(3), pp. 368-393.</w:t>
      </w:r>
    </w:p>
    <w:p w14:paraId="39C103B9" w14:textId="77777777" w:rsidR="009326CC" w:rsidRDefault="009326CC" w:rsidP="009326CC">
      <w:pPr>
        <w:pStyle w:val="Bibliography"/>
        <w:jc w:val="both"/>
        <w:rPr>
          <w:noProof/>
          <w:lang w:val="en-US"/>
        </w:rPr>
      </w:pPr>
      <w:r>
        <w:rPr>
          <w:noProof/>
          <w:lang w:val="en-US"/>
        </w:rPr>
        <w:t xml:space="preserve">Brace , I. (2008) </w:t>
      </w:r>
      <w:r>
        <w:rPr>
          <w:i/>
          <w:iCs/>
          <w:noProof/>
          <w:lang w:val="en-US"/>
        </w:rPr>
        <w:t xml:space="preserve">Questionnaire design how to plan, structure and write survey material for effective market research. </w:t>
      </w:r>
      <w:r>
        <w:rPr>
          <w:noProof/>
          <w:lang w:val="en-US"/>
        </w:rPr>
        <w:t>2nd ed. London: Kogan Page.</w:t>
      </w:r>
    </w:p>
    <w:p w14:paraId="3CB8B031" w14:textId="53476ED3" w:rsidR="009326CC" w:rsidRDefault="009326CC" w:rsidP="009326CC">
      <w:pPr>
        <w:pStyle w:val="Bibliography"/>
        <w:jc w:val="both"/>
        <w:rPr>
          <w:noProof/>
          <w:lang w:val="en-US"/>
        </w:rPr>
      </w:pPr>
      <w:r>
        <w:rPr>
          <w:noProof/>
          <w:lang w:val="en-US"/>
        </w:rPr>
        <w:t xml:space="preserve">Career Group Companies (2022) </w:t>
      </w:r>
      <w:r>
        <w:rPr>
          <w:i/>
          <w:iCs/>
          <w:noProof/>
          <w:lang w:val="en-US"/>
        </w:rPr>
        <w:t xml:space="preserve">Growing Hospitality Trends Affecting Hiring in 2022. </w:t>
      </w:r>
      <w:r>
        <w:rPr>
          <w:noProof/>
          <w:lang w:val="en-US"/>
        </w:rPr>
        <w:t xml:space="preserve">Available at: </w:t>
      </w:r>
      <w:r w:rsidRPr="003B4060">
        <w:rPr>
          <w:noProof/>
          <w:lang w:val="en-US"/>
        </w:rPr>
        <w:t>https://careergroupcompanies.com/growing-hospitality-trends-affecting-hiring-in-2022/</w:t>
      </w:r>
      <w:r>
        <w:rPr>
          <w:noProof/>
          <w:lang w:val="en-US"/>
        </w:rPr>
        <w:t xml:space="preserve"> (Accessed: 29 June 2022).</w:t>
      </w:r>
    </w:p>
    <w:p w14:paraId="144C156E" w14:textId="77777777" w:rsidR="009326CC" w:rsidRDefault="009326CC" w:rsidP="009326CC">
      <w:pPr>
        <w:pStyle w:val="Bibliography"/>
        <w:jc w:val="both"/>
        <w:rPr>
          <w:noProof/>
          <w:lang w:val="en-US"/>
        </w:rPr>
      </w:pPr>
      <w:r>
        <w:rPr>
          <w:noProof/>
          <w:lang w:val="en-US"/>
        </w:rPr>
        <w:t xml:space="preserve">Christensen Hughes, J., Rog, E. &amp; D'Annunzio‐Green, N. (2008) Talent management: A strategy for improving employee recruitment, retention and engagement within hospitality organizations. </w:t>
      </w:r>
      <w:r>
        <w:rPr>
          <w:i/>
          <w:iCs/>
          <w:noProof/>
          <w:lang w:val="en-US"/>
        </w:rPr>
        <w:t xml:space="preserve">International journal of contemporary hospitality management, </w:t>
      </w:r>
      <w:r>
        <w:rPr>
          <w:noProof/>
          <w:lang w:val="en-US"/>
        </w:rPr>
        <w:t>20(7), pp. 743-757.</w:t>
      </w:r>
    </w:p>
    <w:p w14:paraId="45DED754" w14:textId="77777777" w:rsidR="009326CC" w:rsidRDefault="009326CC" w:rsidP="009326CC">
      <w:pPr>
        <w:pStyle w:val="Bibliography"/>
        <w:jc w:val="both"/>
        <w:rPr>
          <w:noProof/>
          <w:lang w:val="en-US"/>
        </w:rPr>
      </w:pPr>
      <w:r>
        <w:rPr>
          <w:noProof/>
          <w:lang w:val="en-US"/>
        </w:rPr>
        <w:t xml:space="preserve">Ekinci, Y. (2015) </w:t>
      </w:r>
      <w:r>
        <w:rPr>
          <w:i/>
          <w:iCs/>
          <w:noProof/>
          <w:lang w:val="en-US"/>
        </w:rPr>
        <w:t xml:space="preserve">Designing research questionnaires for business and management students. </w:t>
      </w:r>
      <w:r>
        <w:rPr>
          <w:noProof/>
          <w:lang w:val="en-US"/>
        </w:rPr>
        <w:t>1st ed. London: SAGE.</w:t>
      </w:r>
    </w:p>
    <w:p w14:paraId="10F79E77" w14:textId="62041FDE" w:rsidR="009326CC" w:rsidRDefault="009326CC" w:rsidP="009326CC">
      <w:pPr>
        <w:pStyle w:val="Bibliography"/>
        <w:jc w:val="both"/>
        <w:rPr>
          <w:noProof/>
          <w:lang w:val="en-US"/>
        </w:rPr>
      </w:pPr>
      <w:r>
        <w:rPr>
          <w:noProof/>
          <w:lang w:val="en-US"/>
        </w:rPr>
        <w:t xml:space="preserve">Green, A. (2017) </w:t>
      </w:r>
      <w:r>
        <w:rPr>
          <w:i/>
          <w:iCs/>
          <w:noProof/>
          <w:lang w:val="en-US"/>
        </w:rPr>
        <w:t xml:space="preserve">The Advantages of an Interview Over a Questionnaire. </w:t>
      </w:r>
      <w:r>
        <w:rPr>
          <w:noProof/>
          <w:lang w:val="en-US"/>
        </w:rPr>
        <w:t xml:space="preserve">Available at: </w:t>
      </w:r>
      <w:r w:rsidRPr="003B4060">
        <w:rPr>
          <w:noProof/>
          <w:lang w:val="en-US"/>
        </w:rPr>
        <w:t>https://bizfluent.com/info-8220458-advantages-interview-over-questionnaire.html</w:t>
      </w:r>
      <w:r>
        <w:rPr>
          <w:noProof/>
          <w:lang w:val="en-US"/>
        </w:rPr>
        <w:t xml:space="preserve"> (Accessed: 03 July 2022).</w:t>
      </w:r>
    </w:p>
    <w:p w14:paraId="0686F2C2" w14:textId="77777777" w:rsidR="009326CC" w:rsidRDefault="009326CC" w:rsidP="009326CC">
      <w:pPr>
        <w:pStyle w:val="Bibliography"/>
        <w:jc w:val="both"/>
        <w:rPr>
          <w:noProof/>
          <w:lang w:val="en-US"/>
        </w:rPr>
      </w:pPr>
      <w:r>
        <w:rPr>
          <w:noProof/>
          <w:lang w:val="en-US"/>
        </w:rPr>
        <w:t xml:space="preserve">Harter, J. (2020) </w:t>
      </w:r>
      <w:r>
        <w:rPr>
          <w:i/>
          <w:iCs/>
          <w:noProof/>
          <w:lang w:val="en-US"/>
        </w:rPr>
        <w:t xml:space="preserve">What Makes Gallup’s Q12 the Best Employee Engagement Survey?. </w:t>
      </w:r>
      <w:r>
        <w:rPr>
          <w:noProof/>
          <w:lang w:val="en-US"/>
        </w:rPr>
        <w:t>(video)</w:t>
      </w:r>
      <w:r>
        <w:rPr>
          <w:noProof/>
          <w:lang w:val="en-US"/>
        </w:rPr>
        <w:br/>
        <w:t>Available at:</w:t>
      </w:r>
      <w:r w:rsidRPr="003B4060">
        <w:rPr>
          <w:noProof/>
          <w:lang w:val="en-US"/>
        </w:rPr>
        <w:t xml:space="preserve"> https://www.youtube.com/watch?v=RFlDM8a_9mk</w:t>
      </w:r>
      <w:r>
        <w:rPr>
          <w:noProof/>
          <w:lang w:val="en-US"/>
        </w:rPr>
        <w:t xml:space="preserve"> (Accessed: 03 July 2022).</w:t>
      </w:r>
    </w:p>
    <w:p w14:paraId="021BA072" w14:textId="3AE0ED80" w:rsidR="009326CC" w:rsidRDefault="009326CC" w:rsidP="009326CC">
      <w:pPr>
        <w:pStyle w:val="Bibliography"/>
        <w:jc w:val="both"/>
        <w:rPr>
          <w:noProof/>
          <w:lang w:val="en-US"/>
        </w:rPr>
      </w:pPr>
      <w:r>
        <w:rPr>
          <w:noProof/>
          <w:lang w:val="en-US"/>
        </w:rPr>
        <w:t xml:space="preserve">Indeed (2022) </w:t>
      </w:r>
      <w:r>
        <w:rPr>
          <w:i/>
          <w:iCs/>
          <w:noProof/>
          <w:lang w:val="en-US"/>
        </w:rPr>
        <w:t>Hotel Riviera.</w:t>
      </w:r>
      <w:r>
        <w:rPr>
          <w:noProof/>
          <w:lang w:val="en-US"/>
        </w:rPr>
        <w:t xml:space="preserve"> Available at: </w:t>
      </w:r>
      <w:r w:rsidRPr="003B4060">
        <w:rPr>
          <w:noProof/>
          <w:lang w:val="en-US"/>
        </w:rPr>
        <w:t>https://uk.indeed.com/cmp/Hotel-Riviera/reviews</w:t>
      </w:r>
      <w:r>
        <w:rPr>
          <w:noProof/>
          <w:lang w:val="en-US"/>
        </w:rPr>
        <w:t xml:space="preserve"> (Accessed: 29 June 2022).</w:t>
      </w:r>
    </w:p>
    <w:p w14:paraId="78E6F014" w14:textId="02A83AFB" w:rsidR="009326CC" w:rsidRDefault="009326CC" w:rsidP="009326CC">
      <w:pPr>
        <w:pStyle w:val="Bibliography"/>
        <w:jc w:val="both"/>
        <w:rPr>
          <w:noProof/>
          <w:lang w:val="en-US"/>
        </w:rPr>
      </w:pPr>
      <w:r>
        <w:rPr>
          <w:noProof/>
          <w:lang w:val="en-US"/>
        </w:rPr>
        <w:t xml:space="preserve">Indeed (2022) </w:t>
      </w:r>
      <w:r>
        <w:rPr>
          <w:i/>
          <w:iCs/>
          <w:noProof/>
          <w:lang w:val="en-US"/>
        </w:rPr>
        <w:t xml:space="preserve">The Riviera hotel jobs in Torquay. </w:t>
      </w:r>
      <w:r>
        <w:rPr>
          <w:noProof/>
          <w:lang w:val="en-US"/>
        </w:rPr>
        <w:t xml:space="preserve"> Available at: </w:t>
      </w:r>
      <w:r w:rsidRPr="003B4060">
        <w:rPr>
          <w:noProof/>
          <w:lang w:val="en-US"/>
        </w:rPr>
        <w:t>https://uk.indeed.com/jobs?q=The%20Riviera%20hotel&amp;l=Torquay&amp;vjk=7fe7a830a8fa8339</w:t>
      </w:r>
      <w:r>
        <w:rPr>
          <w:noProof/>
          <w:lang w:val="en-US"/>
        </w:rPr>
        <w:t xml:space="preserve"> (Accessed: 29 June 2022).</w:t>
      </w:r>
    </w:p>
    <w:p w14:paraId="4E953816" w14:textId="28DB31E8" w:rsidR="009326CC" w:rsidRDefault="009326CC" w:rsidP="009326CC">
      <w:pPr>
        <w:pStyle w:val="Bibliography"/>
        <w:jc w:val="both"/>
        <w:rPr>
          <w:noProof/>
          <w:lang w:val="en-US"/>
        </w:rPr>
      </w:pPr>
      <w:r>
        <w:rPr>
          <w:noProof/>
          <w:lang w:val="en-US"/>
        </w:rPr>
        <w:t xml:space="preserve">Insync (2022) </w:t>
      </w:r>
      <w:r>
        <w:rPr>
          <w:i/>
          <w:iCs/>
          <w:noProof/>
          <w:lang w:val="en-US"/>
        </w:rPr>
        <w:t xml:space="preserve">How to action plan post employee survey. </w:t>
      </w:r>
      <w:r>
        <w:rPr>
          <w:noProof/>
          <w:lang w:val="en-US"/>
        </w:rPr>
        <w:t xml:space="preserve"> Available at: </w:t>
      </w:r>
      <w:r w:rsidRPr="005E1B83">
        <w:rPr>
          <w:noProof/>
          <w:lang w:val="en-US"/>
        </w:rPr>
        <w:t>https://insync.com.au/surveys-questionnaires/how-to-action-plan-post-employee-survey/</w:t>
      </w:r>
      <w:r>
        <w:rPr>
          <w:noProof/>
          <w:lang w:val="en-US"/>
        </w:rPr>
        <w:t xml:space="preserve"> (Accessed: 06 July 2022).</w:t>
      </w:r>
    </w:p>
    <w:p w14:paraId="4D958878" w14:textId="66337A5B" w:rsidR="009326CC" w:rsidRDefault="009326CC" w:rsidP="009326CC">
      <w:pPr>
        <w:pStyle w:val="Bibliography"/>
        <w:jc w:val="both"/>
        <w:rPr>
          <w:noProof/>
          <w:lang w:val="en-US"/>
        </w:rPr>
      </w:pPr>
      <w:r>
        <w:rPr>
          <w:noProof/>
          <w:lang w:val="en-US"/>
        </w:rPr>
        <w:t xml:space="preserve">Jorgensen, M. (2020) </w:t>
      </w:r>
      <w:r>
        <w:rPr>
          <w:i/>
          <w:iCs/>
          <w:noProof/>
          <w:lang w:val="en-US"/>
        </w:rPr>
        <w:t xml:space="preserve">8 benefits of regular employee engagement surveys. </w:t>
      </w:r>
      <w:r>
        <w:rPr>
          <w:noProof/>
          <w:lang w:val="en-US"/>
        </w:rPr>
        <w:t xml:space="preserve"> Available at:</w:t>
      </w:r>
      <w:r w:rsidRPr="005E1B83">
        <w:rPr>
          <w:noProof/>
          <w:lang w:val="en-US"/>
        </w:rPr>
        <w:t xml:space="preserve"> https://www.theaccessgroup.com/en-gb/blog/hcm-benefits-regular-employee-engagement-surveys/</w:t>
      </w:r>
      <w:r>
        <w:rPr>
          <w:noProof/>
          <w:lang w:val="en-US"/>
        </w:rPr>
        <w:t xml:space="preserve"> (Accessed: 05 July 2022).</w:t>
      </w:r>
    </w:p>
    <w:p w14:paraId="7CA153AF" w14:textId="77777777" w:rsidR="009326CC" w:rsidRDefault="009326CC" w:rsidP="009326CC">
      <w:pPr>
        <w:pStyle w:val="Bibliography"/>
        <w:jc w:val="both"/>
        <w:rPr>
          <w:noProof/>
          <w:lang w:val="en-US"/>
        </w:rPr>
      </w:pPr>
      <w:r>
        <w:rPr>
          <w:noProof/>
          <w:lang w:val="en-US"/>
        </w:rPr>
        <w:t xml:space="preserve">Lockwood, N. R. (2006) Talent Management: Driver for Organizational Success.. </w:t>
      </w:r>
      <w:r>
        <w:rPr>
          <w:i/>
          <w:iCs/>
          <w:noProof/>
          <w:lang w:val="en-US"/>
        </w:rPr>
        <w:t xml:space="preserve">HR Magazine , </w:t>
      </w:r>
      <w:r>
        <w:rPr>
          <w:noProof/>
          <w:lang w:val="en-US"/>
        </w:rPr>
        <w:t>51(6), p. S1.</w:t>
      </w:r>
    </w:p>
    <w:p w14:paraId="54145696" w14:textId="77777777" w:rsidR="009326CC" w:rsidRDefault="009326CC" w:rsidP="009326CC">
      <w:pPr>
        <w:pStyle w:val="Bibliography"/>
        <w:jc w:val="both"/>
        <w:rPr>
          <w:noProof/>
          <w:lang w:val="en-US"/>
        </w:rPr>
      </w:pPr>
      <w:r>
        <w:rPr>
          <w:noProof/>
          <w:lang w:val="en-US"/>
        </w:rPr>
        <w:t xml:space="preserve">Netigate (2021) </w:t>
      </w:r>
      <w:r>
        <w:rPr>
          <w:i/>
          <w:iCs/>
          <w:noProof/>
          <w:lang w:val="en-US"/>
        </w:rPr>
        <w:t xml:space="preserve">GDPR survey data: How do the regulations affect your surveys and research?. </w:t>
      </w:r>
      <w:r>
        <w:rPr>
          <w:noProof/>
          <w:lang w:val="en-US"/>
        </w:rPr>
        <w:br/>
        <w:t xml:space="preserve">Available at: </w:t>
      </w:r>
      <w:r w:rsidRPr="005E1B83">
        <w:rPr>
          <w:noProof/>
          <w:lang w:val="en-US"/>
        </w:rPr>
        <w:t>https://www.netigate.net/articles/survey-tips/gdpr-new-regulations-affect-survey-and-market-research/</w:t>
      </w:r>
      <w:r>
        <w:rPr>
          <w:noProof/>
          <w:lang w:val="en-US"/>
        </w:rPr>
        <w:t xml:space="preserve"> (Accessed: 05 July 2022).</w:t>
      </w:r>
    </w:p>
    <w:p w14:paraId="2B4A95A1" w14:textId="77777777" w:rsidR="009326CC" w:rsidRDefault="009326CC" w:rsidP="009326CC">
      <w:pPr>
        <w:pStyle w:val="Bibliography"/>
        <w:jc w:val="both"/>
        <w:rPr>
          <w:noProof/>
          <w:lang w:val="en-US"/>
        </w:rPr>
      </w:pPr>
      <w:r>
        <w:rPr>
          <w:noProof/>
          <w:lang w:val="en-US"/>
        </w:rPr>
        <w:t xml:space="preserve">Pearlin, L. I. (1961) THE APPEALS OF ANONYMITY IN QUESTIONNAIRE RESPONSE. </w:t>
      </w:r>
      <w:r>
        <w:rPr>
          <w:i/>
          <w:iCs/>
          <w:noProof/>
          <w:lang w:val="en-US"/>
        </w:rPr>
        <w:t xml:space="preserve">Public opinion quarterly, </w:t>
      </w:r>
      <w:r>
        <w:rPr>
          <w:noProof/>
          <w:lang w:val="en-US"/>
        </w:rPr>
        <w:t>25(4), pp. 640-647.</w:t>
      </w:r>
    </w:p>
    <w:p w14:paraId="675B12DC" w14:textId="6C74435C" w:rsidR="009326CC" w:rsidRDefault="009326CC" w:rsidP="009326CC">
      <w:pPr>
        <w:pStyle w:val="Bibliography"/>
        <w:jc w:val="both"/>
        <w:rPr>
          <w:noProof/>
          <w:lang w:val="en-US"/>
        </w:rPr>
      </w:pPr>
      <w:r>
        <w:rPr>
          <w:noProof/>
          <w:lang w:val="en-US"/>
        </w:rPr>
        <w:t xml:space="preserve">People Insight (2022) </w:t>
      </w:r>
      <w:r>
        <w:rPr>
          <w:i/>
          <w:iCs/>
          <w:noProof/>
          <w:lang w:val="en-US"/>
        </w:rPr>
        <w:t xml:space="preserve">The essential guide to employee engagement action planning. </w:t>
      </w:r>
      <w:r>
        <w:rPr>
          <w:noProof/>
          <w:lang w:val="en-US"/>
        </w:rPr>
        <w:t xml:space="preserve"> Available at:</w:t>
      </w:r>
      <w:r w:rsidRPr="005E1B83">
        <w:rPr>
          <w:noProof/>
          <w:lang w:val="en-US"/>
        </w:rPr>
        <w:t xml:space="preserve"> https://peopleinsight.co.uk/essential-guide-action-planning/</w:t>
      </w:r>
      <w:r>
        <w:rPr>
          <w:noProof/>
          <w:lang w:val="en-US"/>
        </w:rPr>
        <w:t xml:space="preserve"> (Accessed: 06 July 2022).</w:t>
      </w:r>
    </w:p>
    <w:p w14:paraId="2BEF65CE" w14:textId="3A233FF1" w:rsidR="009326CC" w:rsidRDefault="009326CC" w:rsidP="009326CC">
      <w:pPr>
        <w:pStyle w:val="Bibliography"/>
        <w:jc w:val="both"/>
        <w:rPr>
          <w:noProof/>
          <w:lang w:val="en-US"/>
        </w:rPr>
      </w:pPr>
      <w:r>
        <w:rPr>
          <w:noProof/>
          <w:lang w:val="en-US"/>
        </w:rPr>
        <w:t xml:space="preserve">Pew Research Center (2022) </w:t>
      </w:r>
      <w:r>
        <w:rPr>
          <w:i/>
          <w:iCs/>
          <w:noProof/>
          <w:lang w:val="en-US"/>
        </w:rPr>
        <w:t>Writing Survey Questions.</w:t>
      </w:r>
      <w:r>
        <w:rPr>
          <w:noProof/>
          <w:lang w:val="en-US"/>
        </w:rPr>
        <w:t xml:space="preserve"> Available at: </w:t>
      </w:r>
      <w:r w:rsidRPr="00DB39F3">
        <w:rPr>
          <w:noProof/>
          <w:lang w:val="en-US"/>
        </w:rPr>
        <w:t>https://www.pewresearch.org/our-methods/u-s-surveys/writing-survey-questions/</w:t>
      </w:r>
      <w:r>
        <w:rPr>
          <w:noProof/>
          <w:lang w:val="en-US"/>
        </w:rPr>
        <w:t xml:space="preserve"> (Accessed: 03 July 2022).</w:t>
      </w:r>
    </w:p>
    <w:p w14:paraId="1A21482F" w14:textId="272A979E" w:rsidR="009326CC" w:rsidRDefault="009326CC" w:rsidP="009326CC">
      <w:pPr>
        <w:pStyle w:val="Bibliography"/>
        <w:jc w:val="both"/>
        <w:rPr>
          <w:noProof/>
          <w:lang w:val="en-US"/>
        </w:rPr>
      </w:pPr>
      <w:r>
        <w:rPr>
          <w:noProof/>
          <w:lang w:val="en-US"/>
        </w:rPr>
        <w:t xml:space="preserve">Riviera Hotel (2022) </w:t>
      </w:r>
      <w:r>
        <w:rPr>
          <w:i/>
          <w:iCs/>
          <w:noProof/>
          <w:lang w:val="en-US"/>
        </w:rPr>
        <w:t xml:space="preserve">The Riviera Hotel, Torquay. </w:t>
      </w:r>
      <w:r>
        <w:rPr>
          <w:noProof/>
          <w:lang w:val="en-US"/>
        </w:rPr>
        <w:t xml:space="preserve"> Available at: </w:t>
      </w:r>
      <w:r w:rsidRPr="00DB39F3">
        <w:rPr>
          <w:noProof/>
          <w:lang w:val="en-US"/>
        </w:rPr>
        <w:t>https://www.rivieratorquay.co.uk/#:~:text=The%20Riviera%20Hotel%2C%20Torquay&amp;text=Our%20accommodation%20comprises%20of%20145,for%20a%20couple%20with%20children.</w:t>
      </w:r>
      <w:r>
        <w:rPr>
          <w:noProof/>
          <w:lang w:val="en-US"/>
        </w:rPr>
        <w:t xml:space="preserve"> (Accessed 29: June 2022).</w:t>
      </w:r>
    </w:p>
    <w:p w14:paraId="09DAFD55" w14:textId="77777777" w:rsidR="009326CC" w:rsidRDefault="009326CC" w:rsidP="009326CC">
      <w:pPr>
        <w:pStyle w:val="Bibliography"/>
        <w:jc w:val="both"/>
        <w:rPr>
          <w:noProof/>
          <w:lang w:val="en-US"/>
        </w:rPr>
      </w:pPr>
      <w:r>
        <w:rPr>
          <w:noProof/>
          <w:lang w:val="en-US"/>
        </w:rPr>
        <w:t xml:space="preserve">Shrotryia, V. K. &amp; Dhanda, U. (2020) Development of employee engagement measure: experiences from best companies to work for in India. </w:t>
      </w:r>
      <w:r>
        <w:rPr>
          <w:i/>
          <w:iCs/>
          <w:noProof/>
          <w:lang w:val="en-US"/>
        </w:rPr>
        <w:t xml:space="preserve">Measuring Business Excellence, </w:t>
      </w:r>
      <w:r>
        <w:rPr>
          <w:noProof/>
          <w:lang w:val="en-US"/>
        </w:rPr>
        <w:t>24(3), pp. 319-343.</w:t>
      </w:r>
    </w:p>
    <w:p w14:paraId="31355995" w14:textId="607B5294" w:rsidR="009326CC" w:rsidRDefault="009326CC" w:rsidP="009326CC">
      <w:pPr>
        <w:pStyle w:val="Bibliography"/>
        <w:jc w:val="both"/>
        <w:rPr>
          <w:noProof/>
          <w:lang w:val="en-US"/>
        </w:rPr>
      </w:pPr>
      <w:r>
        <w:rPr>
          <w:noProof/>
          <w:lang w:val="en-US"/>
        </w:rPr>
        <w:t xml:space="preserve">Smart Survey (2022) </w:t>
      </w:r>
      <w:r>
        <w:rPr>
          <w:i/>
          <w:iCs/>
          <w:noProof/>
          <w:lang w:val="en-US"/>
        </w:rPr>
        <w:t xml:space="preserve">Anonymous Surveys. </w:t>
      </w:r>
      <w:r>
        <w:rPr>
          <w:noProof/>
          <w:lang w:val="en-US"/>
        </w:rPr>
        <w:t xml:space="preserve"> Available at: </w:t>
      </w:r>
      <w:r w:rsidRPr="00DB39F3">
        <w:rPr>
          <w:noProof/>
          <w:lang w:val="en-US"/>
        </w:rPr>
        <w:t>https://www.smartsurvey.co.uk/features/anonymous-surveys</w:t>
      </w:r>
      <w:r>
        <w:rPr>
          <w:noProof/>
          <w:lang w:val="en-US"/>
        </w:rPr>
        <w:t xml:space="preserve"> (Accessed: 05 July 2022).</w:t>
      </w:r>
    </w:p>
    <w:p w14:paraId="66BA6957" w14:textId="1FF899D4" w:rsidR="009326CC" w:rsidRDefault="009326CC" w:rsidP="009326CC">
      <w:pPr>
        <w:pStyle w:val="Bibliography"/>
        <w:jc w:val="both"/>
        <w:rPr>
          <w:noProof/>
          <w:lang w:val="en-US"/>
        </w:rPr>
      </w:pPr>
      <w:r>
        <w:rPr>
          <w:noProof/>
          <w:lang w:val="en-US"/>
        </w:rPr>
        <w:t xml:space="preserve">Smart Survey (2022) </w:t>
      </w:r>
      <w:r>
        <w:rPr>
          <w:i/>
          <w:iCs/>
          <w:noProof/>
          <w:lang w:val="en-US"/>
        </w:rPr>
        <w:t xml:space="preserve">Employee Voice. </w:t>
      </w:r>
      <w:r>
        <w:rPr>
          <w:noProof/>
          <w:lang w:val="en-US"/>
        </w:rPr>
        <w:t xml:space="preserve"> Available at: </w:t>
      </w:r>
      <w:r w:rsidRPr="00DB39F3">
        <w:rPr>
          <w:noProof/>
          <w:lang w:val="en-US"/>
        </w:rPr>
        <w:t>https://www.smartsurvey.co.uk/solutions/employee-engagement/employee-voice</w:t>
      </w:r>
      <w:r>
        <w:rPr>
          <w:noProof/>
          <w:lang w:val="en-US"/>
        </w:rPr>
        <w:t xml:space="preserve"> (Accessed: 05 July 2022).</w:t>
      </w:r>
    </w:p>
    <w:p w14:paraId="186821FF" w14:textId="6FFDDE7C" w:rsidR="009326CC" w:rsidRDefault="009326CC" w:rsidP="009326CC">
      <w:pPr>
        <w:pStyle w:val="Bibliography"/>
        <w:jc w:val="both"/>
        <w:rPr>
          <w:noProof/>
          <w:lang w:val="en-US"/>
        </w:rPr>
      </w:pPr>
      <w:r>
        <w:rPr>
          <w:noProof/>
          <w:lang w:val="en-US"/>
        </w:rPr>
        <w:t xml:space="preserve">Smart Survey (2022) </w:t>
      </w:r>
      <w:r>
        <w:rPr>
          <w:i/>
          <w:iCs/>
          <w:noProof/>
          <w:lang w:val="en-US"/>
        </w:rPr>
        <w:t xml:space="preserve">The Difference Between Survey and Questionnaire. </w:t>
      </w:r>
      <w:r>
        <w:rPr>
          <w:noProof/>
          <w:lang w:val="en-US"/>
        </w:rPr>
        <w:t xml:space="preserve"> Available at: </w:t>
      </w:r>
      <w:r w:rsidRPr="00DB39F3">
        <w:rPr>
          <w:noProof/>
          <w:lang w:val="en-US"/>
        </w:rPr>
        <w:t>https://www.smartsurvey.co.uk/articles/survey-vs-questionnaire#:~:text=A%20questionnaire%20is%20the%20term,about%20a%20group%20of%20people.</w:t>
      </w:r>
      <w:r>
        <w:rPr>
          <w:noProof/>
          <w:lang w:val="en-US"/>
        </w:rPr>
        <w:t xml:space="preserve"> (Accessed: 03 July 2022).</w:t>
      </w:r>
    </w:p>
    <w:p w14:paraId="6DED02FC" w14:textId="77777777" w:rsidR="009326CC" w:rsidRDefault="009326CC" w:rsidP="009326CC">
      <w:pPr>
        <w:pStyle w:val="Bibliography"/>
        <w:jc w:val="both"/>
        <w:rPr>
          <w:noProof/>
          <w:lang w:val="en-US"/>
        </w:rPr>
      </w:pPr>
      <w:r>
        <w:rPr>
          <w:noProof/>
          <w:lang w:val="en-US"/>
        </w:rPr>
        <w:t xml:space="preserve">Smith, J. &amp; Macko, N. (2014) Exploring The Relationship Between Employee Engagement And Employee Turnover.. </w:t>
      </w:r>
      <w:r>
        <w:rPr>
          <w:i/>
          <w:iCs/>
          <w:noProof/>
          <w:lang w:val="en-US"/>
        </w:rPr>
        <w:t xml:space="preserve">Annamalai International Journal of Business Studies &amp; Research , </w:t>
      </w:r>
      <w:r>
        <w:rPr>
          <w:noProof/>
          <w:lang w:val="en-US"/>
        </w:rPr>
        <w:t>6(1), pp. 56-69.</w:t>
      </w:r>
    </w:p>
    <w:p w14:paraId="38986519" w14:textId="2B32A5FE" w:rsidR="009326CC" w:rsidRDefault="009326CC" w:rsidP="009326CC">
      <w:pPr>
        <w:pStyle w:val="Bibliography"/>
        <w:jc w:val="both"/>
        <w:rPr>
          <w:noProof/>
          <w:lang w:val="en-US"/>
        </w:rPr>
      </w:pPr>
      <w:r>
        <w:rPr>
          <w:noProof/>
          <w:lang w:val="en-US"/>
        </w:rPr>
        <w:t xml:space="preserve">Stint (2021) </w:t>
      </w:r>
      <w:r>
        <w:rPr>
          <w:i/>
          <w:iCs/>
          <w:noProof/>
          <w:lang w:val="en-US"/>
        </w:rPr>
        <w:t xml:space="preserve">The impact of Brexit on the hospitality sector; what’s the post-Brexit outlook?. </w:t>
      </w:r>
      <w:r>
        <w:rPr>
          <w:noProof/>
          <w:lang w:val="en-US"/>
        </w:rPr>
        <w:t xml:space="preserve"> Available at: </w:t>
      </w:r>
      <w:r>
        <w:rPr>
          <w:noProof/>
          <w:u w:val="single"/>
          <w:lang w:val="en-US"/>
        </w:rPr>
        <w:t>h</w:t>
      </w:r>
      <w:r w:rsidRPr="00DB39F3">
        <w:rPr>
          <w:noProof/>
          <w:lang w:val="en-US"/>
        </w:rPr>
        <w:t>ttps://stint.co/learning-hub/the-impact-of-brexit-on-the-hospitality-sector/</w:t>
      </w:r>
      <w:r>
        <w:rPr>
          <w:noProof/>
          <w:lang w:val="en-US"/>
        </w:rPr>
        <w:t xml:space="preserve"> (Accessed: 30 June 2022).</w:t>
      </w:r>
    </w:p>
    <w:p w14:paraId="496B4B1F" w14:textId="0020B52F" w:rsidR="009326CC" w:rsidRDefault="009326CC" w:rsidP="009326CC">
      <w:pPr>
        <w:pStyle w:val="Bibliography"/>
        <w:jc w:val="both"/>
        <w:rPr>
          <w:noProof/>
          <w:lang w:val="en-US"/>
        </w:rPr>
      </w:pPr>
      <w:r>
        <w:rPr>
          <w:noProof/>
          <w:lang w:val="en-US"/>
        </w:rPr>
        <w:t xml:space="preserve">Survey Monkey (2022) </w:t>
      </w:r>
      <w:r>
        <w:rPr>
          <w:i/>
          <w:iCs/>
          <w:noProof/>
          <w:lang w:val="en-US"/>
        </w:rPr>
        <w:t xml:space="preserve">How to create a survey that delivers valuable responses in 10 easy steps. </w:t>
      </w:r>
      <w:r>
        <w:rPr>
          <w:noProof/>
          <w:lang w:val="en-US"/>
        </w:rPr>
        <w:t xml:space="preserve"> Available at: </w:t>
      </w:r>
      <w:r w:rsidRPr="00DB39F3">
        <w:rPr>
          <w:noProof/>
          <w:lang w:val="en-US"/>
        </w:rPr>
        <w:t>https://www.surveymonkey.co.uk/mp/how-to-create-surveys/</w:t>
      </w:r>
      <w:r>
        <w:rPr>
          <w:noProof/>
          <w:lang w:val="en-US"/>
        </w:rPr>
        <w:t xml:space="preserve"> (Accessed: 03 July 2022).</w:t>
      </w:r>
    </w:p>
    <w:p w14:paraId="342DB257" w14:textId="692E9343" w:rsidR="009326CC" w:rsidRDefault="009326CC" w:rsidP="009326CC">
      <w:pPr>
        <w:pStyle w:val="Bibliography"/>
        <w:jc w:val="both"/>
        <w:rPr>
          <w:noProof/>
          <w:lang w:val="en-US"/>
        </w:rPr>
      </w:pPr>
      <w:r>
        <w:rPr>
          <w:noProof/>
          <w:lang w:val="en-US"/>
        </w:rPr>
        <w:t xml:space="preserve">Tripadvisor (2022) </w:t>
      </w:r>
      <w:r>
        <w:rPr>
          <w:i/>
          <w:iCs/>
          <w:noProof/>
          <w:lang w:val="en-US"/>
        </w:rPr>
        <w:t>Riviera Hotel.</w:t>
      </w:r>
      <w:r>
        <w:rPr>
          <w:noProof/>
          <w:lang w:val="en-US"/>
        </w:rPr>
        <w:t xml:space="preserve"> Available at:</w:t>
      </w:r>
      <w:r w:rsidRPr="00A23639">
        <w:rPr>
          <w:noProof/>
          <w:lang w:val="en-US"/>
        </w:rPr>
        <w:t xml:space="preserve"> https://www.tripadvisor.co.uk/Hotel_Review-g186259-d631036-Reviews-Riviera_Hotel-Torquay_English_Riviera_Devon_England.html</w:t>
      </w:r>
      <w:r>
        <w:rPr>
          <w:noProof/>
          <w:lang w:val="en-US"/>
        </w:rPr>
        <w:t xml:space="preserve"> (Accessed: 29 June 2022).</w:t>
      </w:r>
    </w:p>
    <w:p w14:paraId="581F716C" w14:textId="3B998762" w:rsidR="009326CC" w:rsidRDefault="009326CC" w:rsidP="009326CC">
      <w:pPr>
        <w:pStyle w:val="Bibliography"/>
        <w:jc w:val="both"/>
        <w:rPr>
          <w:noProof/>
          <w:lang w:val="en-US"/>
        </w:rPr>
      </w:pPr>
      <w:r>
        <w:rPr>
          <w:noProof/>
          <w:lang w:val="en-US"/>
        </w:rPr>
        <w:t xml:space="preserve">Workplace (2022) </w:t>
      </w:r>
      <w:r>
        <w:rPr>
          <w:i/>
          <w:iCs/>
          <w:noProof/>
          <w:lang w:val="en-US"/>
        </w:rPr>
        <w:t xml:space="preserve">Gallup's Employee Engagement Survey: Ask the Right Questions With the Q12 Survey. </w:t>
      </w:r>
      <w:r>
        <w:rPr>
          <w:noProof/>
          <w:lang w:val="en-US"/>
        </w:rPr>
        <w:t xml:space="preserve"> Available at: </w:t>
      </w:r>
      <w:r w:rsidRPr="00A23639">
        <w:rPr>
          <w:noProof/>
          <w:lang w:val="en-US"/>
        </w:rPr>
        <w:t>https://www.gallup.com/workplace/356063/gallup-q12-employee-engagement-survey.aspx</w:t>
      </w:r>
      <w:r>
        <w:rPr>
          <w:noProof/>
          <w:lang w:val="en-US"/>
        </w:rPr>
        <w:t xml:space="preserve"> (Accessed: 01 July 2022).</w:t>
      </w:r>
    </w:p>
    <w:p w14:paraId="494F1074" w14:textId="77777777" w:rsidR="009326CC" w:rsidRPr="00123BB4" w:rsidRDefault="009326CC" w:rsidP="009326CC">
      <w:pPr>
        <w:jc w:val="both"/>
      </w:pPr>
      <w:r>
        <w:rPr>
          <w:b/>
          <w:bCs/>
          <w:noProof/>
        </w:rPr>
        <w:fldChar w:fldCharType="end"/>
      </w:r>
    </w:p>
    <w:p w14:paraId="5C38A061" w14:textId="77777777" w:rsidR="001A0FB1" w:rsidRDefault="001A0FB1" w:rsidP="009326CC">
      <w:pPr>
        <w:jc w:val="both"/>
      </w:pPr>
    </w:p>
    <w:sectPr w:rsidR="001A0FB1" w:rsidSect="005C32CB">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8EE67" w14:textId="77777777" w:rsidR="001E3D32" w:rsidRDefault="001E3D32">
      <w:pPr>
        <w:spacing w:after="0" w:line="240" w:lineRule="auto"/>
      </w:pPr>
      <w:r>
        <w:separator/>
      </w:r>
    </w:p>
  </w:endnote>
  <w:endnote w:type="continuationSeparator" w:id="0">
    <w:p w14:paraId="70697917" w14:textId="77777777" w:rsidR="001E3D32" w:rsidRDefault="001E3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728399"/>
      <w:docPartObj>
        <w:docPartGallery w:val="Page Numbers (Bottom of Page)"/>
        <w:docPartUnique/>
      </w:docPartObj>
    </w:sdtPr>
    <w:sdtEndPr>
      <w:rPr>
        <w:noProof/>
      </w:rPr>
    </w:sdtEndPr>
    <w:sdtContent>
      <w:p w14:paraId="79371245" w14:textId="77777777" w:rsidR="005C32CB"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C4E2FE" w14:textId="77777777" w:rsidR="005C32CB"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E5D7A" w14:textId="77777777" w:rsidR="001E3D32" w:rsidRDefault="001E3D32">
      <w:pPr>
        <w:spacing w:after="0" w:line="240" w:lineRule="auto"/>
      </w:pPr>
      <w:r>
        <w:separator/>
      </w:r>
    </w:p>
  </w:footnote>
  <w:footnote w:type="continuationSeparator" w:id="0">
    <w:p w14:paraId="56FE1980" w14:textId="77777777" w:rsidR="001E3D32" w:rsidRDefault="001E3D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376BA"/>
    <w:multiLevelType w:val="hybridMultilevel"/>
    <w:tmpl w:val="0E40F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101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B36"/>
    <w:rsid w:val="001A0FB1"/>
    <w:rsid w:val="001E3D32"/>
    <w:rsid w:val="00417496"/>
    <w:rsid w:val="006D1B36"/>
    <w:rsid w:val="0073112C"/>
    <w:rsid w:val="009326CC"/>
    <w:rsid w:val="00C7563A"/>
    <w:rsid w:val="00D11A11"/>
    <w:rsid w:val="00EE2137"/>
    <w:rsid w:val="00F61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47F62"/>
  <w15:chartTrackingRefBased/>
  <w15:docId w15:val="{25D6B0F9-3187-4724-81E5-CE9FEB332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6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326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6CC"/>
  </w:style>
  <w:style w:type="paragraph" w:styleId="Bibliography">
    <w:name w:val="Bibliography"/>
    <w:basedOn w:val="Normal"/>
    <w:next w:val="Normal"/>
    <w:uiPriority w:val="37"/>
    <w:unhideWhenUsed/>
    <w:rsid w:val="009326CC"/>
  </w:style>
  <w:style w:type="character" w:styleId="Emphasis">
    <w:name w:val="Emphasis"/>
    <w:basedOn w:val="DefaultParagraphFont"/>
    <w:uiPriority w:val="20"/>
    <w:qFormat/>
    <w:rsid w:val="00D11A11"/>
    <w:rPr>
      <w:i/>
      <w:iCs/>
    </w:rPr>
  </w:style>
  <w:style w:type="paragraph" w:styleId="ListParagraph">
    <w:name w:val="List Paragraph"/>
    <w:basedOn w:val="Normal"/>
    <w:uiPriority w:val="34"/>
    <w:qFormat/>
    <w:rsid w:val="00D11A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Riv22</b:Tag>
    <b:SourceType>InternetSite</b:SourceType>
    <b:Guid>{8AD8BDB9-EA28-4A8A-A1BE-1520EDA3B74E}</b:Guid>
    <b:Title>The Riviera Hotel, Torquay</b:Title>
    <b:Year>2022</b:Year>
    <b:Author>
      <b:Author>
        <b:Corporate>Riviera Hotel</b:Corporate>
      </b:Author>
    </b:Author>
    <b:YearAccessed>2022</b:YearAccessed>
    <b:MonthAccessed>June</b:MonthAccessed>
    <b:DayAccessed>29</b:DayAccessed>
    <b:URL>https://www.rivieratorquay.co.uk/#:~:text=The%20Riviera%20Hotel%2C%20Torquay&amp;text=Our%20accommodation%20comprises%20of%20145,for%20a%20couple%20with%20children.</b:URL>
    <b:RefOrder>1</b:RefOrder>
  </b:Source>
  <b:Source>
    <b:Tag>ripadvisor</b:Tag>
    <b:SourceType>InternetSite</b:SourceType>
    <b:Guid>{24C6C475-6281-4F53-84A6-DD4577CE7459}</b:Guid>
    <b:Author>
      <b:Author>
        <b:Corporate>Tripadvisor</b:Corporate>
      </b:Author>
    </b:Author>
    <b:Title>Riviera Hotel</b:Title>
    <b:Year>2022</b:Year>
    <b:YearAccessed>2022</b:YearAccessed>
    <b:MonthAccessed>June</b:MonthAccessed>
    <b:DayAccessed>29</b:DayAccessed>
    <b:URL>https://www.tripadvisor.co.uk/Hotel_Review-g186259-d631036-Reviews-Riviera_Hotel-Torquay_English_Riviera_Devon_England.html</b:URL>
    <b:RefOrder>2</b:RefOrder>
  </b:Source>
  <b:Source>
    <b:Tag>ind22</b:Tag>
    <b:SourceType>InternetSite</b:SourceType>
    <b:Guid>{973B793E-7555-4558-94CB-7137C4608A96}</b:Guid>
    <b:Author>
      <b:Author>
        <b:Corporate>indeed</b:Corporate>
      </b:Author>
    </b:Author>
    <b:Title>The Riviera hotel jobs in Torquay</b:Title>
    <b:Year>2022</b:Year>
    <b:YearAccessed>2022</b:YearAccessed>
    <b:MonthAccessed>June</b:MonthAccessed>
    <b:DayAccessed>29</b:DayAccessed>
    <b:URL>https://uk.indeed.com/jobs?q=The%20Riviera%20hotel&amp;l=Torquay&amp;vjk=7fe7a830a8fa8339</b:URL>
    <b:RefOrder>4</b:RefOrder>
  </b:Source>
  <b:Source>
    <b:Tag>ind221</b:Tag>
    <b:SourceType>InternetSite</b:SourceType>
    <b:Guid>{67B09980-673B-4422-A981-44BDB789414A}</b:Guid>
    <b:Author>
      <b:Author>
        <b:Corporate>indeed</b:Corporate>
      </b:Author>
    </b:Author>
    <b:Title>Hotel Riviera </b:Title>
    <b:Year>2022</b:Year>
    <b:YearAccessed>2022</b:YearAccessed>
    <b:MonthAccessed>June</b:MonthAccessed>
    <b:DayAccessed>29</b:DayAccessed>
    <b:URL>https://uk.indeed.com/cmp/Hotel-Riviera/reviews</b:URL>
    <b:RefOrder>3</b:RefOrder>
  </b:Source>
  <b:Source>
    <b:Tag>Car22</b:Tag>
    <b:SourceType>InternetSite</b:SourceType>
    <b:Guid>{B538343B-27F6-44BB-9107-5F6FF19F2753}</b:Guid>
    <b:Author>
      <b:Author>
        <b:Corporate>Career Group Companies</b:Corporate>
      </b:Author>
    </b:Author>
    <b:Title>Growing Hospitality Trends Affecting Hiring in 2022</b:Title>
    <b:Year>2022</b:Year>
    <b:YearAccessed>2022</b:YearAccessed>
    <b:MonthAccessed>June</b:MonthAccessed>
    <b:DayAccessed>29</b:DayAccessed>
    <b:URL>https://careergroupcompanies.com/growing-hospitality-trends-affecting-hiring-in-2022/</b:URL>
    <b:RefOrder>5</b:RefOrder>
  </b:Source>
  <b:Source>
    <b:Tag>Sti21</b:Tag>
    <b:SourceType>InternetSite</b:SourceType>
    <b:Guid>{167BE69B-9099-4884-85E8-573862EE64F5}</b:Guid>
    <b:Author>
      <b:Author>
        <b:Corporate>Stint</b:Corporate>
      </b:Author>
    </b:Author>
    <b:Title>The impact of Brexit on the hospitality sector; what’s the post-Brexit outlook?</b:Title>
    <b:Year>2021</b:Year>
    <b:YearAccessed>2022</b:YearAccessed>
    <b:MonthAccessed>June</b:MonthAccessed>
    <b:DayAccessed>30</b:DayAccessed>
    <b:URL>https://stint.co/learning-hub/the-impact-of-brexit-on-the-hospitality-sector/</b:URL>
    <b:RefOrder>6</b:RefOrder>
  </b:Source>
  <b:Source>
    <b:Tag>BMA22</b:Tag>
    <b:SourceType>InternetSite</b:SourceType>
    <b:Guid>{36E3A321-EF4D-43C9-A065-BA88D43572E4}</b:Guid>
    <b:Author>
      <b:Author>
        <b:Corporate>BMAGroup</b:Corporate>
      </b:Author>
    </b:Author>
    <b:Title>TOP HIRING CHALLENGES FOR 2022: WHY IT’S SO HARD TO FILL JOBS RIGHT NOW</b:Title>
    <b:Year>2022</b:Year>
    <b:YearAccessed>2022</b:YearAccessed>
    <b:MonthAccessed>June</b:MonthAccessed>
    <b:DayAccessed>30</b:DayAccessed>
    <b:URL>https://brendamarreropr.com/top-hiring-challenges-for-2022-why-its-so-hard-to-fill-jobs-right-now/</b:URL>
    <b:RefOrder>7</b:RefOrder>
  </b:Source>
  <b:Source>
    <b:Tag>Shr20</b:Tag>
    <b:SourceType>JournalArticle</b:SourceType>
    <b:Guid>{1E15A27C-5BD6-40F3-8D27-03270E419F19}</b:Guid>
    <b:Title>Development of employee engagement measure: experiences from best companies to work for in India</b:Title>
    <b:Year>2020</b:Year>
    <b:Author>
      <b:Author>
        <b:NameList>
          <b:Person>
            <b:Last>Shrotryia</b:Last>
            <b:First>Vijay</b:First>
            <b:Middle>Kumar</b:Middle>
          </b:Person>
          <b:Person>
            <b:Last>Dhanda</b:Last>
            <b:First>Upasana</b:First>
          </b:Person>
        </b:NameList>
      </b:Author>
    </b:Author>
    <b:JournalName>Measuring Business Excellence</b:JournalName>
    <b:Pages>319-343</b:Pages>
    <b:Volume>24</b:Volume>
    <b:Issue>3</b:Issue>
    <b:RefOrder>8</b:RefOrder>
  </b:Source>
  <b:Source>
    <b:Tag>Gal22</b:Tag>
    <b:SourceType>InternetSite</b:SourceType>
    <b:Guid>{007C019B-7540-474E-A1F8-F81432B15085}</b:Guid>
    <b:Title>Gallup's Employee Engagement Survey: Ask the Right Questions With the Q12 Survey</b:Title>
    <b:Year>2022</b:Year>
    <b:Author>
      <b:Author>
        <b:Corporate>Workplace</b:Corporate>
      </b:Author>
    </b:Author>
    <b:YearAccessed>2022</b:YearAccessed>
    <b:MonthAccessed>July</b:MonthAccessed>
    <b:DayAccessed>01</b:DayAccessed>
    <b:URL>https://www.gallup.com/workplace/356063/gallup-q12-employee-engagement-survey.aspx</b:URL>
    <b:RefOrder>10</b:RefOrder>
  </b:Source>
  <b:Source>
    <b:Tag>Har20</b:Tag>
    <b:SourceType>InternetSite</b:SourceType>
    <b:Guid>{421C6F08-294E-4BD3-B424-64AB5627836B}</b:Guid>
    <b:Title>What Makes Gallup’s Q12 the Best Employee Engagement Survey?</b:Title>
    <b:Year>2020</b:Year>
    <b:YearAccessed>2022</b:YearAccessed>
    <b:MonthAccessed>July</b:MonthAccessed>
    <b:DayAccessed>03</b:DayAccessed>
    <b:URL>https://www.youtube.com/watch?v=RFlDM8a_9mk</b:URL>
    <b:Author>
      <b:Author>
        <b:NameList>
          <b:Person>
            <b:Last>Harter</b:Last>
            <b:First>Jim</b:First>
          </b:Person>
        </b:NameList>
      </b:Author>
    </b:Author>
    <b:RefOrder>9</b:RefOrder>
  </b:Source>
  <b:Source>
    <b:Tag>Bha07</b:Tag>
    <b:SourceType>JournalArticle</b:SourceType>
    <b:Guid>{84F2A2B1-0216-4F73-9C7A-5D01CC4D2A1D}</b:Guid>
    <b:Title>Talent management strategy of employee engagement in Indian ITES employees: key to retention</b:Title>
    <b:Year>2007</b:Year>
    <b:Author>
      <b:Author>
        <b:NameList>
          <b:Person>
            <b:Last>Bhatnagar</b:Last>
            <b:First>Jyotsna</b:First>
          </b:Person>
          <b:Person>
            <b:Last>Bhatnagar</b:Last>
            <b:First>Jyotsna</b:First>
          </b:Person>
          <b:Person>
            <b:Last>Budhwar</b:Last>
            <b:Middle>S</b:Middle>
            <b:First>Pawan</b:First>
          </b:Person>
        </b:NameList>
      </b:Author>
    </b:Author>
    <b:JournalName>Employee relations</b:JournalName>
    <b:Pages>640-663</b:Pages>
    <b:Volume>29</b:Volume>
    <b:Issue>6</b:Issue>
    <b:RefOrder>11</b:RefOrder>
  </b:Source>
  <b:Source>
    <b:Tag>Eki15</b:Tag>
    <b:SourceType>Book</b:SourceType>
    <b:Guid>{B8C447B8-B599-4F65-B4A0-67ED2839830D}</b:Guid>
    <b:Title>Designing research questionnaires for business and management students</b:Title>
    <b:Year>2015</b:Year>
    <b:City>London</b:City>
    <b:Publisher>SAGE</b:Publisher>
    <b:Edition>1st</b:Edition>
    <b:Author>
      <b:Author>
        <b:NameList>
          <b:Person>
            <b:Last>Ekinci</b:Last>
            <b:First>Yuksel </b:First>
          </b:Person>
        </b:NameList>
      </b:Author>
    </b:Author>
    <b:RefOrder>12</b:RefOrder>
  </b:Source>
  <b:Source>
    <b:Tag>Bra08</b:Tag>
    <b:SourceType>Book</b:SourceType>
    <b:Guid>{8595B832-3F65-4DC8-B9EB-F81DE918BD3A}</b:Guid>
    <b:Title>Questionnaire design how to plan, structure and write survey material for effective market research</b:Title>
    <b:Year>2008</b:Year>
    <b:City>London</b:City>
    <b:Publisher>Kogan Page</b:Publisher>
    <b:Edition>2nd</b:Edition>
    <b:Author>
      <b:Author>
        <b:NameList>
          <b:Person>
            <b:Last>Brace </b:Last>
            <b:First>Ian </b:First>
          </b:Person>
        </b:NameList>
      </b:Author>
    </b:Author>
    <b:RefOrder>13</b:RefOrder>
  </b:Source>
  <b:Source>
    <b:Tag>Sur222</b:Tag>
    <b:SourceType>InternetSite</b:SourceType>
    <b:Guid>{CD241B0F-DAB7-41AC-B681-D66F19A18977}</b:Guid>
    <b:Title>How to create a survey that delivers valuable responses in 10 easy steps</b:Title>
    <b:Year>2022</b:Year>
    <b:Author>
      <b:Author>
        <b:Corporate>Survey Monkey</b:Corporate>
      </b:Author>
    </b:Author>
    <b:YearAccessed>2022</b:YearAccessed>
    <b:MonthAccessed>July</b:MonthAccessed>
    <b:DayAccessed>03</b:DayAccessed>
    <b:URL>https://www.surveymonkey.co.uk/mp/how-to-create-surveys/</b:URL>
    <b:RefOrder>14</b:RefOrder>
  </b:Source>
  <b:Source>
    <b:Tag>Pew221</b:Tag>
    <b:SourceType>InternetSite</b:SourceType>
    <b:Guid>{EC54373C-7D25-4F4D-BE53-F95DFFC6AB58}</b:Guid>
    <b:Author>
      <b:Author>
        <b:Corporate>Pew Research Center</b:Corporate>
      </b:Author>
    </b:Author>
    <b:Title>Writing Survey Questions</b:Title>
    <b:Year>2022</b:Year>
    <b:YearAccessed>2022</b:YearAccessed>
    <b:MonthAccessed>July</b:MonthAccessed>
    <b:DayAccessed>03</b:DayAccessed>
    <b:URL>https://www.pewresearch.org/our-methods/u-s-surveys/writing-survey-questions/</b:URL>
    <b:RefOrder>15</b:RefOrder>
  </b:Source>
  <b:Source>
    <b:Tag>Sma22</b:Tag>
    <b:SourceType>InternetSite</b:SourceType>
    <b:Guid>{D915D640-D4FC-4E64-97E7-DA24A3EE817D}</b:Guid>
    <b:Author>
      <b:Author>
        <b:Corporate>Smart Survey</b:Corporate>
      </b:Author>
    </b:Author>
    <b:Title>The Difference Between Survey and Questionnaire</b:Title>
    <b:Year>2022</b:Year>
    <b:YearAccessed>2022</b:YearAccessed>
    <b:MonthAccessed>July</b:MonthAccessed>
    <b:DayAccessed>03</b:DayAccessed>
    <b:URL>https://www.smartsurvey.co.uk/articles/survey-vs-questionnaire#:~:text=A%20questionnaire%20is%20the%20term,about%20a%20group%20of%20people.</b:URL>
    <b:RefOrder>16</b:RefOrder>
  </b:Source>
  <b:Source>
    <b:Tag>Gre17</b:Tag>
    <b:SourceType>InternetSite</b:SourceType>
    <b:Guid>{7562106D-650D-443B-B21E-9047A0F1BEAB}</b:Guid>
    <b:Title>The Advantages of an Interview Over a Questionnaire</b:Title>
    <b:Year>2017</b:Year>
    <b:YearAccessed>2022</b:YearAccessed>
    <b:MonthAccessed>July</b:MonthAccessed>
    <b:DayAccessed>03</b:DayAccessed>
    <b:URL>https://bizfluent.com/info-8220458-advantages-interview-over-questionnaire.html</b:URL>
    <b:Author>
      <b:Author>
        <b:NameList>
          <b:Person>
            <b:Last>Green</b:Last>
            <b:First>Anna</b:First>
          </b:Person>
        </b:NameList>
      </b:Author>
    </b:Author>
    <b:RefOrder>17</b:RefOrder>
  </b:Source>
  <b:Source>
    <b:Tag>Pea61</b:Tag>
    <b:SourceType>JournalArticle</b:SourceType>
    <b:Guid>{4260727B-C055-4798-88FA-DBD87E98689D}</b:Guid>
    <b:Title>THE APPEALS OF ANONYMITY IN QUESTIONNAIRE RESPONSE</b:Title>
    <b:Year>1961</b:Year>
    <b:Author>
      <b:Author>
        <b:NameList>
          <b:Person>
            <b:Last>Pearlin</b:Last>
            <b:First>Leonard</b:First>
            <b:Middle>I</b:Middle>
          </b:Person>
        </b:NameList>
      </b:Author>
    </b:Author>
    <b:JournalName>Public opinion quarterly</b:JournalName>
    <b:Pages>640-647</b:Pages>
    <b:Volume>25</b:Volume>
    <b:Issue>4</b:Issue>
    <b:RefOrder>18</b:RefOrder>
  </b:Source>
  <b:Source>
    <b:Tag>Sma221</b:Tag>
    <b:SourceType>InternetSite</b:SourceType>
    <b:Guid>{EAEA6A86-11A3-4CBC-BDA9-741112508E6C}</b:Guid>
    <b:Title>Anonymous Surveys</b:Title>
    <b:Year>2022</b:Year>
    <b:Author>
      <b:Author>
        <b:Corporate>Smart Survey</b:Corporate>
      </b:Author>
    </b:Author>
    <b:YearAccessed>2022</b:YearAccessed>
    <b:MonthAccessed>July</b:MonthAccessed>
    <b:DayAccessed>05</b:DayAccessed>
    <b:URL>https://www.smartsurvey.co.uk/features/anonymous-surveys</b:URL>
    <b:RefOrder>19</b:RefOrder>
  </b:Source>
  <b:Source>
    <b:Tag>Net211</b:Tag>
    <b:SourceType>InternetSite</b:SourceType>
    <b:Guid>{3996270C-EFB7-483B-818B-B5976A62F070}</b:Guid>
    <b:Author>
      <b:Author>
        <b:Corporate>Netigate</b:Corporate>
      </b:Author>
    </b:Author>
    <b:Title>GDPR survey data: How do the regulations affect your surveys and research?</b:Title>
    <b:Year>2021</b:Year>
    <b:YearAccessed>2022</b:YearAccessed>
    <b:MonthAccessed>July</b:MonthAccessed>
    <b:DayAccessed>05</b:DayAccessed>
    <b:URL>https://www.netigate.net/articles/survey-tips/gdpr-new-regulations-affect-survey-and-market-research/</b:URL>
    <b:RefOrder>20</b:RefOrder>
  </b:Source>
  <b:Source>
    <b:Tag>Sma222</b:Tag>
    <b:SourceType>InternetSite</b:SourceType>
    <b:Guid>{C01F5C02-47B0-46F1-B483-58842A4EF82D}</b:Guid>
    <b:Author>
      <b:Author>
        <b:Corporate>Smart Survey</b:Corporate>
      </b:Author>
    </b:Author>
    <b:Title>Employee Voice</b:Title>
    <b:Year>2022</b:Year>
    <b:YearAccessed>2022</b:YearAccessed>
    <b:MonthAccessed>July</b:MonthAccessed>
    <b:DayAccessed>05</b:DayAccessed>
    <b:URL>https://www.smartsurvey.co.uk/solutions/employee-engagement/employee-voice</b:URL>
    <b:RefOrder>21</b:RefOrder>
  </b:Source>
  <b:Source>
    <b:Tag>Jor20</b:Tag>
    <b:SourceType>InternetSite</b:SourceType>
    <b:Guid>{1120B297-C0A5-470B-A7DD-EBDBA8A7AE58}</b:Guid>
    <b:Title>8 benefits of regular employee engagement surveys</b:Title>
    <b:Year>2020</b:Year>
    <b:YearAccessed>2022</b:YearAccessed>
    <b:MonthAccessed>July</b:MonthAccessed>
    <b:DayAccessed>05</b:DayAccessed>
    <b:URL>https://www.theaccessgroup.com/en-gb/blog/hcm-benefits-regular-employee-engagement-surveys/</b:URL>
    <b:Author>
      <b:Author>
        <b:NameList>
          <b:Person>
            <b:Last>Jorgensen</b:Last>
            <b:First>Mark </b:First>
          </b:Person>
        </b:NameList>
      </b:Author>
    </b:Author>
    <b:RefOrder>22</b:RefOrder>
  </b:Source>
  <b:Source>
    <b:Tag>Smi14</b:Tag>
    <b:SourceType>JournalArticle</b:SourceType>
    <b:Guid>{E4962793-75FC-49A6-ACA1-68B845B4B43B}</b:Guid>
    <b:Title>Exploring The Relationship Between Employee Engagement And Employee Turnover.</b:Title>
    <b:Year>2014</b:Year>
    <b:Author>
      <b:Author>
        <b:NameList>
          <b:Person>
            <b:Last>Smith</b:Last>
            <b:First>Jonathan</b:First>
          </b:Person>
          <b:Person>
            <b:Last>Macko</b:Last>
            <b:First>Norbert</b:First>
          </b:Person>
        </b:NameList>
      </b:Author>
    </b:Author>
    <b:JournalName>Annamalai International Journal of Business Studies &amp; Research </b:JournalName>
    <b:Pages>56-69</b:Pages>
    <b:Volume>6</b:Volume>
    <b:Issue>1</b:Issue>
    <b:RefOrder>25</b:RefOrder>
  </b:Source>
  <b:Source>
    <b:Tag>Loc06</b:Tag>
    <b:SourceType>JournalArticle</b:SourceType>
    <b:Guid>{6A35C4D1-EAEB-476B-8034-B60CA862FC46}</b:Guid>
    <b:Author>
      <b:Author>
        <b:NameList>
          <b:Person>
            <b:Last>Lockwood</b:Last>
            <b:First>Nancy</b:First>
            <b:Middle>R</b:Middle>
          </b:Person>
        </b:NameList>
      </b:Author>
    </b:Author>
    <b:Title>Talent Management: Driver for Organizational Success.</b:Title>
    <b:JournalName>HR Magazine </b:JournalName>
    <b:Year>2006</b:Year>
    <b:Pages>S1</b:Pages>
    <b:Volume>51</b:Volume>
    <b:Issue>6</b:Issue>
    <b:RefOrder>26</b:RefOrder>
  </b:Source>
  <b:Source>
    <b:Tag>Chr081</b:Tag>
    <b:SourceType>JournalArticle</b:SourceType>
    <b:Guid>{60F934B4-B253-4AF2-928F-92EFCBE6FB80}</b:Guid>
    <b:Author>
      <b:Author>
        <b:NameList>
          <b:Person>
            <b:Last>Christensen Hughes</b:Last>
            <b:First>Julia</b:First>
          </b:Person>
          <b:Person>
            <b:Last>Rog</b:Last>
            <b:First>Evelina</b:First>
          </b:Person>
          <b:Person>
            <b:Last>D'Annunzio‐Green</b:Last>
            <b:First>Norma</b:First>
          </b:Person>
        </b:NameList>
      </b:Author>
    </b:Author>
    <b:Title>Talent management: A strategy for improving employee recruitment, retention and engagement within hospitality organizations</b:Title>
    <b:JournalName>International journal of contemporary hospitality management</b:JournalName>
    <b:Year>2008</b:Year>
    <b:Pages>743-757</b:Pages>
    <b:Volume>20</b:Volume>
    <b:Issue>7</b:Issue>
    <b:RefOrder>27</b:RefOrder>
  </b:Source>
  <b:Source>
    <b:Tag>Boo191</b:Tag>
    <b:SourceType>JournalArticle</b:SourceType>
    <b:Guid>{221A087F-59B1-4A71-B8D6-AEAB770CA7AA}</b:Guid>
    <b:Title>The effects of leadership satisfaction on employee engagement, loyalty, and retention in the hospitality industry</b:Title>
    <b:JournalName>JOURNAL OF HUMAN RESOURCES IN HOSPITALITY AND TOURISM</b:JournalName>
    <b:Year>2019</b:Year>
    <b:Pages>368-393</b:Pages>
    <b:Volume>18</b:Volume>
    <b:Issue>3</b:Issue>
    <b:Author>
      <b:Author>
        <b:NameList>
          <b:Person>
            <b:Last>Book</b:Last>
            <b:First>Laura</b:First>
          </b:Person>
          <b:Person>
            <b:Last>Gatling</b:Last>
            <b:First>Anthony</b:First>
          </b:Person>
          <b:Person>
            <b:Last>Kim</b:Last>
            <b:First>Jungsun</b:First>
          </b:Person>
        </b:NameList>
      </b:Author>
    </b:Author>
    <b:RefOrder>28</b:RefOrder>
  </b:Source>
  <b:Source>
    <b:Tag>Ins22</b:Tag>
    <b:SourceType>InternetSite</b:SourceType>
    <b:Guid>{3D4B940A-BDF6-418A-8E6A-805DD217FBF7}</b:Guid>
    <b:Title>How to action plan post employee survey</b:Title>
    <b:Year>2022</b:Year>
    <b:Author>
      <b:Author>
        <b:Corporate>Insync</b:Corporate>
      </b:Author>
    </b:Author>
    <b:YearAccessed>2022</b:YearAccessed>
    <b:MonthAccessed>July</b:MonthAccessed>
    <b:DayAccessed>06</b:DayAccessed>
    <b:URL>https://insync.com.au/surveys-questionnaires/how-to-action-plan-post-employee-survey/</b:URL>
    <b:RefOrder>24</b:RefOrder>
  </b:Source>
  <b:Source>
    <b:Tag>Peo22</b:Tag>
    <b:SourceType>InternetSite</b:SourceType>
    <b:Guid>{CC2DA1DF-5A73-4B95-A4AF-00D1A07117BD}</b:Guid>
    <b:Author>
      <b:Author>
        <b:Corporate>People Insight</b:Corporate>
      </b:Author>
    </b:Author>
    <b:Title>The essential guide to employee engagement action planning</b:Title>
    <b:Year>2022</b:Year>
    <b:YearAccessed>2022</b:YearAccessed>
    <b:MonthAccessed>July</b:MonthAccessed>
    <b:DayAccessed>06</b:DayAccessed>
    <b:URL>https://peopleinsight.co.uk/essential-guide-action-planning/</b:URL>
    <b:RefOrder>23</b:RefOrder>
  </b:Source>
</b:Sources>
</file>

<file path=customXml/itemProps1.xml><?xml version="1.0" encoding="utf-8"?>
<ds:datastoreItem xmlns:ds="http://schemas.openxmlformats.org/officeDocument/2006/customXml" ds:itemID="{49A52A31-26DD-436F-975B-C43908559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2671</Words>
  <Characters>15228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Nicolae Puiu</cp:lastModifiedBy>
  <cp:revision>6</cp:revision>
  <dcterms:created xsi:type="dcterms:W3CDTF">2022-07-08T10:51:00Z</dcterms:created>
  <dcterms:modified xsi:type="dcterms:W3CDTF">2022-07-08T11:14:00Z</dcterms:modified>
</cp:coreProperties>
</file>