
<file path=[Content_Types].xml><?xml version="1.0" encoding="utf-8"?>
<Types xmlns="http://schemas.openxmlformats.org/package/2006/content-types">
  <Default ContentType="image/x-eps" Extension="eps"/>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settings+xml" PartName="/word/settings.xml"/>
</Types>
</file>

<file path=_rels/.rels><?xml version="1.0" encoding="UTF-8" standalone="no"?><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wp="http://schemas.openxmlformats.org/drawingml/2006/wordprocessingDrawing" xmlns:r="http://schemas.openxmlformats.org/officeDocument/2006/relationships">
  <w:body>
    <w:p>
      <w:r/>
    </w:p>
    <w:p>
      <w:pPr>
        <w:jc w:val="left"/>
      </w:pPr>
      <w:r/>
      <w:r>
        <w:rPr>
          <w:rFonts w:ascii="Arial" w:hAnsi="Arial" w:cs="Arial" w:eastAsia="Arial"/>
          <w:b w:val="true"/>
          <w:color w:val="000000"/>
          <w:sz w:val="28"/>
        </w:rPr>
        <w:t/>
        <w:cr/>
        <w:t>Correlations</w:t>
        <w:cr/>
      </w:r>
    </w:p>
    <w:p>
      <w:r/>
    </w:p>
    <w:tbl>
      <w:tblPr>
        <w:tblW w:w="0" w:type="auto"/>
        <w:jc w:val="left"/>
        <w:tblLayout w:type="fixed"/>
      </w:tblPr>
      <w:tblGrid>
        <w:gridCol w:w="2499"/>
        <w:gridCol w:w="2788"/>
        <w:gridCol w:w="2754"/>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Notes</w:t>
            </w:r>
          </w:p>
        </w:tc>
        <w:tc>
          <w:tcPr>
            <w:hMerge w:val="continue"/>
          </w:tcPr>
          <w:p/>
        </w:tc>
        <w:tc>
          <w:tcPr>
            <w:hMerge w:val="continue"/>
          </w:tcPr>
          <w:p/>
        </w:tc>
      </w:tr>
      <w:tr>
        <w:tc>
          <w:tcPr>
            <w:h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Output Created</w:t>
            </w:r>
          </w:p>
        </w:tc>
        <w:tc>
          <w:tcPr>
            <w:hMerge w:val="continue"/>
            <w:tcBorders>
              <w:top w:val="none" w:sz="1" w:color="152935"/>
              <w:left w:val="none" w:sz="1" w:color="152935"/>
              <w:bottom w:val="single" w:sz="1" w:color="aeaeae"/>
              <w:right w:val="none" w:sz="1" w:color="aeaeae"/>
            </w:tcBorders>
          </w:tcP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10-JUL-2024 12:59:55</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Comments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Input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Data</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/Users/apple/Desktop/DBA/Quants7011/week 6/Full data set.sav</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Active Dataset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DataSet3</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Filter</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Weight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Split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 of Rows in Working Data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Missing Value Handling</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Definition of 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User-defined missing values are treated as missing.</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Cases Used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Statistics for each pair of variables are based on all the cases with valid data for that pair.</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Syntax</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CORRELATIONS</w:t>
              <w:br/>
              <w:t>/VARIABLES=JS1 JP</w:t>
              <w:br/>
              <w:t>/PRINT=TWOTAIL NOSIG FULL</w:t>
              <w:br/>
              <w:t>/MISSING=PAIRWISE.</w:t>
              <w:br/>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Resources</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Processor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00:00:00.02</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Elapsed Time</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00:00:00.00</w:t>
            </w:r>
          </w:p>
        </w:tc>
      </w:tr>
    </w:tbl>
    <w:p>
      <w:pPr>
        <w:spacing w:before="200"/>
        <w:jc w:val="left"/>
      </w:pPr>
      <w:r/>
      <w:r>
        <w:rPr>
          <w:rFonts w:ascii="Courier New" w:hAnsi="Courier New" w:cs="Courier New" w:eastAsia="Courier New"/>
          <w:color w:val="000000"/>
          <w:sz w:val="24"/>
        </w:rPr>
        <w:t/>
        <w:cr/>
        <w:t>[DataSet3] /Users/apple/Desktop/DBA/Quants7011/week 6/Full data set.sav</w:t>
        <w:cr/>
      </w:r>
    </w:p>
    <w:p>
      <w:r/>
    </w:p>
    <w:tbl>
      <w:tblPr>
        <w:tblW w:w="0" w:type="auto"/>
        <w:jc w:val="left"/>
        <w:tblLayout w:type="fixed"/>
      </w:tblPr>
      <w:tblGrid>
        <w:gridCol w:w="1921"/>
        <w:gridCol w:w="2159"/>
        <w:gridCol w:w="1156"/>
        <w:gridCol w:w="166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Correlations</w:t>
            </w:r>
          </w:p>
        </w:tc>
        <w:tc>
          <w:tcPr>
            <w:hMerge w:val="continue"/>
          </w:tcPr>
          <w:p/>
        </w:tc>
        <w:tc>
          <w:tcPr>
            <w:hMerge w:val="continue"/>
          </w:tcPr>
          <w:p/>
        </w:tc>
        <w:tc>
          <w:tcPr>
            <w:hMerge w:val="continue"/>
          </w:tcPr>
          <w:p/>
        </w:tc>
      </w:tr>
      <w:tr>
        <w:tc>
          <w:tcPr>
            <w:hMerge w:val="restart"/>
            <w:tcBorders>
              <w:top w:val="none" w:sz="1" w:color="152935"/>
              <w:left w:val="none" w:sz="1" w:color="152935"/>
              <w:bottom w:val="single" w:sz="1" w:color="152935"/>
            </w:tcBorders>
            <w:vAlign w:val="bottom"/>
          </w:tcPr>
          <w:tcPr>
            <w:shd w:color="auto" w:val="clear" w:fill="ffffff"/>
          </w:tcPr>
          <w:p>
            <w:pPr>
              <w:spacing w:after="5" w:before="15"/>
              <w:ind w:left="30" w:right="40"/>
              <w:jc w:val="left"/>
            </w:pPr>
            <w:r>
              <w:rPr>
                <w:rFonts w:ascii="Arial" w:hAnsi="Arial" w:cs="Arial" w:eastAsia="Arial"/>
                <w:color w:val="264a60"/>
                <w:sz w:val="24"/>
              </w:rPr>
            </w:r>
          </w:p>
        </w:tc>
        <w:tc>
          <w:tcPr>
            <w:hMerge w:val="continue"/>
            <w:tcBorders>
              <w:top w:val="none" w:sz="1" w:color="152935"/>
              <w:left w:val="none" w:sz="1" w:color="152935"/>
              <w:bottom w:val="single" w:sz="1" w:color="152935"/>
            </w:tcBorders>
          </w:tcPr>
          <w:p/>
        </w:tc>
        <w:tc>
          <w:tcPr>
            <w:tcBorders>
              <w:top w:val="none" w:sz="1" w:color="152935"/>
              <w:left w:val="none" w:sz="1" w:color="152935"/>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JS1</w:t>
            </w:r>
          </w:p>
        </w:tc>
        <w:tc>
          <w:tcPr>
            <w:tcBorders>
              <w:top w:val="none" w:sz="1" w:color="152935"/>
              <w:left w:val="single" w:sz="1" w:color="e0e0e0"/>
              <w:bottom w:val="none" w:sz="1" w:color="aeaeae"/>
              <w:bottom w:val="single" w:sz="1" w:color="152935"/>
              <w:right w:val="single" w:sz="1" w:color="e0e0e0"/>
              <w:right w:val="none" w:sz="1" w:color="152935"/>
            </w:tcBorders>
            <w:vAlign w:val="bottom"/>
          </w:tcPr>
          <w:tcPr>
            <w:shd w:color="auto" w:val="clear" w:fill="ffffff"/>
          </w:tcPr>
          <w:p>
            <w:pPr>
              <w:spacing w:after="10" w:before="10"/>
              <w:ind w:left="30" w:right="40"/>
              <w:jc w:val="center"/>
            </w:pPr>
            <w:r>
              <w:rPr>
                <w:rFonts w:ascii="Arial" w:hAnsi="Arial" w:cs="Arial" w:eastAsia="Arial"/>
                <w:color w:val="264a60"/>
                <w:sz w:val="24"/>
              </w:rPr>
              <w:t>JP - Performance</w:t>
            </w:r>
          </w:p>
        </w:tc>
      </w:tr>
      <w:tr>
        <w:tc>
          <w:tcPr>
            <w:vMerge w:val="restart"/>
            <w:tcBorders>
              <w:top w:val="single" w:sz="1" w:color="152935"/>
              <w:left w:val="none" w:sz="1" w:color="152935"/>
              <w:bottom w:val="single" w:sz="1" w:color="aeaeae"/>
              <w:bottom w:val="non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JS1</w:t>
            </w:r>
          </w:p>
        </w:tc>
        <w:tc>
          <w:tcPr>
            <w:tcBorders>
              <w:top w:val="single" w:sz="1" w:color="152935"/>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Pearson Correlation</w:t>
            </w:r>
          </w:p>
        </w:tc>
        <w:tc>
          <w:tcPr>
            <w:tcBorders>
              <w:top w:val="single" w:sz="1" w:color="152935"/>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w:t>
            </w:r>
          </w:p>
        </w:tc>
        <w:tc>
          <w:tcPr>
            <w:tcBorders>
              <w:top w:val="single" w:sz="1" w:color="152935"/>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.037</w:t>
            </w:r>
          </w:p>
        </w:tc>
      </w:tr>
      <w:tr>
        <w:tc>
          <w:tcPr>
            <w:vMerge w:val="continue"/>
            <w:tcBorders>
              <w:top w:val="single" w:sz="1" w:color="152935"/>
              <w:left w:val="none" w:sz="1" w:color="152935"/>
              <w:bottom w:val="single" w:sz="1" w:color="aeaeae"/>
              <w:bottom w:val="non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Sig. (2-tailed)</w:t>
            </w:r>
          </w:p>
        </w:tc>
        <w:tc>
          <w:tcPr>
            <w:tcBorders>
              <w:top w:val="single" w:sz="1" w:color="aeaeae"/>
              <w:left w:val="none" w:sz="1" w:color="152935"/>
              <w:bottom w:val="single" w:sz="1" w:color="aeaeae"/>
              <w:right w:val="single" w:sz="1" w:color="e0e0e0"/>
            </w:tcBorders>
            <w:shd w:color="auto" w:val="clear" w:fill="f9f9fb"/>
          </w:tcP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.458</w:t>
            </w:r>
          </w:p>
        </w:tc>
      </w:tr>
      <w:tr>
        <w:tc>
          <w:tcPr>
            <w:vMerge w:val="continue"/>
            <w:tcBorders>
              <w:top w:val="single" w:sz="1" w:color="152935"/>
              <w:left w:val="none" w:sz="1" w:color="152935"/>
              <w:bottom w:val="single" w:sz="1" w:color="aeaeae"/>
              <w:bottom w:val="none" w:sz="1" w:color="aeaeae"/>
              <w:right w:val="none" w:sz="1" w:color="aeaeae"/>
            </w:tcBorders>
          </w:tcPr>
          <w:p/>
        </w:tc>
        <w:tc>
          <w:tcPr>
            <w:tcBorders>
              <w:top w:val="single" w:sz="1" w:color="aeaeae"/>
              <w:left w:val="none" w:sz="1" w:color="aeaeae"/>
              <w:bottom w:val="single" w:sz="1" w:color="aeaeae"/>
              <w:bottom w:val="non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w:t>
            </w:r>
          </w:p>
        </w:tc>
        <w:tc>
          <w:tcPr>
            <w:tcBorders>
              <w:top w:val="single" w:sz="1" w:color="aeaeae"/>
              <w:left w:val="none" w:sz="1" w:color="152935"/>
              <w:bottom w:val="single" w:sz="1" w:color="aeaeae"/>
              <w:bottom w:val="non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400</w:t>
            </w:r>
          </w:p>
        </w:tc>
        <w:tc>
          <w:tcPr>
            <w:tcBorders>
              <w:top w:val="single" w:sz="1" w:color="aeaeae"/>
              <w:left w:val="single" w:sz="1" w:color="e0e0e0"/>
              <w:bottom w:val="single" w:sz="1" w:color="aeaeae"/>
              <w:bottom w:val="non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399</w:t>
            </w:r>
          </w:p>
        </w:tc>
      </w:tr>
      <w:tr>
        <w:tc>
          <w:tcPr>
            <w:vMerge w:val="restart"/>
            <w:tcBorders>
              <w:top w:val="single" w:sz="1" w:color="aeaeae"/>
              <w:left w:val="none" w:sz="1" w:color="152935"/>
              <w:bottom w:val="single" w:sz="1" w:color="aeaeae"/>
              <w:bottom w:val="non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JP - Performance</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Pearson Correlation</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.037</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w:t>
            </w:r>
          </w:p>
        </w:tc>
      </w:tr>
      <w:tr>
        <w:tc>
          <w:tcPr>
            <w:vMerge w:val="continue"/>
            <w:tcBorders>
              <w:top w:val="single" w:sz="1" w:color="aeaeae"/>
              <w:left w:val="none" w:sz="1" w:color="152935"/>
              <w:bottom w:val="single" w:sz="1" w:color="aeaeae"/>
              <w:bottom w:val="non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Sig. (2-tailed)</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.458</w:t>
            </w:r>
          </w:p>
        </w:tc>
        <w:tc>
          <w:tcPr>
            <w:tcBorders>
              <w:top w:val="single" w:sz="1" w:color="aeaeae"/>
              <w:left w:val="single" w:sz="1" w:color="e0e0e0"/>
              <w:bottom w:val="single" w:sz="1" w:color="aeaeae"/>
              <w:right w:val="single" w:sz="1" w:color="e0e0e0"/>
              <w:right w:val="none" w:sz="1" w:color="152935"/>
            </w:tcBorders>
            <w:shd w:color="auto" w:val="clear" w:fill="f9f9fb"/>
          </w:tcPr>
          <w:p/>
        </w:tc>
      </w:tr>
      <w:tr>
        <w:tc>
          <w:tcPr>
            <w:vMerge w:val="continue"/>
            <w:tcBorders>
              <w:top w:val="single" w:sz="1" w:color="aeaeae"/>
              <w:left w:val="none" w:sz="1" w:color="152935"/>
              <w:bottom w:val="single" w:sz="1" w:color="aeaeae"/>
              <w:bottom w:val="none" w:sz="1" w:color="aeaeae"/>
              <w:bottom w:val="single" w:sz="1" w:color="152935"/>
              <w:right w:val="none" w:sz="1" w:color="aeaeae"/>
            </w:tcBorders>
          </w:tcPr>
          <w:p/>
        </w:tc>
        <w:tc>
          <w:tcPr>
            <w:tcBorders>
              <w:top w:val="single" w:sz="1" w:color="aeaeae"/>
              <w:left w:val="none" w:sz="1" w:color="aeaeae"/>
              <w:bottom w:val="single" w:sz="1" w:color="aeaeae"/>
              <w:bottom w:val="non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w:t>
            </w:r>
          </w:p>
        </w:tc>
        <w:tc>
          <w:tcPr>
            <w:tcBorders>
              <w:top w:val="single" w:sz="1" w:color="aeaeae"/>
              <w:left w:val="none" w:sz="1" w:color="152935"/>
              <w:bottom w:val="single" w:sz="1" w:color="aeaeae"/>
              <w:bottom w:val="non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399</w:t>
            </w:r>
          </w:p>
        </w:tc>
        <w:tc>
          <w:tcPr>
            <w:tcBorders>
              <w:top w:val="single" w:sz="1" w:color="aeaeae"/>
              <w:left w:val="single" w:sz="1" w:color="e0e0e0"/>
              <w:bottom w:val="single" w:sz="1" w:color="aeaeae"/>
              <w:bottom w:val="non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399</w:t>
            </w:r>
          </w:p>
        </w:tc>
      </w:tr>
    </w:tbl>
    <w:p>
      <w:r/>
    </w:p>
    <w:p>
      <w:pPr>
        <w:spacing w:before="200"/>
        <w:jc w:val="left"/>
      </w:pPr>
      <w:r/>
      <w:r>
        <w:rPr>
          <w:rFonts w:ascii="Arial" w:hAnsi="Arial" w:cs="Arial" w:eastAsia="Arial"/>
          <w:b w:val="true"/>
          <w:color w:val="000000"/>
          <w:sz w:val="28"/>
        </w:rPr>
        <w:t/>
        <w:cr/>
        <w:t>Frequencies</w:t>
        <w:cr/>
      </w:r>
    </w:p>
    <w:p>
      <w:r/>
    </w:p>
    <w:tbl>
      <w:tblPr>
        <w:tblW w:w="0" w:type="auto"/>
        <w:jc w:val="left"/>
        <w:tblLayout w:type="fixed"/>
      </w:tblPr>
      <w:tblGrid>
        <w:gridCol w:w="2499"/>
        <w:gridCol w:w="2788"/>
        <w:gridCol w:w="2754"/>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Notes</w:t>
            </w:r>
          </w:p>
        </w:tc>
        <w:tc>
          <w:tcPr>
            <w:hMerge w:val="continue"/>
          </w:tcPr>
          <w:p/>
        </w:tc>
        <w:tc>
          <w:tcPr>
            <w:hMerge w:val="continue"/>
          </w:tcPr>
          <w:p/>
        </w:tc>
      </w:tr>
      <w:tr>
        <w:tc>
          <w:tcPr>
            <w:h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Output Created</w:t>
            </w:r>
          </w:p>
        </w:tc>
        <w:tc>
          <w:tcPr>
            <w:hMerge w:val="continue"/>
            <w:tcBorders>
              <w:top w:val="none" w:sz="1" w:color="152935"/>
              <w:left w:val="none" w:sz="1" w:color="152935"/>
              <w:bottom w:val="single" w:sz="1" w:color="aeaeae"/>
              <w:right w:val="none" w:sz="1" w:color="aeaeae"/>
            </w:tcBorders>
          </w:tcP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10-JUL-2024 13:02:39</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Comments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Input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Data</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/Users/apple/Desktop/DBA/Quants7011/week 6/Full data set.sav</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Active Dataset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DataSet3</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Filter</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Weight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Split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 of Rows in Working Data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Missing Value Handling</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Definition of 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User-defined missing values are treated as missing.</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Cases Used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Statistics are based on all cases with valid data.</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Syntax</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FREQUENCIES VARIABLES=JS1</w:t>
              <w:br/>
              <w:t>/STATISTICS=MEAN MEDIAN MODE SUM SKEWNESS SESKEW KURTOSIS SEKURT</w:t>
              <w:br/>
              <w:t>/ORDER=ANALYSIS.</w:t>
              <w:br/>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Resources</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Processor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00:00:00.01</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Elapsed Time</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00:00:00.00</w:t>
            </w:r>
          </w:p>
        </w:tc>
      </w:tr>
    </w:tbl>
    <w:p>
      <w:r/>
    </w:p>
    <w:tbl>
      <w:tblPr>
        <w:tblW w:w="0" w:type="auto"/>
        <w:jc w:val="left"/>
        <w:tblLayout w:type="fixed"/>
      </w:tblPr>
      <w:tblGrid>
        <w:gridCol w:w="1224"/>
        <w:gridCol w:w="1224"/>
        <w:gridCol w:w="115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Statistics</w:t>
            </w:r>
          </w:p>
        </w:tc>
        <w:tc>
          <w:tcPr>
            <w:hMerge w:val="continue"/>
          </w:tcPr>
          <w:p/>
        </w:tc>
        <w:tc>
          <w:tcPr>
            <w:hMerge w:val="continue"/>
          </w:tcPr>
          <w:p/>
        </w:tc>
      </w:tr>
      <w:tr>
        <w:tc>
          <w:tcPr>
            <w:shd w:color="auto" w:val="clear" w:fill="ffffff"/>
            <w:vAlign w:val="bottom"/>
          </w:tcPr>
          <w:tcPr>
            <w:hMerge w:val="restart"/>
          </w:tcPr>
          <w:p>
            <w:pPr>
              <w:spacing w:after="15" w:before="5"/>
              <w:ind w:left="30" w:right="40"/>
              <w:jc w:val="left"/>
            </w:pPr>
            <w:r>
              <w:rPr>
                <w:rFonts w:ascii="Arial" w:hAnsi="Arial" w:cs="Arial" w:eastAsia="Arial"/>
                <w:color w:val="010205"/>
                <w:sz w:val="24"/>
              </w:rPr>
              <w:t>JS1</w:t>
            </w:r>
          </w:p>
        </w:tc>
        <w:tc>
          <w:tcPr>
            <w:hMerge w:val="continue"/>
          </w:tcPr>
          <w:p/>
        </w:tc>
        <w:tc>
          <w:tcPr>
            <w:hMerge w:val="continue"/>
          </w:tcPr>
          <w:p/>
        </w:tc>
      </w:tr>
      <w:tr>
        <w:tc>
          <w:tcPr>
            <w:v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w:t>
            </w:r>
          </w:p>
        </w:tc>
        <w:tc>
          <w:tcPr>
            <w:tcBorders>
              <w:top w:val="none" w:sz="1" w:color="152935"/>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Valid</w:t>
            </w: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continue"/>
            <w:tcBorders>
              <w:top w:val="none" w:sz="1" w:color="152935"/>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Mean</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4.20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Median</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Mode</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Skewness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-.088</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Std. Error of Skewness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.122</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Kurtosis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-.188</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Std. Error of Kurtosis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.243</w:t>
            </w:r>
          </w:p>
        </w:tc>
      </w:tr>
      <w:tr>
        <w:tc>
          <w:tcPr>
            <w:h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Sum</w:t>
            </w:r>
          </w:p>
        </w:tc>
        <w:tc>
          <w:tcPr>
            <w:h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1679</w:t>
            </w:r>
          </w:p>
        </w:tc>
      </w:tr>
    </w:tbl>
    <w:p>
      <w:r/>
    </w:p>
    <w:tbl>
      <w:tblPr>
        <w:tblW w:w="0" w:type="auto"/>
        <w:jc w:val="left"/>
        <w:tblLayout w:type="fixed"/>
      </w:tblPr>
      <w:tblGrid>
        <w:gridCol w:w="833"/>
        <w:gridCol w:w="833"/>
        <w:gridCol w:w="1241"/>
        <w:gridCol w:w="1156"/>
        <w:gridCol w:w="1530"/>
        <w:gridCol w:w="166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JS1</w:t>
            </w:r>
          </w:p>
        </w:tc>
        <w:tc>
          <w:tcPr>
            <w:hMerge w:val="continue"/>
          </w:tcPr>
          <w:p/>
        </w:tc>
        <w:tc>
          <w:tcPr>
            <w:hMerge w:val="continue"/>
          </w:tcPr>
          <w:p/>
        </w:tc>
        <w:tc>
          <w:tcPr>
            <w:hMerge w:val="continue"/>
          </w:tcPr>
          <w:p/>
        </w:tc>
        <w:tc>
          <w:tcPr>
            <w:hMerge w:val="continue"/>
          </w:tcPr>
          <w:p/>
        </w:tc>
        <w:tc>
          <w:tcPr>
            <w:hMerge w:val="continue"/>
          </w:tcPr>
          <w:p/>
        </w:tc>
      </w:tr>
      <w:tr>
        <w:tc>
          <w:tcPr>
            <w:hMerge w:val="restart"/>
            <w:tcBorders>
              <w:top w:val="none" w:sz="1" w:color="152935"/>
              <w:left w:val="none" w:sz="1" w:color="152935"/>
              <w:bottom w:val="single" w:sz="1" w:color="152935"/>
            </w:tcBorders>
            <w:vAlign w:val="bottom"/>
          </w:tcPr>
          <w:tcPr>
            <w:shd w:color="auto" w:val="clear" w:fill="ffffff"/>
          </w:tcPr>
          <w:p>
            <w:pPr>
              <w:spacing w:after="5" w:before="15"/>
              <w:ind w:left="30" w:right="40"/>
              <w:jc w:val="left"/>
            </w:pPr>
            <w:r>
              <w:rPr>
                <w:rFonts w:ascii="Arial" w:hAnsi="Arial" w:cs="Arial" w:eastAsia="Arial"/>
                <w:color w:val="264a60"/>
                <w:sz w:val="24"/>
              </w:rPr>
            </w:r>
          </w:p>
        </w:tc>
        <w:tc>
          <w:tcPr>
            <w:hMerge w:val="continue"/>
            <w:tcBorders>
              <w:top w:val="none" w:sz="1" w:color="152935"/>
              <w:left w:val="none" w:sz="1" w:color="152935"/>
              <w:bottom w:val="single" w:sz="1" w:color="152935"/>
            </w:tcBorders>
          </w:tcPr>
          <w:p/>
        </w:tc>
        <w:tc>
          <w:tcPr>
            <w:tcBorders>
              <w:top w:val="none" w:sz="1" w:color="152935"/>
              <w:left w:val="none" w:sz="1" w:color="152935"/>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Frequency</w:t>
            </w:r>
          </w:p>
        </w:tc>
        <w:tc>
          <w:tcPr>
            <w:tcBorders>
              <w:top w:val="none" w:sz="1" w:color="152935"/>
              <w:left w:val="single" w:sz="1" w:color="e0e0e0"/>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Percent</w:t>
            </w:r>
          </w:p>
        </w:tc>
        <w:tc>
          <w:tcPr>
            <w:tcBorders>
              <w:top w:val="none" w:sz="1" w:color="152935"/>
              <w:left w:val="single" w:sz="1" w:color="e0e0e0"/>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Valid Percent</w:t>
            </w:r>
          </w:p>
        </w:tc>
        <w:tc>
          <w:tcPr>
            <w:tcBorders>
              <w:top w:val="none" w:sz="1" w:color="152935"/>
              <w:left w:val="single" w:sz="1" w:color="e0e0e0"/>
              <w:bottom w:val="none" w:sz="1" w:color="aeaeae"/>
              <w:bottom w:val="single" w:sz="1" w:color="152935"/>
              <w:right w:val="single" w:sz="1" w:color="e0e0e0"/>
              <w:right w:val="none" w:sz="1" w:color="152935"/>
            </w:tcBorders>
            <w:vAlign w:val="bottom"/>
          </w:tcPr>
          <w:tcPr>
            <w:shd w:color="auto" w:val="clear" w:fill="ffffff"/>
          </w:tcPr>
          <w:p>
            <w:pPr>
              <w:spacing w:after="10" w:before="10"/>
              <w:ind w:left="30" w:right="40"/>
              <w:jc w:val="center"/>
            </w:pPr>
            <w:r>
              <w:rPr>
                <w:rFonts w:ascii="Arial" w:hAnsi="Arial" w:cs="Arial" w:eastAsia="Arial"/>
                <w:color w:val="264a60"/>
                <w:sz w:val="24"/>
              </w:rPr>
              <w:t>Cumulative Percent</w:t>
            </w:r>
          </w:p>
        </w:tc>
      </w:tr>
      <w:tr>
        <w:tc>
          <w:tcPr>
            <w:vMerge w:val="restart"/>
            <w:tcBorders>
              <w:top w:val="single" w:sz="1" w:color="152935"/>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Valid</w:t>
            </w:r>
          </w:p>
        </w:tc>
        <w:tc>
          <w:tcPr>
            <w:tcBorders>
              <w:top w:val="single" w:sz="1" w:color="152935"/>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1</w:t>
            </w:r>
          </w:p>
        </w:tc>
        <w:tc>
          <w:tcPr>
            <w:tcBorders>
              <w:top w:val="single" w:sz="1" w:color="152935"/>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9</w:t>
            </w:r>
          </w:p>
        </w:tc>
        <w:tc>
          <w:tcPr>
            <w:tcBorders>
              <w:top w:val="single" w:sz="1" w:color="152935"/>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2.3</w:t>
            </w:r>
          </w:p>
        </w:tc>
        <w:tc>
          <w:tcPr>
            <w:tcBorders>
              <w:top w:val="single" w:sz="1" w:color="152935"/>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2.3</w:t>
            </w:r>
          </w:p>
        </w:tc>
        <w:tc>
          <w:tcPr>
            <w:tcBorders>
              <w:top w:val="single" w:sz="1" w:color="152935"/>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2.3</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2</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37</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9.3</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9.3</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11.5</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3</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63</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15.8</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15.8</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27.3</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4</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127</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31.8</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31.8</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59.0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5</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104</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26.0</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26.0</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85.0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6</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41</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10.3</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10.3</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95.3</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7</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19</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4.8</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4.8</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100.0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Total</w:t>
            </w:r>
          </w:p>
        </w:tc>
        <w:tc>
          <w:tcPr>
            <w:tcBorders>
              <w:top w:val="single" w:sz="1" w:color="aeaeae"/>
              <w:left w:val="none" w:sz="1" w:color="152935"/>
              <w:bottom w:val="singl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400</w:t>
            </w:r>
          </w:p>
        </w:tc>
        <w:tc>
          <w:tcPr>
            <w:tcBorders>
              <w:top w:val="single" w:sz="1" w:color="aeaeae"/>
              <w:left w:val="single" w:sz="1" w:color="e0e0e0"/>
              <w:bottom w:val="singl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100.0</w:t>
            </w:r>
          </w:p>
        </w:tc>
        <w:tc>
          <w:tcPr>
            <w:tcBorders>
              <w:top w:val="single" w:sz="1" w:color="aeaeae"/>
              <w:left w:val="single" w:sz="1" w:color="e0e0e0"/>
              <w:bottom w:val="singl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100.0</w:t>
            </w:r>
          </w:p>
        </w:tc>
        <w:tc>
          <w:tcPr>
            <w:tcBorders>
              <w:top w:val="single" w:sz="1" w:color="aeaeae"/>
              <w:left w:val="single" w:sz="1" w:color="e0e0e0"/>
              <w:bottom w:val="single" w:sz="1" w:color="aeaeae"/>
              <w:bottom w:val="single" w:sz="1" w:color="152935"/>
              <w:right w:val="single" w:sz="1" w:color="e0e0e0"/>
              <w:right w:val="none" w:sz="1" w:color="152935"/>
            </w:tcBorders>
            <w:shd w:color="auto" w:val="clear" w:fill="f9f9fb"/>
          </w:tcPr>
          <w:p/>
        </w:tc>
      </w:tr>
    </w:tbl>
    <w:p>
      <w:r/>
    </w:p>
    <w:p>
      <w:pPr>
        <w:spacing w:before="200"/>
        <w:jc w:val="left"/>
      </w:pPr>
      <w:r/>
      <w:r>
        <w:rPr>
          <w:rFonts w:ascii="Arial" w:hAnsi="Arial" w:cs="Arial" w:eastAsia="Arial"/>
          <w:b w:val="true"/>
          <w:color w:val="000000"/>
          <w:sz w:val="28"/>
        </w:rPr>
        <w:t/>
        <w:cr/>
        <w:t>Frequencies</w:t>
        <w:cr/>
      </w:r>
    </w:p>
    <w:p>
      <w:r/>
    </w:p>
    <w:tbl>
      <w:tblPr>
        <w:tblW w:w="0" w:type="auto"/>
        <w:jc w:val="left"/>
        <w:tblLayout w:type="fixed"/>
      </w:tblPr>
      <w:tblGrid>
        <w:gridCol w:w="2499"/>
        <w:gridCol w:w="2788"/>
        <w:gridCol w:w="2754"/>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Notes</w:t>
            </w:r>
          </w:p>
        </w:tc>
        <w:tc>
          <w:tcPr>
            <w:hMerge w:val="continue"/>
          </w:tcPr>
          <w:p/>
        </w:tc>
        <w:tc>
          <w:tcPr>
            <w:hMerge w:val="continue"/>
          </w:tcPr>
          <w:p/>
        </w:tc>
      </w:tr>
      <w:tr>
        <w:tc>
          <w:tcPr>
            <w:h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Output Created</w:t>
            </w:r>
          </w:p>
        </w:tc>
        <w:tc>
          <w:tcPr>
            <w:hMerge w:val="continue"/>
            <w:tcBorders>
              <w:top w:val="none" w:sz="1" w:color="152935"/>
              <w:left w:val="none" w:sz="1" w:color="152935"/>
              <w:bottom w:val="single" w:sz="1" w:color="aeaeae"/>
              <w:right w:val="none" w:sz="1" w:color="aeaeae"/>
            </w:tcBorders>
          </w:tcP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10-JUL-2024 13:03:24</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Comments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Input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Data</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/Users/apple/Desktop/DBA/Quants7011/week 6/Full data set.sav</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Active Dataset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DataSet3</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Filter</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Weight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Split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 of Rows in Working Data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Missing Value Handling</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Definition of 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User-defined missing values are treated as missing.</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Cases Used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Statistics are based on all cases with valid data.</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Syntax</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FREQUENCIES VARIABLES=JS1</w:t>
              <w:br/>
              <w:t>/STATISTICS=MEAN MEDIAN MODE SUM SKEWNESS SESKEW KURTOSIS SEKURT</w:t>
              <w:br/>
              <w:t>/HISTOGRAM</w:t>
              <w:br/>
              <w:t>/ORDER=ANALYSIS.</w:t>
              <w:br/>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Resources</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Processor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00:00:00.49</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Elapsed Time</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00:00:01.00</w:t>
            </w:r>
          </w:p>
        </w:tc>
      </w:tr>
    </w:tbl>
    <w:p>
      <w:r/>
    </w:p>
    <w:tbl>
      <w:tblPr>
        <w:tblW w:w="0" w:type="auto"/>
        <w:jc w:val="left"/>
        <w:tblLayout w:type="fixed"/>
      </w:tblPr>
      <w:tblGrid>
        <w:gridCol w:w="1224"/>
        <w:gridCol w:w="1224"/>
        <w:gridCol w:w="115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Statistics</w:t>
            </w:r>
          </w:p>
        </w:tc>
        <w:tc>
          <w:tcPr>
            <w:hMerge w:val="continue"/>
          </w:tcPr>
          <w:p/>
        </w:tc>
        <w:tc>
          <w:tcPr>
            <w:hMerge w:val="continue"/>
          </w:tcPr>
          <w:p/>
        </w:tc>
      </w:tr>
      <w:tr>
        <w:tc>
          <w:tcPr>
            <w:shd w:color="auto" w:val="clear" w:fill="ffffff"/>
            <w:vAlign w:val="bottom"/>
          </w:tcPr>
          <w:tcPr>
            <w:hMerge w:val="restart"/>
          </w:tcPr>
          <w:p>
            <w:pPr>
              <w:spacing w:after="15" w:before="5"/>
              <w:ind w:left="30" w:right="40"/>
              <w:jc w:val="left"/>
            </w:pPr>
            <w:r>
              <w:rPr>
                <w:rFonts w:ascii="Arial" w:hAnsi="Arial" w:cs="Arial" w:eastAsia="Arial"/>
                <w:color w:val="010205"/>
                <w:sz w:val="24"/>
              </w:rPr>
              <w:t>JS1</w:t>
            </w:r>
          </w:p>
        </w:tc>
        <w:tc>
          <w:tcPr>
            <w:hMerge w:val="continue"/>
          </w:tcPr>
          <w:p/>
        </w:tc>
        <w:tc>
          <w:tcPr>
            <w:hMerge w:val="continue"/>
          </w:tcPr>
          <w:p/>
        </w:tc>
      </w:tr>
      <w:tr>
        <w:tc>
          <w:tcPr>
            <w:v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w:t>
            </w:r>
          </w:p>
        </w:tc>
        <w:tc>
          <w:tcPr>
            <w:tcBorders>
              <w:top w:val="none" w:sz="1" w:color="152935"/>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Valid</w:t>
            </w: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continue"/>
            <w:tcBorders>
              <w:top w:val="none" w:sz="1" w:color="152935"/>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Mean</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4.20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Median</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Mode</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Skewness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-.088</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Std. Error of Skewness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.122</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Kurtosis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-.188</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Std. Error of Kurtosis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.243</w:t>
            </w:r>
          </w:p>
        </w:tc>
      </w:tr>
      <w:tr>
        <w:tc>
          <w:tcPr>
            <w:h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Sum</w:t>
            </w:r>
          </w:p>
        </w:tc>
        <w:tc>
          <w:tcPr>
            <w:h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1679</w:t>
            </w:r>
          </w:p>
        </w:tc>
      </w:tr>
    </w:tbl>
    <w:p>
      <w:r/>
    </w:p>
    <w:tbl>
      <w:tblPr>
        <w:tblW w:w="0" w:type="auto"/>
        <w:jc w:val="left"/>
        <w:tblLayout w:type="fixed"/>
      </w:tblPr>
      <w:tblGrid>
        <w:gridCol w:w="833"/>
        <w:gridCol w:w="833"/>
        <w:gridCol w:w="1241"/>
        <w:gridCol w:w="1156"/>
        <w:gridCol w:w="1530"/>
        <w:gridCol w:w="166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JS1</w:t>
            </w:r>
          </w:p>
        </w:tc>
        <w:tc>
          <w:tcPr>
            <w:hMerge w:val="continue"/>
          </w:tcPr>
          <w:p/>
        </w:tc>
        <w:tc>
          <w:tcPr>
            <w:hMerge w:val="continue"/>
          </w:tcPr>
          <w:p/>
        </w:tc>
        <w:tc>
          <w:tcPr>
            <w:hMerge w:val="continue"/>
          </w:tcPr>
          <w:p/>
        </w:tc>
        <w:tc>
          <w:tcPr>
            <w:hMerge w:val="continue"/>
          </w:tcPr>
          <w:p/>
        </w:tc>
        <w:tc>
          <w:tcPr>
            <w:hMerge w:val="continue"/>
          </w:tcPr>
          <w:p/>
        </w:tc>
      </w:tr>
      <w:tr>
        <w:tc>
          <w:tcPr>
            <w:hMerge w:val="restart"/>
            <w:tcBorders>
              <w:top w:val="none" w:sz="1" w:color="152935"/>
              <w:left w:val="none" w:sz="1" w:color="152935"/>
              <w:bottom w:val="single" w:sz="1" w:color="152935"/>
            </w:tcBorders>
            <w:vAlign w:val="bottom"/>
          </w:tcPr>
          <w:tcPr>
            <w:shd w:color="auto" w:val="clear" w:fill="ffffff"/>
          </w:tcPr>
          <w:p>
            <w:pPr>
              <w:spacing w:after="5" w:before="15"/>
              <w:ind w:left="30" w:right="40"/>
              <w:jc w:val="left"/>
            </w:pPr>
            <w:r>
              <w:rPr>
                <w:rFonts w:ascii="Arial" w:hAnsi="Arial" w:cs="Arial" w:eastAsia="Arial"/>
                <w:color w:val="264a60"/>
                <w:sz w:val="24"/>
              </w:rPr>
            </w:r>
          </w:p>
        </w:tc>
        <w:tc>
          <w:tcPr>
            <w:hMerge w:val="continue"/>
            <w:tcBorders>
              <w:top w:val="none" w:sz="1" w:color="152935"/>
              <w:left w:val="none" w:sz="1" w:color="152935"/>
              <w:bottom w:val="single" w:sz="1" w:color="152935"/>
            </w:tcBorders>
          </w:tcPr>
          <w:p/>
        </w:tc>
        <w:tc>
          <w:tcPr>
            <w:tcBorders>
              <w:top w:val="none" w:sz="1" w:color="152935"/>
              <w:left w:val="none" w:sz="1" w:color="152935"/>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Frequency</w:t>
            </w:r>
          </w:p>
        </w:tc>
        <w:tc>
          <w:tcPr>
            <w:tcBorders>
              <w:top w:val="none" w:sz="1" w:color="152935"/>
              <w:left w:val="single" w:sz="1" w:color="e0e0e0"/>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Percent</w:t>
            </w:r>
          </w:p>
        </w:tc>
        <w:tc>
          <w:tcPr>
            <w:tcBorders>
              <w:top w:val="none" w:sz="1" w:color="152935"/>
              <w:left w:val="single" w:sz="1" w:color="e0e0e0"/>
              <w:bottom w:val="none" w:sz="1" w:color="aeaeae"/>
              <w:bottom w:val="single" w:sz="1" w:color="152935"/>
              <w:right w:val="single" w:sz="1" w:color="e0e0e0"/>
            </w:tcBorders>
            <w:vAlign w:val="bottom"/>
          </w:tcPr>
          <w:tcPr>
            <w:shd w:color="auto" w:val="clear" w:fill="ffffff"/>
          </w:tcPr>
          <w:p>
            <w:pPr>
              <w:spacing w:after="10" w:before="10"/>
              <w:ind w:left="30" w:right="40"/>
              <w:jc w:val="center"/>
            </w:pPr>
            <w:r>
              <w:rPr>
                <w:rFonts w:ascii="Arial" w:hAnsi="Arial" w:cs="Arial" w:eastAsia="Arial"/>
                <w:color w:val="264a60"/>
                <w:sz w:val="24"/>
              </w:rPr>
              <w:t>Valid Percent</w:t>
            </w:r>
          </w:p>
        </w:tc>
        <w:tc>
          <w:tcPr>
            <w:tcBorders>
              <w:top w:val="none" w:sz="1" w:color="152935"/>
              <w:left w:val="single" w:sz="1" w:color="e0e0e0"/>
              <w:bottom w:val="none" w:sz="1" w:color="aeaeae"/>
              <w:bottom w:val="single" w:sz="1" w:color="152935"/>
              <w:right w:val="single" w:sz="1" w:color="e0e0e0"/>
              <w:right w:val="none" w:sz="1" w:color="152935"/>
            </w:tcBorders>
            <w:vAlign w:val="bottom"/>
          </w:tcPr>
          <w:tcPr>
            <w:shd w:color="auto" w:val="clear" w:fill="ffffff"/>
          </w:tcPr>
          <w:p>
            <w:pPr>
              <w:spacing w:after="10" w:before="10"/>
              <w:ind w:left="30" w:right="40"/>
              <w:jc w:val="center"/>
            </w:pPr>
            <w:r>
              <w:rPr>
                <w:rFonts w:ascii="Arial" w:hAnsi="Arial" w:cs="Arial" w:eastAsia="Arial"/>
                <w:color w:val="264a60"/>
                <w:sz w:val="24"/>
              </w:rPr>
              <w:t>Cumulative Percent</w:t>
            </w:r>
          </w:p>
        </w:tc>
      </w:tr>
      <w:tr>
        <w:tc>
          <w:tcPr>
            <w:vMerge w:val="restart"/>
            <w:tcBorders>
              <w:top w:val="single" w:sz="1" w:color="152935"/>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Valid</w:t>
            </w:r>
          </w:p>
        </w:tc>
        <w:tc>
          <w:tcPr>
            <w:tcBorders>
              <w:top w:val="single" w:sz="1" w:color="152935"/>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1</w:t>
            </w:r>
          </w:p>
        </w:tc>
        <w:tc>
          <w:tcPr>
            <w:tcBorders>
              <w:top w:val="single" w:sz="1" w:color="152935"/>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9</w:t>
            </w:r>
          </w:p>
        </w:tc>
        <w:tc>
          <w:tcPr>
            <w:tcBorders>
              <w:top w:val="single" w:sz="1" w:color="152935"/>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2.3</w:t>
            </w:r>
          </w:p>
        </w:tc>
        <w:tc>
          <w:tcPr>
            <w:tcBorders>
              <w:top w:val="single" w:sz="1" w:color="152935"/>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2.3</w:t>
            </w:r>
          </w:p>
        </w:tc>
        <w:tc>
          <w:tcPr>
            <w:tcBorders>
              <w:top w:val="single" w:sz="1" w:color="152935"/>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2.3</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2</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37</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9.3</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9.3</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11.5</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3</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63</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15.8</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15.8</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27.3</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4</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127</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31.8</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31.8</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59.0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5</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104</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26.0</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26.0</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85.0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6</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41</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10.3</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10.3</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95.3</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7</w:t>
            </w:r>
          </w:p>
        </w:tc>
        <w:tc>
          <w:tcPr>
            <w:tcBorders>
              <w:top w:val="single" w:sz="1" w:color="aeaeae"/>
              <w:left w:val="none" w:sz="1" w:color="152935"/>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19</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4.8</w:t>
            </w:r>
          </w:p>
        </w:tc>
        <w:tc>
          <w:tcPr>
            <w:tcBorders>
              <w:top w:val="single" w:sz="1" w:color="aeaeae"/>
              <w:left w:val="single" w:sz="1" w:color="e0e0e0"/>
              <w:bottom w:val="single" w:sz="1" w:color="aeaeae"/>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4.8</w:t>
            </w:r>
          </w:p>
        </w:tc>
        <w:tc>
          <w:tcPr>
            <w:tcBorders>
              <w:top w:val="single" w:sz="1" w:color="aeaeae"/>
              <w:left w:val="single" w:sz="1" w:color="e0e0e0"/>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100.0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Total</w:t>
            </w:r>
          </w:p>
        </w:tc>
        <w:tc>
          <w:tcPr>
            <w:tcBorders>
              <w:top w:val="single" w:sz="1" w:color="aeaeae"/>
              <w:left w:val="none" w:sz="1" w:color="152935"/>
              <w:bottom w:val="singl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400</w:t>
            </w:r>
          </w:p>
        </w:tc>
        <w:tc>
          <w:tcPr>
            <w:tcBorders>
              <w:top w:val="single" w:sz="1" w:color="aeaeae"/>
              <w:left w:val="single" w:sz="1" w:color="e0e0e0"/>
              <w:bottom w:val="singl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100.0</w:t>
            </w:r>
          </w:p>
        </w:tc>
        <w:tc>
          <w:tcPr>
            <w:tcBorders>
              <w:top w:val="single" w:sz="1" w:color="aeaeae"/>
              <w:left w:val="single" w:sz="1" w:color="e0e0e0"/>
              <w:bottom w:val="single" w:sz="1" w:color="aeaeae"/>
              <w:bottom w:val="single" w:sz="1" w:color="152935"/>
              <w:right w:val="single" w:sz="1" w:color="e0e0e0"/>
            </w:tcBorders>
            <w:vAlign w:val="top"/>
          </w:tcPr>
          <w:tcPr>
            <w:shd w:color="auto" w:val="clear" w:fill="f9f9fb"/>
          </w:tcPr>
          <w:p>
            <w:pPr>
              <w:spacing w:after="10" w:before="15"/>
              <w:ind w:left="30" w:right="40"/>
              <w:jc w:val="right"/>
            </w:pPr>
            <w:r>
              <w:rPr>
                <w:rFonts w:ascii="Arial" w:hAnsi="Arial" w:cs="Arial" w:eastAsia="Arial"/>
                <w:color w:val="010205"/>
                <w:sz w:val="24"/>
              </w:rPr>
              <w:t>100.0</w:t>
            </w:r>
          </w:p>
        </w:tc>
        <w:tc>
          <w:tcPr>
            <w:tcBorders>
              <w:top w:val="single" w:sz="1" w:color="aeaeae"/>
              <w:left w:val="single" w:sz="1" w:color="e0e0e0"/>
              <w:bottom w:val="single" w:sz="1" w:color="aeaeae"/>
              <w:bottom w:val="single" w:sz="1" w:color="152935"/>
              <w:right w:val="single" w:sz="1" w:color="e0e0e0"/>
              <w:right w:val="none" w:sz="1" w:color="152935"/>
            </w:tcBorders>
            <w:shd w:color="auto" w:val="clear" w:fill="f9f9fb"/>
          </w:tcPr>
          <w:p/>
        </w:tc>
      </w:tr>
    </w:tbl>
    <w:p>
      <w:r/>
    </w:p>
    <w:p>
      <w:pPr>
        <w:jc w:val="left"/>
      </w:pPr>
      <w:r>
        <w:drawing>
          <wp:inline distT="0" distR="0" distB="0" distL="0">
            <wp:extent cx="7099300" cy="4172616"/>
            <wp:docPr id="0" name="Drawing 0" descr="img.eps"/>
            <a:graphic xmlns:a="http://schemas.openxmlformats.org/drawingml/2006/main">
              <a:graphicData uri="http://schemas.openxmlformats.org/drawingml/2006/picture">
                <pic:pic xmlns:pic="http://schemas.openxmlformats.org/drawingml/2006/picture">
                  <pic:nvPicPr>
                    <pic:cNvPr id="0" name="Picture 0" descr="img.eps"/>
                    <pic:cNvPicPr>
                      <a:picLocks noChangeAspect="true"/>
                    </pic:cNvPicPr>
                  </pic:nvPicPr>
                  <pic:blipFill>
                    <a:blip r:embed="rId2"/>
                    <a:stretch>
                      <a:fillRect/>
                    </a:stretch>
                  </pic:blipFill>
                  <pic:spPr>
                    <a:xfrm>
                      <a:off x="0" y="0"/>
                      <a:ext cx="7099300" cy="4172616"/>
                    </a:xfrm>
                    <a:prstGeom prst="rect">
                      <a:avLst/>
                    </a:prstGeom>
                  </pic:spPr>
                </pic:pic>
              </a:graphicData>
            </a:graphic>
          </wp:inline>
        </w:drawing>
      </w:r>
    </w:p>
    <w:p>
      <w:r/>
    </w:p>
    <w:p>
      <w:pPr>
        <w:spacing w:before="200"/>
        <w:jc w:val="left"/>
      </w:pPr>
      <w:r/>
      <w:r>
        <w:rPr>
          <w:rFonts w:ascii="Arial" w:hAnsi="Arial" w:cs="Arial" w:eastAsia="Arial"/>
          <w:b w:val="true"/>
          <w:color w:val="000000"/>
          <w:sz w:val="28"/>
        </w:rPr>
        <w:t/>
        <w:cr/>
        <w:t>PPlot</w:t>
        <w:cr/>
      </w:r>
    </w:p>
    <w:p>
      <w:r/>
    </w:p>
    <w:tbl>
      <w:tblPr>
        <w:tblW w:w="0" w:type="auto"/>
        <w:jc w:val="left"/>
        <w:tblLayout w:type="fixed"/>
      </w:tblPr>
      <w:tblGrid>
        <w:gridCol w:w="2788"/>
        <w:gridCol w:w="2788"/>
        <w:gridCol w:w="2754"/>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Notes</w:t>
            </w:r>
          </w:p>
        </w:tc>
        <w:tc>
          <w:tcPr>
            <w:hMerge w:val="continue"/>
          </w:tcPr>
          <w:p/>
        </w:tc>
        <w:tc>
          <w:tcPr>
            <w:hMerge w:val="continue"/>
          </w:tcPr>
          <w:p/>
        </w:tc>
      </w:tr>
      <w:tr>
        <w:tc>
          <w:tcPr>
            <w:h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Output Created</w:t>
            </w:r>
          </w:p>
        </w:tc>
        <w:tc>
          <w:tcPr>
            <w:hMerge w:val="continue"/>
            <w:tcBorders>
              <w:top w:val="none" w:sz="1" w:color="152935"/>
              <w:left w:val="none" w:sz="1" w:color="152935"/>
              <w:bottom w:val="single" w:sz="1" w:color="aeaeae"/>
              <w:right w:val="none" w:sz="1" w:color="aeaeae"/>
            </w:tcBorders>
          </w:tcP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10-JUL-2024 13:05:08</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Comments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Input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Data</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/Users/apple/Desktop/DBA/Quants7011/week 6/Full data set.sav</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Active Dataset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DataSet3</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Filter</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Weight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Split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 of Rows in Working Data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Date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Missing Value Handling</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Definition of 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User-defined missing values are treated as missing.</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Cases Used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For a given sequence or time series variable, cases with missing values are not used in the analysis. Cases with negative or zero values are also not used, if the log transform is requested.</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Syntax</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PPLOT</w:t>
              <w:br/>
              <w:t>/VARIABLES=JS1</w:t>
              <w:br/>
              <w:t>/NOLOG</w:t>
              <w:br/>
              <w:t>/NOSTANDARDIZE</w:t>
              <w:br/>
              <w:t>/TYPE=Q-Q</w:t>
              <w:br/>
              <w:t>/FRACTION=BLOM</w:t>
              <w:br/>
              <w:t>/TIES=MEAN</w:t>
              <w:br/>
              <w:t>/DIST=NORMAL.</w:t>
              <w:br/>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Resources</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Processor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00:00:00.66</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Elapsed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00:00:00.00</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Use</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From</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First observation</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To</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Last observation</w:t>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Time Series Settings (TSET)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Amount of Output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PRINT = DEFAULT</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Saving New Variables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NEWVAR = CURRENT</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Maximum Number of Lags in Autocorrelation or Partial Autocorrelation Plots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MXAUTO = 16</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Maximum Number of Lags Per Cross-Correlation Plots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MXCROSS = 7</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Maximum Number of New Variables Generated Per Procedure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MXNEWVAR = 60</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Maximum Number of New Cases Per Procedure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MXPREDICT = 1000</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Treatment of User-Missing Values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MISSING = EXCLUDE</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Confidence Interval Percentage Value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CIN = 95</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Tolerance for Entering Variables in Regression Equations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TOLER = .0001</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Maximum Iterative Parameter Change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CNVERGE = .001</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Method of Calculating Std. Errors for Autocorrelations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ACFSE = IND</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Length of Seasonal Period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Unspecified</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Variable Whose Values Label Observations in Plots</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Unspecified</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Equations Include</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CONSTANT</w:t>
            </w:r>
          </w:p>
        </w:tc>
      </w:tr>
    </w:tbl>
    <w:p>
      <w:r/>
    </w:p>
    <w:tbl>
      <w:tblPr>
        <w:tblW w:w="0" w:type="auto"/>
        <w:jc w:val="left"/>
        <w:tblLayout w:type="fixed"/>
      </w:tblPr>
      <w:tblGrid>
        <w:gridCol w:w="2091"/>
        <w:gridCol w:w="1802"/>
        <w:gridCol w:w="2210"/>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Model Description</w:t>
            </w:r>
          </w:p>
        </w:tc>
        <w:tc>
          <w:tcPr>
            <w:hMerge w:val="continue"/>
          </w:tcPr>
          <w:p/>
        </w:tc>
        <w:tc>
          <w:tcPr>
            <w:hMerge w:val="continue"/>
          </w:tcPr>
          <w:p/>
        </w:tc>
      </w:tr>
      <w:tr>
        <w:tc>
          <w:tcPr>
            <w:h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Model Name</w:t>
            </w:r>
          </w:p>
        </w:tc>
        <w:tc>
          <w:tcPr>
            <w:hMerge w:val="continue"/>
            <w:tcBorders>
              <w:top w:val="none" w:sz="1" w:color="152935"/>
              <w:left w:val="none" w:sz="1" w:color="152935"/>
              <w:bottom w:val="single" w:sz="1" w:color="aeaeae"/>
              <w:right w:val="none" w:sz="1" w:color="aeaeae"/>
            </w:tcBorders>
          </w:tcP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MOD_2</w:t>
            </w:r>
          </w:p>
        </w:tc>
      </w:tr>
      <w:tr>
        <w:tc>
          <w:tcPr>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Series or Sequence</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1</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JS1</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Transformation</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None</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Non-Seasonal Differencing</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Seasonal Differencing</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Length of Seasonal Period</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No periodicity</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Standardization</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Not applied</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Distribution</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Type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Normal</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Location</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estimated</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Scale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estimated</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Fractional Rank Estimation Method</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Blom's</w:t>
            </w:r>
          </w:p>
        </w:tc>
      </w:tr>
      <w:tr>
        <w:tc>
          <w:tcPr>
            <w:h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Rank Assigned to Ties</w:t>
            </w:r>
          </w:p>
        </w:tc>
        <w:tc>
          <w:tcPr>
            <w:h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Mean rank of tied values</w:t>
            </w:r>
          </w:p>
        </w:tc>
      </w:tr>
    </w:tbl>
    <w:tbl>
      <w:tblPr>
        <w:tblW w:w="0" w:type="auto"/>
        <w:jc w:val="left"/>
        <w:tblLayout w:type="fixed"/>
      </w:tblPr>
      <w:tblGrid>
        <w:gridCol w:w="2091"/>
        <w:gridCol w:w="1802"/>
        <w:gridCol w:w="2210"/>
      </w:tblGrid>
      <w:tr>
        <w:tc>
          <w:tcPr>
            <w:hMerge w:val="restart"/>
            <w:vAlign w:val="top"/>
          </w:tcPr>
          <w:tcPr>
            <w:shd w:color="auto" w:val="clear" w:fill="ffffff"/>
          </w:tcPr>
          <w:p>
            <w:pPr>
              <w:spacing w:after="5" w:before="5"/>
              <w:ind w:left="30" w:right="40"/>
              <w:jc w:val="left"/>
            </w:pPr>
            <w:r>
              <w:rPr>
                <w:rFonts w:ascii="Arial" w:hAnsi="Arial" w:cs="Arial" w:eastAsia="Arial"/>
                <w:color w:val="010205"/>
                <w:sz w:val="24"/>
              </w:rPr>
              <w:t>Applying the model specifications from MOD_2</w:t>
            </w:r>
          </w:p>
        </w:tc>
        <w:tc>
          <w:tcPr>
            <w:hMerge w:val="continue"/>
          </w:tcPr>
          <w:p/>
        </w:tc>
        <w:tc>
          <w:tcPr>
            <w:hMerge w:val="continue"/>
          </w:tcPr>
          <w:p/>
        </w:tc>
      </w:tr>
    </w:tbl>
    <w:p>
      <w:r/>
    </w:p>
    <w:tbl>
      <w:tblPr>
        <w:tblW w:w="0" w:type="auto"/>
        <w:jc w:val="left"/>
        <w:tblLayout w:type="fixed"/>
      </w:tblPr>
      <w:tblGrid>
        <w:gridCol w:w="2788"/>
        <w:gridCol w:w="1751"/>
        <w:gridCol w:w="115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Case Processing Summary</w:t>
            </w:r>
          </w:p>
        </w:tc>
        <w:tc>
          <w:tcPr>
            <w:hMerge w:val="continue"/>
          </w:tcPr>
          <w:p/>
        </w:tc>
        <w:tc>
          <w:tcPr>
            <w:hMerge w:val="continue"/>
          </w:tcPr>
          <w:p/>
        </w:tc>
      </w:tr>
      <w:tr>
        <w:tc>
          <w:tcPr>
            <w:hMerge w:val="restart"/>
            <w:tcBorders>
              <w:top w:val="none" w:sz="1" w:color="152935"/>
              <w:left w:val="none" w:sz="1" w:color="152935"/>
              <w:bottom w:val="single" w:sz="1" w:color="152935"/>
            </w:tcBorders>
            <w:vAlign w:val="bottom"/>
          </w:tcPr>
          <w:tcPr>
            <w:shd w:color="auto" w:val="clear" w:fill="ffffff"/>
          </w:tcPr>
          <w:p>
            <w:pPr>
              <w:spacing w:after="5" w:before="15"/>
              <w:ind w:left="30" w:right="40"/>
              <w:jc w:val="left"/>
            </w:pPr>
            <w:r>
              <w:rPr>
                <w:rFonts w:ascii="Arial" w:hAnsi="Arial" w:cs="Arial" w:eastAsia="Arial"/>
                <w:color w:val="264a60"/>
                <w:sz w:val="24"/>
              </w:rPr>
            </w:r>
          </w:p>
        </w:tc>
        <w:tc>
          <w:tcPr>
            <w:hMerge w:val="continue"/>
            <w:tcBorders>
              <w:top w:val="none" w:sz="1" w:color="152935"/>
              <w:left w:val="none" w:sz="1" w:color="152935"/>
              <w:bottom w:val="single" w:sz="1" w:color="152935"/>
            </w:tcBorders>
          </w:tcPr>
          <w:p/>
        </w:tc>
        <w:tc>
          <w:tcPr>
            <w:tcBorders>
              <w:top w:val="none" w:sz="1" w:color="152935"/>
              <w:left w:val="none" w:sz="1" w:color="152935"/>
              <w:bottom w:val="none" w:sz="1" w:color="aeaeae"/>
              <w:bottom w:val="single" w:sz="1" w:color="152935"/>
              <w:right w:val="single" w:sz="1" w:color="e0e0e0"/>
              <w:right w:val="none" w:sz="1" w:color="152935"/>
            </w:tcBorders>
            <w:vAlign w:val="bottom"/>
          </w:tcPr>
          <w:tcPr>
            <w:shd w:color="auto" w:val="clear" w:fill="ffffff"/>
          </w:tcPr>
          <w:p>
            <w:pPr>
              <w:spacing w:after="10" w:before="10"/>
              <w:ind w:left="30" w:right="40"/>
              <w:jc w:val="center"/>
            </w:pPr>
            <w:r>
              <w:rPr>
                <w:rFonts w:ascii="Arial" w:hAnsi="Arial" w:cs="Arial" w:eastAsia="Arial"/>
                <w:color w:val="264a60"/>
                <w:sz w:val="24"/>
              </w:rPr>
              <w:t>JS1</w:t>
            </w:r>
          </w:p>
        </w:tc>
      </w:tr>
      <w:tr>
        <w:tc>
          <w:tcPr>
            <w:hMerge w:val="restart"/>
            <w:tcBorders>
              <w:top w:val="singl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Series or Sequence Length</w:t>
            </w:r>
          </w:p>
        </w:tc>
        <w:tc>
          <w:tcPr>
            <w:hMerge w:val="continue"/>
            <w:tcBorders>
              <w:top w:val="single" w:sz="1" w:color="152935"/>
              <w:left w:val="none" w:sz="1" w:color="152935"/>
              <w:bottom w:val="single" w:sz="1" w:color="aeaeae"/>
              <w:right w:val="none" w:sz="1" w:color="aeaeae"/>
            </w:tcBorders>
          </w:tcPr>
          <w:p/>
        </w:tc>
        <w:tc>
          <w:tcPr>
            <w:tcBorders>
              <w:top w:val="singl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Number of Missing Values in the Plot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User-Missing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System-Missing</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w:t>
            </w:r>
          </w:p>
        </w:tc>
      </w:tr>
    </w:tbl>
    <w:tbl>
      <w:tblPr>
        <w:tblW w:w="0" w:type="auto"/>
        <w:jc w:val="left"/>
        <w:tblLayout w:type="fixed"/>
      </w:tblPr>
      <w:tblGrid>
        <w:gridCol w:w="2788"/>
        <w:gridCol w:w="1751"/>
        <w:gridCol w:w="1156"/>
      </w:tblGrid>
      <w:tr>
        <w:tc>
          <w:tcPr>
            <w:hMerge w:val="restart"/>
            <w:vAlign w:val="top"/>
          </w:tcPr>
          <w:tcPr>
            <w:shd w:color="auto" w:val="clear" w:fill="ffffff"/>
          </w:tcPr>
          <w:p>
            <w:pPr>
              <w:spacing w:after="5" w:before="5"/>
              <w:ind w:left="30" w:right="40"/>
              <w:jc w:val="left"/>
            </w:pPr>
            <w:r>
              <w:rPr>
                <w:rFonts w:ascii="Arial" w:hAnsi="Arial" w:cs="Arial" w:eastAsia="Arial"/>
                <w:color w:val="010205"/>
                <w:sz w:val="24"/>
              </w:rPr>
              <w:t>The cases are unweighted.</w:t>
            </w:r>
          </w:p>
        </w:tc>
        <w:tc>
          <w:tcPr>
            <w:hMerge w:val="continue"/>
          </w:tcPr>
          <w:p/>
        </w:tc>
        <w:tc>
          <w:tcPr>
            <w:hMerge w:val="continue"/>
          </w:tcPr>
          <w:p/>
        </w:tc>
      </w:tr>
    </w:tbl>
    <w:p>
      <w:r/>
    </w:p>
    <w:tbl>
      <w:tblPr>
        <w:tblW w:w="0" w:type="auto"/>
        <w:jc w:val="left"/>
        <w:tblLayout w:type="fixed"/>
      </w:tblPr>
      <w:tblGrid>
        <w:gridCol w:w="2142"/>
        <w:gridCol w:w="1037"/>
        <w:gridCol w:w="115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Estimated Distribution Parameters</w:t>
            </w:r>
          </w:p>
        </w:tc>
        <w:tc>
          <w:tcPr>
            <w:hMerge w:val="continue"/>
          </w:tcPr>
          <w:p/>
        </w:tc>
        <w:tc>
          <w:tcPr>
            <w:hMerge w:val="continue"/>
          </w:tcPr>
          <w:p/>
        </w:tc>
      </w:tr>
      <w:tr>
        <w:tc>
          <w:tcPr>
            <w:hMerge w:val="restart"/>
            <w:tcBorders>
              <w:top w:val="none" w:sz="1" w:color="152935"/>
              <w:left w:val="none" w:sz="1" w:color="152935"/>
              <w:bottom w:val="single" w:sz="1" w:color="152935"/>
            </w:tcBorders>
            <w:vAlign w:val="bottom"/>
          </w:tcPr>
          <w:tcPr>
            <w:shd w:color="auto" w:val="clear" w:fill="ffffff"/>
          </w:tcPr>
          <w:p>
            <w:pPr>
              <w:spacing w:after="5" w:before="15"/>
              <w:ind w:left="30" w:right="40"/>
              <w:jc w:val="left"/>
            </w:pPr>
            <w:r>
              <w:rPr>
                <w:rFonts w:ascii="Arial" w:hAnsi="Arial" w:cs="Arial" w:eastAsia="Arial"/>
                <w:color w:val="264a60"/>
                <w:sz w:val="24"/>
              </w:rPr>
            </w:r>
          </w:p>
        </w:tc>
        <w:tc>
          <w:tcPr>
            <w:hMerge w:val="continue"/>
            <w:tcBorders>
              <w:top w:val="none" w:sz="1" w:color="152935"/>
              <w:left w:val="none" w:sz="1" w:color="152935"/>
              <w:bottom w:val="single" w:sz="1" w:color="152935"/>
            </w:tcBorders>
          </w:tcPr>
          <w:p/>
        </w:tc>
        <w:tc>
          <w:tcPr>
            <w:tcBorders>
              <w:top w:val="none" w:sz="1" w:color="152935"/>
              <w:left w:val="none" w:sz="1" w:color="152935"/>
              <w:bottom w:val="none" w:sz="1" w:color="aeaeae"/>
              <w:bottom w:val="single" w:sz="1" w:color="152935"/>
              <w:right w:val="single" w:sz="1" w:color="e0e0e0"/>
              <w:right w:val="none" w:sz="1" w:color="152935"/>
            </w:tcBorders>
            <w:vAlign w:val="bottom"/>
          </w:tcPr>
          <w:tcPr>
            <w:shd w:color="auto" w:val="clear" w:fill="ffffff"/>
          </w:tcPr>
          <w:p>
            <w:pPr>
              <w:spacing w:after="10" w:before="10"/>
              <w:ind w:left="30" w:right="40"/>
              <w:jc w:val="center"/>
            </w:pPr>
            <w:r>
              <w:rPr>
                <w:rFonts w:ascii="Arial" w:hAnsi="Arial" w:cs="Arial" w:eastAsia="Arial"/>
                <w:color w:val="264a60"/>
                <w:sz w:val="24"/>
              </w:rPr>
              <w:t>JS1</w:t>
            </w:r>
          </w:p>
        </w:tc>
      </w:tr>
      <w:tr>
        <w:tc>
          <w:tcPr>
            <w:vMerge w:val="restart"/>
            <w:tcBorders>
              <w:top w:val="single" w:sz="1" w:color="152935"/>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Normal Distribution</w:t>
            </w:r>
          </w:p>
        </w:tc>
        <w:tc>
          <w:tcPr>
            <w:tcBorders>
              <w:top w:val="single" w:sz="1" w:color="152935"/>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Location</w:t>
            </w:r>
          </w:p>
        </w:tc>
        <w:tc>
          <w:tcPr>
            <w:tcBorders>
              <w:top w:val="singl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4.20</w:t>
            </w:r>
          </w:p>
        </w:tc>
      </w:tr>
      <w:tr>
        <w:tc>
          <w:tcPr>
            <w:vMerge w:val="continue"/>
            <w:tcBorders>
              <w:top w:val="single" w:sz="1" w:color="152935"/>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Scale</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1.339</w:t>
            </w:r>
          </w:p>
        </w:tc>
      </w:tr>
    </w:tbl>
    <w:tbl>
      <w:tblPr>
        <w:tblW w:w="0" w:type="auto"/>
        <w:jc w:val="left"/>
        <w:tblLayout w:type="fixed"/>
      </w:tblPr>
      <w:tblGrid>
        <w:gridCol w:w="2142"/>
        <w:gridCol w:w="1037"/>
        <w:gridCol w:w="1156"/>
      </w:tblGrid>
      <w:tr>
        <w:tc>
          <w:tcPr>
            <w:hMerge w:val="restart"/>
            <w:vAlign w:val="top"/>
          </w:tcPr>
          <w:tcPr>
            <w:shd w:color="auto" w:val="clear" w:fill="ffffff"/>
          </w:tcPr>
          <w:p>
            <w:pPr>
              <w:spacing w:after="5" w:before="5"/>
              <w:ind w:left="30" w:right="40"/>
              <w:jc w:val="left"/>
            </w:pPr>
            <w:r>
              <w:rPr>
                <w:rFonts w:ascii="Arial" w:hAnsi="Arial" w:cs="Arial" w:eastAsia="Arial"/>
                <w:color w:val="010205"/>
                <w:sz w:val="24"/>
              </w:rPr>
              <w:t>The cases are unweighted.</w:t>
            </w:r>
          </w:p>
        </w:tc>
        <w:tc>
          <w:tcPr>
            <w:hMerge w:val="continue"/>
          </w:tcPr>
          <w:p/>
        </w:tc>
        <w:tc>
          <w:tcPr>
            <w:hMerge w:val="continue"/>
          </w:tcPr>
          <w:p/>
        </w:tc>
      </w:tr>
    </w:tbl>
    <w:p>
      <w:r/>
    </w:p>
    <w:p>
      <w:pPr>
        <w:spacing w:before="200"/>
        <w:jc w:val="left"/>
      </w:pPr>
      <w:r/>
      <w:r>
        <w:rPr>
          <w:rFonts w:ascii="Arial" w:hAnsi="Arial" w:cs="Arial" w:eastAsia="Arial"/>
          <w:b w:val="true"/>
          <w:color w:val="000000"/>
          <w:sz w:val="28"/>
        </w:rPr>
        <w:t/>
        <w:cr/>
        <w:t>JS1</w:t>
        <w:cr/>
      </w:r>
    </w:p>
    <w:p>
      <w:r/>
    </w:p>
    <w:p>
      <w:pPr>
        <w:jc w:val="left"/>
      </w:pPr>
      <w:r>
        <w:drawing>
          <wp:inline distT="0" distR="0" distB="0" distL="0">
            <wp:extent cx="7099300" cy="4176059"/>
            <wp:docPr id="1" name="Drawing 1" descr="img.eps"/>
            <a:graphic xmlns:a="http://schemas.openxmlformats.org/drawingml/2006/main">
              <a:graphicData uri="http://schemas.openxmlformats.org/drawingml/2006/picture">
                <pic:pic xmlns:pic="http://schemas.openxmlformats.org/drawingml/2006/picture">
                  <pic:nvPicPr>
                    <pic:cNvPr id="0" name="Picture 1" descr="img.eps"/>
                    <pic:cNvPicPr>
                      <a:picLocks noChangeAspect="true"/>
                    </pic:cNvPicPr>
                  </pic:nvPicPr>
                  <pic:blipFill>
                    <a:blip r:embed="rId3"/>
                    <a:stretch>
                      <a:fillRect/>
                    </a:stretch>
                  </pic:blipFill>
                  <pic:spPr>
                    <a:xfrm>
                      <a:off x="0" y="0"/>
                      <a:ext cx="7099300" cy="4176059"/>
                    </a:xfrm>
                    <a:prstGeom prst="rect">
                      <a:avLst/>
                    </a:prstGeom>
                  </pic:spPr>
                </pic:pic>
              </a:graphicData>
            </a:graphic>
          </wp:inline>
        </w:drawing>
      </w:r>
    </w:p>
    <w:p>
      <w:r/>
    </w:p>
    <w:p>
      <w:pPr>
        <w:jc w:val="left"/>
      </w:pPr>
      <w:r>
        <w:drawing>
          <wp:inline distT="0" distR="0" distB="0" distL="0">
            <wp:extent cx="7099300" cy="4176059"/>
            <wp:docPr id="2" name="Drawing 2" descr="img.eps"/>
            <a:graphic xmlns:a="http://schemas.openxmlformats.org/drawingml/2006/main">
              <a:graphicData uri="http://schemas.openxmlformats.org/drawingml/2006/picture">
                <pic:pic xmlns:pic="http://schemas.openxmlformats.org/drawingml/2006/picture">
                  <pic:nvPicPr>
                    <pic:cNvPr id="0" name="Picture 2" descr="img.eps"/>
                    <pic:cNvPicPr>
                      <a:picLocks noChangeAspect="true"/>
                    </pic:cNvPicPr>
                  </pic:nvPicPr>
                  <pic:blipFill>
                    <a:blip r:embed="rId4"/>
                    <a:stretch>
                      <a:fillRect/>
                    </a:stretch>
                  </pic:blipFill>
                  <pic:spPr>
                    <a:xfrm>
                      <a:off x="0" y="0"/>
                      <a:ext cx="7099300" cy="4176059"/>
                    </a:xfrm>
                    <a:prstGeom prst="rect">
                      <a:avLst/>
                    </a:prstGeom>
                  </pic:spPr>
                </pic:pic>
              </a:graphicData>
            </a:graphic>
          </wp:inline>
        </w:drawing>
      </w:r>
    </w:p>
    <w:p>
      <w:r/>
    </w:p>
    <w:p>
      <w:pPr>
        <w:spacing w:before="200"/>
        <w:jc w:val="left"/>
      </w:pPr>
      <w:r/>
      <w:r>
        <w:rPr>
          <w:rFonts w:ascii="Arial" w:hAnsi="Arial" w:cs="Arial" w:eastAsia="Arial"/>
          <w:b w:val="true"/>
          <w:color w:val="000000"/>
          <w:sz w:val="28"/>
        </w:rPr>
        <w:t/>
        <w:cr/>
        <w:t>NPar Tests</w:t>
        <w:cr/>
      </w:r>
    </w:p>
    <w:p>
      <w:r/>
    </w:p>
    <w:tbl>
      <w:tblPr>
        <w:tblW w:w="0" w:type="auto"/>
        <w:jc w:val="left"/>
        <w:tblLayout w:type="fixed"/>
      </w:tblPr>
      <w:tblGrid>
        <w:gridCol w:w="2499"/>
        <w:gridCol w:w="2788"/>
        <w:gridCol w:w="2754"/>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Notes</w:t>
            </w:r>
          </w:p>
        </w:tc>
        <w:tc>
          <w:tcPr>
            <w:hMerge w:val="continue"/>
          </w:tcPr>
          <w:p/>
        </w:tc>
        <w:tc>
          <w:tcPr>
            <w:hMerge w:val="continue"/>
          </w:tcPr>
          <w:p/>
        </w:tc>
      </w:tr>
      <w:tr>
        <w:tc>
          <w:tcPr>
            <w:hMerge w:val="restart"/>
            <w:tcBorders>
              <w:top w:val="non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Output Created</w:t>
            </w:r>
          </w:p>
        </w:tc>
        <w:tc>
          <w:tcPr>
            <w:hMerge w:val="continue"/>
            <w:tcBorders>
              <w:top w:val="none" w:sz="1" w:color="152935"/>
              <w:left w:val="none" w:sz="1" w:color="152935"/>
              <w:bottom w:val="single" w:sz="1" w:color="aeaeae"/>
              <w:right w:val="none" w:sz="1" w:color="aeaeae"/>
            </w:tcBorders>
          </w:tcPr>
          <w:p/>
        </w:tc>
        <w:tc>
          <w:tcPr>
            <w:tcBorders>
              <w:top w:val="non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10-JUL-2024 13:34:20</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Comments</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Input</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Data</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/Users/apple/Desktop/DBA/Quants7011/week 6/Full data set.sav</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Active Dataset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DataSet3</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Filter</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Weight</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Split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&lt;none&gt;</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 of Rows in Working Data File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Missing Value Handling</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Definition of Missing</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User-defined missing values are treated as missing.</w:t>
            </w:r>
          </w:p>
        </w:tc>
      </w:tr>
      <w:tr>
        <w:tc>
          <w:tcPr>
            <w:vMerge w:val="continue"/>
            <w:tcBorders>
              <w:top w:val="single" w:sz="1" w:color="aeaeae"/>
              <w:left w:val="none" w:sz="1" w:color="152935"/>
              <w:bottom w:val="single" w:sz="1" w:color="aeaeae"/>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Cases Used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Statistics for each test are based on all cases with valid data for the variable(s) used in that test.</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Syntax</w:t>
            </w: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left"/>
            </w:pPr>
            <w:r>
              <w:rPr>
                <w:rFonts w:ascii="Arial" w:hAnsi="Arial" w:cs="Arial" w:eastAsia="Arial"/>
                <w:color w:val="010205"/>
                <w:sz w:val="24"/>
              </w:rPr>
              <w:t>NPAR TESTS</w:t>
              <w:br/>
              <w:t>/K-S(NORMAL)=JS1</w:t>
              <w:br/>
              <w:t>/MISSING ANALYSIS</w:t>
              <w:br/>
              <w:t>/KS_SIM CIN(99) SAMPLES(10000).</w:t>
              <w:br/>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Resources</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Processor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00:00:00.49</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Elapsed Time</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00:00:00.00</w:t>
            </w:r>
          </w:p>
        </w:tc>
      </w:tr>
      <w:tr>
        <w:tc>
          <w:tcPr>
            <w:vMerge w:val="continue"/>
            <w:tcBorders>
              <w:top w:val="single" w:sz="1" w:color="aeaeae"/>
              <w:left w:val="none" w:sz="1" w:color="152935"/>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Number of Cases Allowed</w:t>
            </w:r>
            <w:r>
              <w:rPr>
                <w:vertAlign w:val="superscript"/>
              </w:rPr>
              <w:t>a</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786432</w:t>
            </w:r>
          </w:p>
        </w:tc>
      </w:tr>
    </w:tbl>
    <w:tbl>
      <w:tblPr>
        <w:tblW w:w="0" w:type="auto"/>
        <w:jc w:val="left"/>
        <w:tblLayout w:type="fixed"/>
      </w:tblPr>
      <w:tblGrid>
        <w:gridCol w:w="2499"/>
        <w:gridCol w:w="2788"/>
        <w:gridCol w:w="2754"/>
      </w:tblGrid>
      <w:tr>
        <w:tc>
          <w:tcPr>
            <w:hMerge w:val="restart"/>
            <w:vAlign w:val="top"/>
          </w:tcPr>
          <w:tcPr>
            <w:shd w:color="auto" w:val="clear" w:fill="ffffff"/>
          </w:tcPr>
          <w:p>
            <w:pPr>
              <w:jc w:val="left"/>
            </w:pPr>
            <w:r>
              <w:rPr>
                <w:rFonts w:ascii="Arial" w:hAnsi="Arial" w:cs="Arial" w:eastAsia="Arial"/>
                <w:color w:val="010205"/>
                <w:sz w:val="24"/>
              </w:rPr>
              <w:t>a. Based on availability of workspace memory.</w:t>
            </w:r>
          </w:p>
        </w:tc>
        <w:tc>
          <w:tcPr>
            <w:hMerge w:val="continue"/>
          </w:tcPr>
          <w:p/>
        </w:tc>
        <w:tc>
          <w:tcPr>
            <w:hMerge w:val="continue"/>
          </w:tcPr>
          <w:p/>
        </w:tc>
      </w:tr>
    </w:tbl>
    <w:p>
      <w:r/>
    </w:p>
    <w:tbl>
      <w:tblPr>
        <w:tblW w:w="0" w:type="auto"/>
        <w:jc w:val="left"/>
        <w:tblLayout w:type="fixed"/>
      </w:tblPr>
      <w:tblGrid>
        <w:gridCol w:w="2788"/>
        <w:gridCol w:w="2584"/>
        <w:gridCol w:w="1530"/>
        <w:gridCol w:w="1156"/>
      </w:tblGrid>
      <w:tr>
        <w:tc>
          <w:tcPr>
            <w:hMerge w:val="restart"/>
            <w:vAlign w:val="center"/>
          </w:tcPr>
          <w:tcPr>
            <w:shd w:color="auto" w:val="clear" w:fill="ffffff"/>
          </w:tcPr>
          <w:p>
            <w:pPr>
              <w:spacing w:after="30" w:before="5"/>
              <w:ind w:left="30" w:right="40"/>
              <w:jc w:val="center"/>
            </w:pPr>
            <w:r>
              <w:rPr>
                <w:rFonts w:ascii="Arial" w:hAnsi="Arial" w:cs="Arial" w:eastAsia="Arial"/>
                <w:b w:val="true"/>
                <w:color w:val="010205"/>
                <w:sz w:val="28"/>
              </w:rPr>
              <w:t>One-Sample Kolmogorov-Smirnov Test</w:t>
            </w:r>
          </w:p>
        </w:tc>
        <w:tc>
          <w:tcPr>
            <w:hMerge w:val="continue"/>
          </w:tcPr>
          <w:p/>
        </w:tc>
        <w:tc>
          <w:tcPr>
            <w:hMerge w:val="continue"/>
          </w:tcPr>
          <w:p/>
        </w:tc>
        <w:tc>
          <w:tcPr>
            <w:hMerge w:val="continue"/>
          </w:tcPr>
          <w:p/>
        </w:tc>
      </w:tr>
      <w:tr>
        <w:tc>
          <w:tcPr>
            <w:hMerge w:val="restart"/>
            <w:tcBorders>
              <w:top w:val="none" w:sz="1" w:color="152935"/>
              <w:left w:val="none" w:sz="1" w:color="152935"/>
              <w:bottom w:val="single" w:sz="1" w:color="152935"/>
            </w:tcBorders>
            <w:vAlign w:val="bottom"/>
          </w:tcPr>
          <w:tcPr>
            <w:shd w:color="auto" w:val="clear" w:fill="ffffff"/>
          </w:tcPr>
          <w:p>
            <w:pPr>
              <w:spacing w:after="5" w:before="15"/>
              <w:ind w:left="30" w:right="40"/>
              <w:jc w:val="left"/>
            </w:pPr>
            <w:r>
              <w:rPr>
                <w:rFonts w:ascii="Arial" w:hAnsi="Arial" w:cs="Arial" w:eastAsia="Arial"/>
                <w:color w:val="264a60"/>
                <w:sz w:val="24"/>
              </w:rPr>
            </w:r>
          </w:p>
        </w:tc>
        <w:tc>
          <w:tcPr>
            <w:hMerge w:val="continue"/>
            <w:tcBorders>
              <w:top w:val="none" w:sz="1" w:color="152935"/>
              <w:left w:val="none" w:sz="1" w:color="152935"/>
              <w:bottom w:val="single" w:sz="1" w:color="152935"/>
            </w:tcBorders>
          </w:tcPr>
          <w:p/>
        </w:tc>
        <w:tc>
          <w:tcPr>
            <w:hMerge w:val="continue"/>
            <w:tcBorders>
              <w:top w:val="none" w:sz="1" w:color="152935"/>
              <w:left w:val="none" w:sz="1" w:color="152935"/>
              <w:bottom w:val="single" w:sz="1" w:color="152935"/>
            </w:tcBorders>
          </w:tcPr>
          <w:p/>
        </w:tc>
        <w:tc>
          <w:tcPr>
            <w:tcBorders>
              <w:top w:val="none" w:sz="1" w:color="152935"/>
              <w:left w:val="none" w:sz="1" w:color="152935"/>
              <w:bottom w:val="none" w:sz="1" w:color="aeaeae"/>
              <w:bottom w:val="single" w:sz="1" w:color="152935"/>
              <w:right w:val="single" w:sz="1" w:color="e0e0e0"/>
              <w:right w:val="none" w:sz="1" w:color="152935"/>
            </w:tcBorders>
            <w:vAlign w:val="bottom"/>
          </w:tcPr>
          <w:tcPr>
            <w:shd w:color="auto" w:val="clear" w:fill="ffffff"/>
          </w:tcPr>
          <w:p>
            <w:pPr>
              <w:spacing w:after="10" w:before="10"/>
              <w:ind w:left="30" w:right="40"/>
              <w:jc w:val="center"/>
            </w:pPr>
            <w:r>
              <w:rPr>
                <w:rFonts w:ascii="Arial" w:hAnsi="Arial" w:cs="Arial" w:eastAsia="Arial"/>
                <w:color w:val="264a60"/>
                <w:sz w:val="24"/>
              </w:rPr>
              <w:t>JS1</w:t>
            </w:r>
          </w:p>
        </w:tc>
      </w:tr>
      <w:tr>
        <w:tc>
          <w:tcPr>
            <w:hMerge w:val="restart"/>
            <w:tcBorders>
              <w:top w:val="single" w:sz="1" w:color="152935"/>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w:t>
            </w:r>
          </w:p>
        </w:tc>
        <w:tc>
          <w:tcPr>
            <w:hMerge w:val="continue"/>
            <w:tcBorders>
              <w:top w:val="single" w:sz="1" w:color="152935"/>
              <w:left w:val="none" w:sz="1" w:color="152935"/>
              <w:bottom w:val="single" w:sz="1" w:color="aeaeae"/>
              <w:right w:val="none" w:sz="1" w:color="aeaeae"/>
            </w:tcBorders>
          </w:tcPr>
          <w:p/>
        </w:tc>
        <w:tc>
          <w:tcPr>
            <w:hMerge w:val="continue"/>
            <w:tcBorders>
              <w:top w:val="single" w:sz="1" w:color="152935"/>
              <w:left w:val="none" w:sz="1" w:color="152935"/>
              <w:bottom w:val="single" w:sz="1" w:color="aeaeae"/>
              <w:right w:val="none" w:sz="1" w:color="aeaeae"/>
            </w:tcBorders>
          </w:tcPr>
          <w:p/>
        </w:tc>
        <w:tc>
          <w:tcPr>
            <w:tcBorders>
              <w:top w:val="single" w:sz="1" w:color="152935"/>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400</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Normal Parameters</w:t>
            </w:r>
            <w:r>
              <w:rPr>
                <w:vertAlign w:val="superscript"/>
              </w:rPr>
              <w:t>a,b</w:t>
            </w:r>
          </w:p>
        </w:tc>
        <w:tc>
          <w:tcPr>
            <w:hMerge w:val="restart"/>
            <w:tcBorders>
              <w:top w:val="single" w:sz="1" w:color="aeaeae"/>
              <w:left w:val="none" w:sz="1" w:color="aeaeae"/>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Mean</w:t>
            </w:r>
          </w:p>
        </w:tc>
        <w:tc>
          <w:tcPr>
            <w:hMerge w:val="continue"/>
            <w:tcBorders>
              <w:top w:val="single" w:sz="1" w:color="aeaeae"/>
              <w:left w:val="none" w:sz="1" w:color="aeaeae"/>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4.20</w:t>
            </w:r>
          </w:p>
        </w:tc>
      </w:tr>
      <w:tr>
        <w:tc>
          <w:tcPr>
            <w:vMerge w:val="continue"/>
            <w:tcBorders>
              <w:top w:val="single" w:sz="1" w:color="aeaeae"/>
              <w:left w:val="none" w:sz="1" w:color="152935"/>
              <w:bottom w:val="single" w:sz="1" w:color="aeaeae"/>
              <w:right w:val="none" w:sz="1" w:color="aeaeae"/>
            </w:tcBorders>
          </w:tcPr>
          <w:p/>
        </w:tc>
        <w:tc>
          <w:tcPr>
            <w:hMerge w:val="restart"/>
            <w:tcBorders>
              <w:top w:val="single" w:sz="1" w:color="aeaeae"/>
              <w:left w:val="none" w:sz="1" w:color="aeaeae"/>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Std. Deviation</w:t>
            </w:r>
          </w:p>
        </w:tc>
        <w:tc>
          <w:tcPr>
            <w:hMerge w:val="continue"/>
            <w:tcBorders>
              <w:top w:val="single" w:sz="1" w:color="aeaeae"/>
              <w:left w:val="none" w:sz="1" w:color="aeaeae"/>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1.339</w:t>
            </w:r>
          </w:p>
        </w:tc>
      </w:tr>
      <w:tr>
        <w:tc>
          <w:tcPr>
            <w:v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Most Extreme Differences</w:t>
            </w:r>
          </w:p>
        </w:tc>
        <w:tc>
          <w:tcPr>
            <w:hMerge w:val="restart"/>
            <w:tcBorders>
              <w:top w:val="single" w:sz="1" w:color="aeaeae"/>
              <w:left w:val="none" w:sz="1" w:color="aeaeae"/>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Absolute</w:t>
            </w:r>
          </w:p>
        </w:tc>
        <w:tc>
          <w:tcPr>
            <w:hMerge w:val="continue"/>
            <w:tcBorders>
              <w:top w:val="single" w:sz="1" w:color="aeaeae"/>
              <w:left w:val="none" w:sz="1" w:color="aeaeae"/>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.169</w:t>
            </w:r>
          </w:p>
        </w:tc>
      </w:tr>
      <w:tr>
        <w:tc>
          <w:tcPr>
            <w:vMerge w:val="continue"/>
            <w:tcBorders>
              <w:top w:val="single" w:sz="1" w:color="aeaeae"/>
              <w:left w:val="none" w:sz="1" w:color="152935"/>
              <w:bottom w:val="single" w:sz="1" w:color="aeaeae"/>
              <w:right w:val="none" w:sz="1" w:color="aeaeae"/>
            </w:tcBorders>
          </w:tcPr>
          <w:p/>
        </w:tc>
        <w:tc>
          <w:tcPr>
            <w:hMerge w:val="restart"/>
            <w:tcBorders>
              <w:top w:val="single" w:sz="1" w:color="aeaeae"/>
              <w:left w:val="none" w:sz="1" w:color="aeaeae"/>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Positive</w:t>
            </w:r>
          </w:p>
        </w:tc>
        <w:tc>
          <w:tcPr>
            <w:hMerge w:val="continue"/>
            <w:tcBorders>
              <w:top w:val="single" w:sz="1" w:color="aeaeae"/>
              <w:left w:val="none" w:sz="1" w:color="aeaeae"/>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.149</w:t>
            </w:r>
          </w:p>
        </w:tc>
      </w:tr>
      <w:tr>
        <w:tc>
          <w:tcPr>
            <w:vMerge w:val="continue"/>
            <w:tcBorders>
              <w:top w:val="single" w:sz="1" w:color="aeaeae"/>
              <w:left w:val="none" w:sz="1" w:color="152935"/>
              <w:bottom w:val="single" w:sz="1" w:color="aeaeae"/>
              <w:right w:val="none" w:sz="1" w:color="aeaeae"/>
            </w:tcBorders>
          </w:tcPr>
          <w:p/>
        </w:tc>
        <w:tc>
          <w:tcPr>
            <w:hMerge w:val="restart"/>
            <w:tcBorders>
              <w:top w:val="single" w:sz="1" w:color="aeaeae"/>
              <w:left w:val="none" w:sz="1" w:color="aeaeae"/>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Negative</w:t>
            </w:r>
          </w:p>
        </w:tc>
        <w:tc>
          <w:tcPr>
            <w:hMerge w:val="continue"/>
            <w:tcBorders>
              <w:top w:val="single" w:sz="1" w:color="aeaeae"/>
              <w:left w:val="none" w:sz="1" w:color="aeaeae"/>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-.169</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Test Statistic</w:t>
            </w:r>
          </w:p>
        </w:tc>
        <w:tc>
          <w:tcPr>
            <w:hMerge w:val="continue"/>
            <w:tcBorders>
              <w:top w:val="single" w:sz="1" w:color="aeaeae"/>
              <w:left w:val="none" w:sz="1" w:color="152935"/>
              <w:bottom w:val="single" w:sz="1" w:color="aeaeae"/>
              <w:right w:val="none" w:sz="1" w:color="aeaeae"/>
            </w:tcBorders>
          </w:tcP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.169</w:t>
            </w:r>
          </w:p>
        </w:tc>
      </w:tr>
      <w:tr>
        <w:tc>
          <w:tcPr>
            <w:hMerge w:val="restart"/>
            <w:tcBorders>
              <w:top w:val="single" w:sz="1" w:color="aeaeae"/>
              <w:left w:val="none" w:sz="1" w:color="152935"/>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Asymp. Sig. (2-tailed)</w:t>
            </w:r>
            <w:r>
              <w:rPr>
                <w:vertAlign w:val="superscript"/>
              </w:rPr>
              <w:t>c</w:t>
            </w:r>
          </w:p>
        </w:tc>
        <w:tc>
          <w:tcPr>
            <w:hMerge w:val="continue"/>
            <w:tcBorders>
              <w:top w:val="single" w:sz="1" w:color="aeaeae"/>
              <w:left w:val="none" w:sz="1" w:color="152935"/>
              <w:bottom w:val="single" w:sz="1" w:color="aeaeae"/>
              <w:right w:val="none" w:sz="1" w:color="aeaeae"/>
            </w:tcBorders>
          </w:tcPr>
          <w:p/>
        </w:tc>
        <w:tc>
          <w:tcPr>
            <w:hMerge w:val="continue"/>
            <w:tcBorders>
              <w:top w:val="single" w:sz="1" w:color="aeaeae"/>
              <w:left w:val="none" w:sz="1" w:color="152935"/>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&lt;.001</w:t>
            </w:r>
          </w:p>
        </w:tc>
      </w:tr>
      <w:tr>
        <w:tc>
          <w:tcPr>
            <w:vMerge w:val="restart"/>
            <w:tcBorders>
              <w:top w:val="single" w:sz="1" w:color="aeaeae"/>
              <w:left w:val="none" w:sz="1" w:color="152935"/>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Monte Carlo Sig. (2-tailed)</w:t>
            </w:r>
            <w:r>
              <w:rPr>
                <w:vertAlign w:val="superscript"/>
              </w:rPr>
              <w:t>d</w:t>
            </w:r>
          </w:p>
        </w:tc>
        <w:tc>
          <w:tcPr>
            <w:hMerge w:val="restart"/>
            <w:tcBorders>
              <w:top w:val="single" w:sz="1" w:color="aeaeae"/>
              <w:left w:val="none" w:sz="1" w:color="aeaeae"/>
              <w:bottom w:val="single" w:sz="1" w:color="aeaeae"/>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Sig.</w:t>
            </w:r>
          </w:p>
        </w:tc>
        <w:tc>
          <w:tcPr>
            <w:hMerge w:val="continue"/>
            <w:tcBorders>
              <w:top w:val="single" w:sz="1" w:color="aeaeae"/>
              <w:left w:val="none" w:sz="1" w:color="aeaeae"/>
              <w:bottom w:val="single" w:sz="1" w:color="aeaeae"/>
              <w:right w:val="none" w:sz="1" w:color="aeaeae"/>
            </w:tcBorders>
          </w:tcP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&lt;.001</w:t>
            </w:r>
          </w:p>
        </w:tc>
      </w:tr>
      <w:tr>
        <w:tc>
          <w:tcPr>
            <w:vMerge w:val="continue"/>
            <w:tcBorders>
              <w:top w:val="single" w:sz="1" w:color="aeaeae"/>
              <w:left w:val="none" w:sz="1" w:color="152935"/>
              <w:bottom w:val="single" w:sz="1" w:color="aeaeae"/>
              <w:bottom w:val="single" w:sz="1" w:color="152935"/>
              <w:right w:val="none" w:sz="1" w:color="aeaeae"/>
            </w:tcBorders>
          </w:tcPr>
          <w:p/>
        </w:tc>
        <w:tc>
          <w:tcPr>
            <w:vMerge w:val="restart"/>
            <w:tcBorders>
              <w:top w:val="single" w:sz="1" w:color="aeaeae"/>
              <w:left w:val="none" w:sz="1" w:color="aeaeae"/>
              <w:bottom w:val="single" w:sz="1" w:color="aeaeae"/>
              <w:bottom w:val="single" w:sz="1" w:color="152935"/>
              <w:right w:val="none" w:sz="1" w:color="aeaeae"/>
            </w:tcBorders>
            <w:vAlign w:val="top"/>
          </w:tcPr>
          <w:tcPr>
            <w:shd w:color="auto" w:val="clear" w:fill="e0e0e0"/>
          </w:tcPr>
          <w:p>
            <w:pPr>
              <w:spacing w:after="10" w:before="15"/>
              <w:ind w:left="30" w:right="40"/>
              <w:jc w:val="left"/>
            </w:pPr>
            <w:r>
              <w:rPr>
                <w:rFonts w:ascii="Arial" w:hAnsi="Arial" w:cs="Arial" w:eastAsia="Arial"/>
                <w:color w:val="264a60"/>
                <w:sz w:val="24"/>
              </w:rPr>
              <w:t>99% Confidence Interval</w:t>
            </w:r>
          </w:p>
        </w:tc>
        <w:tc>
          <w:tcPr>
            <w:tcBorders>
              <w:top w:val="single" w:sz="1" w:color="aeaeae"/>
              <w:left w:val="none" w:sz="1" w:color="aeaeae"/>
              <w:bottom w:val="single" w:sz="1" w:color="aeaeae"/>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Lower Bound</w:t>
            </w:r>
          </w:p>
        </w:tc>
        <w:tc>
          <w:tcPr>
            <w:tcBorders>
              <w:top w:val="single" w:sz="1" w:color="aeaeae"/>
              <w:left w:val="none" w:sz="1" w:color="152935"/>
              <w:bottom w:val="single" w:sz="1" w:color="aeaeae"/>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w:t>
            </w:r>
          </w:p>
        </w:tc>
      </w:tr>
      <w:tr>
        <w:tc>
          <w:tcPr>
            <w:vMerge w:val="continue"/>
            <w:tcBorders>
              <w:top w:val="single" w:sz="1" w:color="aeaeae"/>
              <w:left w:val="none" w:sz="1" w:color="152935"/>
              <w:bottom w:val="single" w:sz="1" w:color="aeaeae"/>
              <w:bottom w:val="single" w:sz="1" w:color="152935"/>
              <w:right w:val="none" w:sz="1" w:color="aeaeae"/>
            </w:tcBorders>
          </w:tcPr>
          <w:p/>
        </w:tc>
        <w:tc>
          <w:tcPr>
            <w:vMerge w:val="continue"/>
            <w:tcBorders>
              <w:top w:val="single" w:sz="1" w:color="aeaeae"/>
              <w:left w:val="none" w:sz="1" w:color="aeaeae"/>
              <w:bottom w:val="single" w:sz="1" w:color="aeaeae"/>
              <w:bottom w:val="single" w:sz="1" w:color="152935"/>
              <w:right w:val="none" w:sz="1" w:color="aeaeae"/>
            </w:tcBorders>
          </w:tcPr>
          <w:p/>
        </w:tc>
        <w:tc>
          <w:tcPr>
            <w:tcBorders>
              <w:top w:val="single" w:sz="1" w:color="aeaeae"/>
              <w:left w:val="none" w:sz="1" w:color="aeaeae"/>
              <w:bottom w:val="single" w:sz="1" w:color="aeaeae"/>
              <w:bottom w:val="single" w:sz="1" w:color="152935"/>
              <w:right w:val="none" w:sz="1" w:color="aeaeae"/>
              <w:right w:val="none" w:sz="1" w:color="152935"/>
            </w:tcBorders>
            <w:vAlign w:val="top"/>
          </w:tcPr>
          <w:tcPr>
            <w:shd w:color="auto" w:val="clear" w:fill="e0e0e0"/>
          </w:tcPr>
          <w:p>
            <w:pPr>
              <w:spacing w:after="10" w:before="15"/>
              <w:ind w:left="30" w:right="40"/>
              <w:jc w:val="left"/>
            </w:pPr>
            <w:r>
              <w:rPr>
                <w:rFonts w:ascii="Arial" w:hAnsi="Arial" w:cs="Arial" w:eastAsia="Arial"/>
                <w:color w:val="264a60"/>
                <w:sz w:val="24"/>
              </w:rPr>
              <w:t>Upper Bound</w:t>
            </w:r>
          </w:p>
        </w:tc>
        <w:tc>
          <w:tcPr>
            <w:tcBorders>
              <w:top w:val="single" w:sz="1" w:color="aeaeae"/>
              <w:left w:val="none" w:sz="1" w:color="152935"/>
              <w:bottom w:val="single" w:sz="1" w:color="aeaeae"/>
              <w:bottom w:val="single" w:sz="1" w:color="152935"/>
              <w:right w:val="single" w:sz="1" w:color="e0e0e0"/>
              <w:right w:val="none" w:sz="1" w:color="152935"/>
            </w:tcBorders>
            <w:vAlign w:val="top"/>
          </w:tcPr>
          <w:tcPr>
            <w:shd w:color="auto" w:val="clear" w:fill="f9f9fb"/>
          </w:tcPr>
          <w:p>
            <w:pPr>
              <w:spacing w:after="10" w:before="15"/>
              <w:ind w:left="30" w:right="40"/>
              <w:jc w:val="right"/>
            </w:pPr>
            <w:r>
              <w:rPr>
                <w:rFonts w:ascii="Arial" w:hAnsi="Arial" w:cs="Arial" w:eastAsia="Arial"/>
                <w:color w:val="010205"/>
                <w:sz w:val="24"/>
              </w:rPr>
              <w:t>.000</w:t>
            </w:r>
          </w:p>
        </w:tc>
      </w:tr>
    </w:tbl>
    <w:tbl>
      <w:tblPr>
        <w:tblW w:w="0" w:type="auto"/>
        <w:jc w:val="left"/>
        <w:tblLayout w:type="fixed"/>
      </w:tblPr>
      <w:tblGrid>
        <w:gridCol w:w="2788"/>
        <w:gridCol w:w="2584"/>
        <w:gridCol w:w="1530"/>
        <w:gridCol w:w="1156"/>
      </w:tblGrid>
      <w:tr>
        <w:tc>
          <w:tcPr>
            <w:hMerge w:val="restart"/>
            <w:vAlign w:val="top"/>
          </w:tcPr>
          <w:tcPr>
            <w:shd w:color="auto" w:val="clear" w:fill="ffffff"/>
          </w:tcPr>
          <w:p>
            <w:pPr>
              <w:jc w:val="left"/>
            </w:pPr>
            <w:r>
              <w:rPr>
                <w:rFonts w:ascii="Arial" w:hAnsi="Arial" w:cs="Arial" w:eastAsia="Arial"/>
                <w:color w:val="010205"/>
                <w:sz w:val="24"/>
              </w:rPr>
              <w:t>a. Test distribution is Normal.</w:t>
            </w:r>
          </w:p>
        </w:tc>
        <w:tc>
          <w:tcPr>
            <w:hMerge w:val="continue"/>
          </w:tcPr>
          <w:p/>
        </w:tc>
        <w:tc>
          <w:tcPr>
            <w:hMerge w:val="continue"/>
          </w:tcPr>
          <w:p/>
        </w:tc>
        <w:tc>
          <w:tcPr>
            <w:hMerge w:val="continue"/>
          </w:tcPr>
          <w:p/>
        </w:tc>
      </w:tr>
      <w:tr>
        <w:tc>
          <w:tcPr>
            <w:hMerge w:val="restart"/>
            <w:vAlign w:val="top"/>
          </w:tcPr>
          <w:tcPr>
            <w:shd w:color="auto" w:val="clear" w:fill="ffffff"/>
          </w:tcPr>
          <w:p>
            <w:pPr>
              <w:jc w:val="left"/>
            </w:pPr>
            <w:r>
              <w:rPr>
                <w:rFonts w:ascii="Arial" w:hAnsi="Arial" w:cs="Arial" w:eastAsia="Arial"/>
                <w:color w:val="010205"/>
                <w:sz w:val="24"/>
              </w:rPr>
              <w:t>b. Calculated from data.</w:t>
            </w:r>
          </w:p>
        </w:tc>
        <w:tc>
          <w:tcPr>
            <w:hMerge w:val="continue"/>
          </w:tcPr>
          <w:p/>
        </w:tc>
        <w:tc>
          <w:tcPr>
            <w:hMerge w:val="continue"/>
          </w:tcPr>
          <w:p/>
        </w:tc>
        <w:tc>
          <w:tcPr>
            <w:hMerge w:val="continue"/>
          </w:tcPr>
          <w:p/>
        </w:tc>
      </w:tr>
      <w:tr>
        <w:tc>
          <w:tcPr>
            <w:hMerge w:val="restart"/>
            <w:vAlign w:val="top"/>
          </w:tcPr>
          <w:tcPr>
            <w:shd w:color="auto" w:val="clear" w:fill="ffffff"/>
          </w:tcPr>
          <w:p>
            <w:pPr>
              <w:jc w:val="left"/>
            </w:pPr>
            <w:r>
              <w:rPr>
                <w:rFonts w:ascii="Arial" w:hAnsi="Arial" w:cs="Arial" w:eastAsia="Arial"/>
                <w:color w:val="010205"/>
                <w:sz w:val="24"/>
              </w:rPr>
              <w:t>c. Lilliefors Significance Correction.</w:t>
            </w:r>
          </w:p>
        </w:tc>
        <w:tc>
          <w:tcPr>
            <w:hMerge w:val="continue"/>
          </w:tcPr>
          <w:p/>
        </w:tc>
        <w:tc>
          <w:tcPr>
            <w:hMerge w:val="continue"/>
          </w:tcPr>
          <w:p/>
        </w:tc>
        <w:tc>
          <w:tcPr>
            <w:hMerge w:val="continue"/>
          </w:tcPr>
          <w:p/>
        </w:tc>
      </w:tr>
      <w:tr>
        <w:tc>
          <w:tcPr>
            <w:hMerge w:val="restart"/>
            <w:vAlign w:val="top"/>
          </w:tcPr>
          <w:tcPr>
            <w:shd w:color="auto" w:val="clear" w:fill="ffffff"/>
          </w:tcPr>
          <w:p>
            <w:pPr>
              <w:jc w:val="left"/>
            </w:pPr>
            <w:r>
              <w:rPr>
                <w:rFonts w:ascii="Arial" w:hAnsi="Arial" w:cs="Arial" w:eastAsia="Arial"/>
                <w:color w:val="010205"/>
                <w:sz w:val="24"/>
              </w:rPr>
              <w:t>d. Lilliefors' method based on 10000 Monte Carlo samples with starting seed 299883525.</w:t>
            </w:r>
          </w:p>
        </w:tc>
        <w:tc>
          <w:tcPr>
            <w:hMerge w:val="continue"/>
          </w:tcPr>
          <w:p/>
        </w:tc>
        <w:tc>
          <w:tcPr>
            <w:hMerge w:val="continue"/>
          </w:tcPr>
          <w:p/>
        </w:tc>
        <w:tc>
          <w:tcPr>
            <w:hMerge w:val="continue"/>
          </w:tcPr>
          <w:p/>
        </w:tc>
      </w:tr>
    </w:tbl>
    <w:sectPr>
      <w:pgSz w:h="16840" w:w="11900" w:orient="portrait"/>
      <w:pgMar w:left="360" w:top="360" w:right="360" w:bottom="819"/>
    </w:sectPr>
  </w:body>
</w:document>
</file>

<file path=word/settings.xml><?xml version="1.0" encoding="utf-8"?>
<w:settings xmlns:w="http://schemas.openxmlformats.org/wordprocessingml/2006/main"/>
</file>

<file path=word/_rels/document.xml.rels><?xml version="1.0" encoding="UTF-8" standalone="no"?><Relationships xmlns="http://schemas.openxmlformats.org/package/2006/relationships"><Relationship Id="rId1" Target="settings.xml" Type="http://schemas.openxmlformats.org/officeDocument/2006/relationships/settings"/><Relationship Id="rId2" Target="media/image1.eps" Type="http://schemas.openxmlformats.org/officeDocument/2006/relationships/image"/><Relationship Id="rId3" Target="media/image2.eps" Type="http://schemas.openxmlformats.org/officeDocument/2006/relationships/image"/><Relationship Id="rId4" Target="media/image3.eps" Type="http://schemas.openxmlformats.org/officeDocument/2006/relationships/image"/></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2024-07-10T13:01:33Z</dcterms:created>
  <dc:creator>IBM SPSS Statistics</dc:creator>
</cp:coreProperties>
</file>