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56A29" w14:textId="610F5353" w:rsidR="007D1B64" w:rsidRPr="00A84DDA" w:rsidRDefault="00000000" w:rsidP="00A84DDA">
      <w:pPr>
        <w:spacing w:before="240" w:line="480" w:lineRule="auto"/>
        <w:jc w:val="both"/>
        <w:rPr>
          <w:rFonts w:ascii="Arial" w:hAnsi="Arial" w:cs="Arial"/>
          <w:sz w:val="24"/>
          <w:szCs w:val="24"/>
        </w:rPr>
      </w:pPr>
      <w:bookmarkStart w:id="0" w:name="_Hlk118755221"/>
      <w:r w:rsidRPr="00A84DDA">
        <w:rPr>
          <w:rFonts w:ascii="Arial" w:hAnsi="Arial" w:cs="Arial"/>
          <w:sz w:val="24"/>
          <w:szCs w:val="24"/>
        </w:rPr>
        <w:t>This essay seeks to examine the changes made by the Law Society in 2019 to the National Conveyancing Protocol.</w:t>
      </w:r>
      <w:r w:rsidR="00C74A31" w:rsidRPr="00A84DDA">
        <w:rPr>
          <w:rFonts w:ascii="Arial" w:hAnsi="Arial" w:cs="Arial"/>
          <w:sz w:val="24"/>
          <w:szCs w:val="24"/>
        </w:rPr>
        <w:t xml:space="preserve"> The National Conveyancing Protocol is a set of steps a conveyancer follows when acting in the sale or purchase of a </w:t>
      </w:r>
      <w:r w:rsidR="00FF5F0F" w:rsidRPr="00A84DDA">
        <w:rPr>
          <w:rFonts w:ascii="Arial" w:hAnsi="Arial" w:cs="Arial"/>
          <w:sz w:val="24"/>
          <w:szCs w:val="24"/>
        </w:rPr>
        <w:t>property</w:t>
      </w:r>
      <w:r w:rsidR="00C74A31" w:rsidRPr="00A84DDA">
        <w:rPr>
          <w:rFonts w:ascii="Arial" w:hAnsi="Arial" w:cs="Arial"/>
          <w:sz w:val="24"/>
          <w:szCs w:val="24"/>
        </w:rPr>
        <w:t xml:space="preserve"> f</w:t>
      </w:r>
      <w:r w:rsidR="00FF5F0F" w:rsidRPr="00A84DDA">
        <w:rPr>
          <w:rFonts w:ascii="Arial" w:hAnsi="Arial" w:cs="Arial"/>
          <w:sz w:val="24"/>
          <w:szCs w:val="24"/>
        </w:rPr>
        <w:t>or a consumer</w:t>
      </w:r>
      <w:r w:rsidR="00C74A31" w:rsidRPr="00A84DDA">
        <w:rPr>
          <w:rFonts w:ascii="Arial" w:hAnsi="Arial" w:cs="Arial"/>
          <w:sz w:val="24"/>
          <w:szCs w:val="24"/>
        </w:rPr>
        <w:t xml:space="preserve">. A Conveyancer is a lawyer </w:t>
      </w:r>
      <w:r w:rsidR="00FF5F0F" w:rsidRPr="00A84DDA">
        <w:rPr>
          <w:rFonts w:ascii="Arial" w:hAnsi="Arial" w:cs="Arial"/>
          <w:sz w:val="24"/>
          <w:szCs w:val="24"/>
        </w:rPr>
        <w:t xml:space="preserve">who </w:t>
      </w:r>
      <w:proofErr w:type="spellStart"/>
      <w:r w:rsidR="00FF5F0F" w:rsidRPr="00A84DDA">
        <w:rPr>
          <w:rFonts w:ascii="Arial" w:hAnsi="Arial" w:cs="Arial"/>
          <w:sz w:val="24"/>
          <w:szCs w:val="24"/>
        </w:rPr>
        <w:t>specilaises</w:t>
      </w:r>
      <w:proofErr w:type="spellEnd"/>
      <w:r w:rsidR="00FF5F0F" w:rsidRPr="00A84DDA">
        <w:rPr>
          <w:rFonts w:ascii="Arial" w:hAnsi="Arial" w:cs="Arial"/>
          <w:sz w:val="24"/>
          <w:szCs w:val="24"/>
        </w:rPr>
        <w:t xml:space="preserve"> in acting for a buyer or a seller in the purchase or sale of a property.</w:t>
      </w:r>
      <w:r w:rsidR="00C74A31" w:rsidRPr="00A84DDA">
        <w:rPr>
          <w:rFonts w:ascii="Arial" w:hAnsi="Arial" w:cs="Arial"/>
          <w:sz w:val="24"/>
          <w:szCs w:val="24"/>
        </w:rPr>
        <w:t xml:space="preserve"> </w:t>
      </w:r>
      <w:r w:rsidRPr="00A84DDA">
        <w:rPr>
          <w:rFonts w:ascii="Arial" w:hAnsi="Arial" w:cs="Arial"/>
          <w:sz w:val="24"/>
          <w:szCs w:val="24"/>
        </w:rPr>
        <w:t>The Law Society’s Conveyancing Protocol was first introduced in 1990, to help create standard procedures that guide solicitors and licensed conveyancers when acting in the sale</w:t>
      </w:r>
      <w:r w:rsidR="00FF5F0F" w:rsidRPr="00A84DDA">
        <w:rPr>
          <w:rFonts w:ascii="Arial" w:hAnsi="Arial" w:cs="Arial"/>
          <w:sz w:val="24"/>
          <w:szCs w:val="24"/>
        </w:rPr>
        <w:t xml:space="preserve"> </w:t>
      </w:r>
      <w:r w:rsidRPr="00A84DDA">
        <w:rPr>
          <w:rFonts w:ascii="Arial" w:hAnsi="Arial" w:cs="Arial"/>
          <w:sz w:val="24"/>
          <w:szCs w:val="24"/>
        </w:rPr>
        <w:t xml:space="preserve">or purchase of a home for an owner-occupier. This protocol is not designed to be used in residential transactions of new houses that have just been built (The Law Society 1, 2020) rather, it is used for residential transactions of freehold and </w:t>
      </w:r>
      <w:r w:rsidR="00203498" w:rsidRPr="00A84DDA">
        <w:rPr>
          <w:rFonts w:ascii="Arial" w:hAnsi="Arial" w:cs="Arial"/>
          <w:sz w:val="24"/>
          <w:szCs w:val="24"/>
        </w:rPr>
        <w:t>leasehold properties</w:t>
      </w:r>
      <w:r w:rsidRPr="00A84DDA">
        <w:rPr>
          <w:rFonts w:ascii="Arial" w:hAnsi="Arial" w:cs="Arial"/>
          <w:sz w:val="24"/>
          <w:szCs w:val="24"/>
        </w:rPr>
        <w:t xml:space="preserve"> (</w:t>
      </w:r>
      <w:r w:rsidRPr="00A84DDA">
        <w:rPr>
          <w:rFonts w:ascii="Arial" w:hAnsi="Arial" w:cs="Arial"/>
          <w:color w:val="26282A"/>
          <w:sz w:val="24"/>
          <w:szCs w:val="24"/>
          <w:shd w:val="clear" w:color="auto" w:fill="FFFFFF"/>
        </w:rPr>
        <w:t xml:space="preserve">LexisNexis). That means that right from the beginning of a transaction, it should be clear what residential transaction is involved. Examples of residential transactions would include standard freehold and leasehold property transactions, probate sales by personal representatives, buy-to-let properties, and sales by a company or developer. The Protocol sets out the Law Society’s preferred practice in residential conveyancing transactions and gives conveyancers a set of principles to improve the conveyancing process (Harris and </w:t>
      </w:r>
      <w:proofErr w:type="spellStart"/>
      <w:r w:rsidRPr="00A84DDA">
        <w:rPr>
          <w:rFonts w:ascii="Arial" w:hAnsi="Arial" w:cs="Arial"/>
          <w:color w:val="26282A"/>
          <w:sz w:val="24"/>
          <w:szCs w:val="24"/>
          <w:shd w:val="clear" w:color="auto" w:fill="FFFFFF"/>
        </w:rPr>
        <w:t>Rodell</w:t>
      </w:r>
      <w:proofErr w:type="spellEnd"/>
      <w:r w:rsidRPr="00A84DDA">
        <w:rPr>
          <w:rFonts w:ascii="Arial" w:hAnsi="Arial" w:cs="Arial"/>
          <w:color w:val="26282A"/>
          <w:sz w:val="24"/>
          <w:szCs w:val="24"/>
          <w:shd w:val="clear" w:color="auto" w:fill="FFFFFF"/>
        </w:rPr>
        <w:t xml:space="preserve">, 2018). </w:t>
      </w:r>
    </w:p>
    <w:p w14:paraId="1796981D" w14:textId="29B3F8BA" w:rsidR="007D1B64" w:rsidRPr="00A84DDA" w:rsidRDefault="00000000" w:rsidP="00A84DDA">
      <w:pPr>
        <w:spacing w:before="240" w:line="480" w:lineRule="auto"/>
        <w:jc w:val="both"/>
        <w:rPr>
          <w:rFonts w:ascii="Arial" w:hAnsi="Arial" w:cs="Arial"/>
          <w:sz w:val="24"/>
          <w:szCs w:val="24"/>
        </w:rPr>
      </w:pPr>
      <w:r w:rsidRPr="00A84DDA">
        <w:rPr>
          <w:rFonts w:ascii="Arial" w:hAnsi="Arial" w:cs="Arial"/>
          <w:color w:val="26282A"/>
          <w:sz w:val="24"/>
          <w:szCs w:val="24"/>
          <w:shd w:val="clear" w:color="auto" w:fill="FFFFFF"/>
        </w:rPr>
        <w:t xml:space="preserve">However, the Law Society said that the protocol </w:t>
      </w:r>
      <w:r w:rsidRPr="00A84DDA">
        <w:rPr>
          <w:rFonts w:ascii="Arial" w:hAnsi="Arial" w:cs="Arial"/>
          <w:sz w:val="24"/>
          <w:szCs w:val="24"/>
        </w:rPr>
        <w:t xml:space="preserve">should not be used as a tick box; its steps are not exhaustive and may not be followed sequentially because individual transactions will vary depending on the circumstances. The protocol assumes that the buyer and seller both have mortgage </w:t>
      </w:r>
      <w:proofErr w:type="gramStart"/>
      <w:r w:rsidR="00AD732F" w:rsidRPr="00A84DDA">
        <w:rPr>
          <w:rFonts w:ascii="Arial" w:hAnsi="Arial" w:cs="Arial"/>
          <w:sz w:val="24"/>
          <w:szCs w:val="24"/>
        </w:rPr>
        <w:t>lenders</w:t>
      </w:r>
      <w:proofErr w:type="gramEnd"/>
      <w:r w:rsidRPr="00A84DDA">
        <w:rPr>
          <w:rFonts w:ascii="Arial" w:hAnsi="Arial" w:cs="Arial"/>
          <w:sz w:val="24"/>
          <w:szCs w:val="24"/>
        </w:rPr>
        <w:t xml:space="preserve"> and</w:t>
      </w:r>
      <w:r w:rsidR="00FF5F0F" w:rsidRPr="00A84DDA">
        <w:rPr>
          <w:rFonts w:ascii="Arial" w:hAnsi="Arial" w:cs="Arial"/>
          <w:sz w:val="24"/>
          <w:szCs w:val="24"/>
        </w:rPr>
        <w:t xml:space="preserve"> that the conveyancer</w:t>
      </w:r>
      <w:r w:rsidRPr="00A84DDA">
        <w:rPr>
          <w:rFonts w:ascii="Arial" w:hAnsi="Arial" w:cs="Arial"/>
          <w:sz w:val="24"/>
          <w:szCs w:val="24"/>
        </w:rPr>
        <w:t xml:space="preserve"> will act for the lender as well as the client</w:t>
      </w:r>
      <w:r w:rsidR="00FF5F0F" w:rsidRPr="00A84DDA">
        <w:rPr>
          <w:rFonts w:ascii="Arial" w:hAnsi="Arial" w:cs="Arial"/>
          <w:sz w:val="24"/>
          <w:szCs w:val="24"/>
        </w:rPr>
        <w:t xml:space="preserve">, </w:t>
      </w:r>
      <w:r w:rsidRPr="00A84DDA">
        <w:rPr>
          <w:rFonts w:ascii="Arial" w:hAnsi="Arial" w:cs="Arial"/>
          <w:sz w:val="24"/>
          <w:szCs w:val="24"/>
        </w:rPr>
        <w:t xml:space="preserve">only </w:t>
      </w:r>
      <w:r w:rsidR="00FF5F0F" w:rsidRPr="00A84DDA">
        <w:rPr>
          <w:rFonts w:ascii="Arial" w:hAnsi="Arial" w:cs="Arial"/>
          <w:sz w:val="24"/>
          <w:szCs w:val="24"/>
        </w:rPr>
        <w:t>acting</w:t>
      </w:r>
      <w:r w:rsidRPr="00A84DDA">
        <w:rPr>
          <w:rFonts w:ascii="Arial" w:hAnsi="Arial" w:cs="Arial"/>
          <w:sz w:val="24"/>
          <w:szCs w:val="24"/>
        </w:rPr>
        <w:t xml:space="preserve"> for </w:t>
      </w:r>
      <w:r w:rsidR="00FF5F0F" w:rsidRPr="00A84DDA">
        <w:rPr>
          <w:rFonts w:ascii="Arial" w:hAnsi="Arial" w:cs="Arial"/>
          <w:sz w:val="24"/>
          <w:szCs w:val="24"/>
        </w:rPr>
        <w:t xml:space="preserve">the </w:t>
      </w:r>
      <w:r w:rsidRPr="00A84DDA">
        <w:rPr>
          <w:rFonts w:ascii="Arial" w:hAnsi="Arial" w:cs="Arial"/>
          <w:sz w:val="24"/>
          <w:szCs w:val="24"/>
        </w:rPr>
        <w:t>buyer and lender when the mortgage is by an institutional lender on standard terms (The Law Society 1, 2020). Although, as a solicitor, the general principle</w:t>
      </w:r>
      <w:r w:rsidR="00C74A31" w:rsidRPr="00A84DDA">
        <w:rPr>
          <w:rFonts w:ascii="Arial" w:hAnsi="Arial" w:cs="Arial"/>
          <w:sz w:val="24"/>
          <w:szCs w:val="24"/>
        </w:rPr>
        <w:t xml:space="preserve"> </w:t>
      </w:r>
      <w:r w:rsidRPr="00A84DDA">
        <w:rPr>
          <w:rFonts w:ascii="Arial" w:hAnsi="Arial" w:cs="Arial"/>
          <w:sz w:val="24"/>
          <w:szCs w:val="24"/>
        </w:rPr>
        <w:t>of</w:t>
      </w:r>
      <w:r w:rsidR="00C74A31" w:rsidRPr="00A84DDA">
        <w:rPr>
          <w:rFonts w:ascii="Arial" w:hAnsi="Arial" w:cs="Arial"/>
          <w:sz w:val="24"/>
          <w:szCs w:val="24"/>
        </w:rPr>
        <w:t xml:space="preserve"> the Solicitors Regulation Authority (</w:t>
      </w:r>
      <w:r w:rsidRPr="00A84DDA">
        <w:rPr>
          <w:rFonts w:ascii="Arial" w:hAnsi="Arial" w:cs="Arial"/>
          <w:sz w:val="24"/>
          <w:szCs w:val="24"/>
        </w:rPr>
        <w:t>SRA</w:t>
      </w:r>
      <w:r w:rsidR="00C74A31" w:rsidRPr="00A84DDA">
        <w:rPr>
          <w:rFonts w:ascii="Arial" w:hAnsi="Arial" w:cs="Arial"/>
          <w:sz w:val="24"/>
          <w:szCs w:val="24"/>
        </w:rPr>
        <w:t xml:space="preserve">) </w:t>
      </w:r>
      <w:r w:rsidRPr="00A84DDA">
        <w:rPr>
          <w:rFonts w:ascii="Arial" w:hAnsi="Arial" w:cs="Arial"/>
          <w:sz w:val="24"/>
          <w:szCs w:val="24"/>
        </w:rPr>
        <w:t xml:space="preserve">is that you </w:t>
      </w:r>
      <w:r w:rsidRPr="00A84DDA">
        <w:rPr>
          <w:rFonts w:ascii="Arial" w:hAnsi="Arial" w:cs="Arial"/>
          <w:sz w:val="24"/>
          <w:szCs w:val="24"/>
        </w:rPr>
        <w:lastRenderedPageBreak/>
        <w:t>cannot act for both parties if there is a conflict of interest</w:t>
      </w:r>
      <w:r w:rsidR="00C74A31" w:rsidRPr="00A84DDA">
        <w:rPr>
          <w:rFonts w:ascii="Arial" w:hAnsi="Arial" w:cs="Arial"/>
          <w:sz w:val="24"/>
          <w:szCs w:val="24"/>
        </w:rPr>
        <w:t xml:space="preserve">. </w:t>
      </w:r>
      <w:r w:rsidRPr="00A84DDA">
        <w:rPr>
          <w:rFonts w:ascii="Arial" w:hAnsi="Arial" w:cs="Arial"/>
          <w:sz w:val="24"/>
          <w:szCs w:val="24"/>
        </w:rPr>
        <w:t>However, there may be situations where it is possible to act for both parties if there is no conflict of interest. (S</w:t>
      </w:r>
      <w:r w:rsidR="00AD732F" w:rsidRPr="00A84DDA">
        <w:rPr>
          <w:rFonts w:ascii="Arial" w:hAnsi="Arial" w:cs="Arial"/>
          <w:sz w:val="24"/>
          <w:szCs w:val="24"/>
        </w:rPr>
        <w:t xml:space="preserve">olicitors </w:t>
      </w:r>
      <w:r w:rsidRPr="00A84DDA">
        <w:rPr>
          <w:rFonts w:ascii="Arial" w:hAnsi="Arial" w:cs="Arial"/>
          <w:sz w:val="24"/>
          <w:szCs w:val="24"/>
        </w:rPr>
        <w:t>R</w:t>
      </w:r>
      <w:r w:rsidR="00AD732F" w:rsidRPr="00A84DDA">
        <w:rPr>
          <w:rFonts w:ascii="Arial" w:hAnsi="Arial" w:cs="Arial"/>
          <w:sz w:val="24"/>
          <w:szCs w:val="24"/>
        </w:rPr>
        <w:t>egulation Authority (SR</w:t>
      </w:r>
      <w:r w:rsidRPr="00A84DDA">
        <w:rPr>
          <w:rFonts w:ascii="Arial" w:hAnsi="Arial" w:cs="Arial"/>
          <w:sz w:val="24"/>
          <w:szCs w:val="24"/>
        </w:rPr>
        <w:t>A</w:t>
      </w:r>
      <w:r w:rsidR="00AD732F" w:rsidRPr="00A84DDA">
        <w:rPr>
          <w:rFonts w:ascii="Arial" w:hAnsi="Arial" w:cs="Arial"/>
          <w:sz w:val="24"/>
          <w:szCs w:val="24"/>
        </w:rPr>
        <w:t>)</w:t>
      </w:r>
      <w:r w:rsidRPr="00A84DDA">
        <w:rPr>
          <w:rFonts w:ascii="Arial" w:hAnsi="Arial" w:cs="Arial"/>
          <w:sz w:val="24"/>
          <w:szCs w:val="24"/>
        </w:rPr>
        <w:t xml:space="preserve"> Code of Conduct, 2020). This was</w:t>
      </w:r>
      <w:r w:rsidR="00BF6FAC" w:rsidRPr="00A84DDA">
        <w:rPr>
          <w:rFonts w:ascii="Arial" w:hAnsi="Arial" w:cs="Arial"/>
          <w:sz w:val="24"/>
          <w:szCs w:val="24"/>
        </w:rPr>
        <w:t xml:space="preserve"> one</w:t>
      </w:r>
      <w:r w:rsidRPr="00A84DDA">
        <w:rPr>
          <w:rFonts w:ascii="Arial" w:hAnsi="Arial" w:cs="Arial"/>
          <w:sz w:val="24"/>
          <w:szCs w:val="24"/>
        </w:rPr>
        <w:t xml:space="preserve"> of that the changes made by the Law Society in 2019 to the National Conveyancing Protocol addressed.</w:t>
      </w:r>
    </w:p>
    <w:p w14:paraId="075655B3" w14:textId="72EFA629" w:rsidR="007D1B64" w:rsidRPr="00A84DDA" w:rsidRDefault="00000000" w:rsidP="00A84DDA">
      <w:pPr>
        <w:spacing w:line="480" w:lineRule="auto"/>
        <w:jc w:val="both"/>
        <w:rPr>
          <w:rFonts w:ascii="Arial" w:hAnsi="Arial" w:cs="Arial"/>
          <w:sz w:val="24"/>
          <w:szCs w:val="24"/>
        </w:rPr>
      </w:pPr>
      <w:r w:rsidRPr="00A84DDA">
        <w:rPr>
          <w:rFonts w:ascii="Arial" w:hAnsi="Arial" w:cs="Arial"/>
          <w:color w:val="26282A"/>
          <w:sz w:val="24"/>
          <w:szCs w:val="24"/>
          <w:shd w:val="clear" w:color="auto" w:fill="FFFFFF"/>
        </w:rPr>
        <w:t>The Protocol sets out a good practice approach and aims to ensure that solicitors who act for buyers and sellers of residential houses work together towards ensuring the whole process goes on smoothly without risks and unnecessary delay</w:t>
      </w:r>
      <w:r w:rsidR="00AD732F" w:rsidRPr="00A84DDA">
        <w:rPr>
          <w:rFonts w:ascii="Arial" w:hAnsi="Arial" w:cs="Arial"/>
          <w:color w:val="26282A"/>
          <w:sz w:val="24"/>
          <w:szCs w:val="24"/>
          <w:shd w:val="clear" w:color="auto" w:fill="FFFFFF"/>
        </w:rPr>
        <w:t xml:space="preserve"> </w:t>
      </w:r>
      <w:r w:rsidRPr="00A84DDA">
        <w:rPr>
          <w:rFonts w:ascii="Arial" w:hAnsi="Arial" w:cs="Arial"/>
          <w:color w:val="26282A"/>
          <w:sz w:val="24"/>
          <w:szCs w:val="24"/>
          <w:shd w:val="clear" w:color="auto" w:fill="FFFFFF"/>
        </w:rPr>
        <w:t>(Richards, 2022). Although the decision to use the protocol is usually taken by the seller’s conveyancer, the buyer’s conveyancer</w:t>
      </w:r>
      <w:r w:rsidR="00AD732F" w:rsidRPr="00A84DDA">
        <w:rPr>
          <w:rFonts w:ascii="Arial" w:hAnsi="Arial" w:cs="Arial"/>
          <w:color w:val="26282A"/>
          <w:sz w:val="24"/>
          <w:szCs w:val="24"/>
          <w:shd w:val="clear" w:color="auto" w:fill="FFFFFF"/>
        </w:rPr>
        <w:t xml:space="preserve"> would just</w:t>
      </w:r>
      <w:r w:rsidRPr="00A84DDA">
        <w:rPr>
          <w:rFonts w:ascii="Arial" w:hAnsi="Arial" w:cs="Arial"/>
          <w:color w:val="26282A"/>
          <w:sz w:val="24"/>
          <w:szCs w:val="24"/>
          <w:shd w:val="clear" w:color="auto" w:fill="FFFFFF"/>
        </w:rPr>
        <w:t xml:space="preserve"> follow suit (Abbey and Richards, 2020).</w:t>
      </w:r>
      <w:r w:rsidR="00FF5F0F" w:rsidRPr="00A84DDA">
        <w:rPr>
          <w:rFonts w:ascii="Arial" w:hAnsi="Arial" w:cs="Arial"/>
          <w:color w:val="26282A"/>
          <w:sz w:val="24"/>
          <w:szCs w:val="24"/>
          <w:shd w:val="clear" w:color="auto" w:fill="FFFFFF"/>
        </w:rPr>
        <w:t xml:space="preserve"> However</w:t>
      </w:r>
      <w:r w:rsidRPr="00A84DDA">
        <w:rPr>
          <w:rFonts w:ascii="Arial" w:hAnsi="Arial" w:cs="Arial"/>
          <w:color w:val="26282A"/>
          <w:sz w:val="24"/>
          <w:szCs w:val="24"/>
          <w:shd w:val="clear" w:color="auto" w:fill="FFFFFF"/>
        </w:rPr>
        <w:t>,</w:t>
      </w:r>
      <w:r w:rsidR="00FF5F0F" w:rsidRPr="00A84DDA">
        <w:rPr>
          <w:rFonts w:ascii="Arial" w:hAnsi="Arial" w:cs="Arial"/>
          <w:color w:val="26282A"/>
          <w:sz w:val="24"/>
          <w:szCs w:val="24"/>
          <w:shd w:val="clear" w:color="auto" w:fill="FFFFFF"/>
        </w:rPr>
        <w:t xml:space="preserve"> conveyancers</w:t>
      </w:r>
      <w:r w:rsidR="00302E2B" w:rsidRPr="00A84DDA">
        <w:rPr>
          <w:rFonts w:ascii="Arial" w:hAnsi="Arial" w:cs="Arial"/>
          <w:color w:val="26282A"/>
          <w:sz w:val="24"/>
          <w:szCs w:val="24"/>
          <w:shd w:val="clear" w:color="auto" w:fill="FFFFFF"/>
        </w:rPr>
        <w:t xml:space="preserve"> not </w:t>
      </w:r>
      <w:r w:rsidR="00FF5F0F" w:rsidRPr="00A84DDA">
        <w:rPr>
          <w:rFonts w:ascii="Arial" w:hAnsi="Arial" w:cs="Arial"/>
          <w:color w:val="26282A"/>
          <w:sz w:val="24"/>
          <w:szCs w:val="24"/>
          <w:shd w:val="clear" w:color="auto" w:fill="FFFFFF"/>
        </w:rPr>
        <w:t xml:space="preserve">Conveyancing Quality Scheme </w:t>
      </w:r>
      <w:r w:rsidR="00FF5F0F" w:rsidRPr="00A84DDA">
        <w:rPr>
          <w:rFonts w:ascii="Arial" w:hAnsi="Arial" w:cs="Arial"/>
          <w:color w:val="26282A"/>
          <w:sz w:val="24"/>
          <w:szCs w:val="24"/>
          <w:shd w:val="clear" w:color="auto" w:fill="FFFFFF"/>
        </w:rPr>
        <w:t>(</w:t>
      </w:r>
      <w:r w:rsidR="00302E2B" w:rsidRPr="00A84DDA">
        <w:rPr>
          <w:rFonts w:ascii="Arial" w:hAnsi="Arial" w:cs="Arial"/>
          <w:color w:val="26282A"/>
          <w:sz w:val="24"/>
          <w:szCs w:val="24"/>
          <w:shd w:val="clear" w:color="auto" w:fill="FFFFFF"/>
        </w:rPr>
        <w:t>CQS</w:t>
      </w:r>
      <w:r w:rsidR="00FF5F0F" w:rsidRPr="00A84DDA">
        <w:rPr>
          <w:rFonts w:ascii="Arial" w:hAnsi="Arial" w:cs="Arial"/>
          <w:color w:val="26282A"/>
          <w:sz w:val="24"/>
          <w:szCs w:val="24"/>
          <w:shd w:val="clear" w:color="auto" w:fill="FFFFFF"/>
        </w:rPr>
        <w:t>)</w:t>
      </w:r>
      <w:r w:rsidR="00302E2B" w:rsidRPr="00A84DDA">
        <w:rPr>
          <w:rFonts w:ascii="Arial" w:hAnsi="Arial" w:cs="Arial"/>
          <w:color w:val="26282A"/>
          <w:sz w:val="24"/>
          <w:szCs w:val="24"/>
          <w:shd w:val="clear" w:color="auto" w:fill="FFFFFF"/>
        </w:rPr>
        <w:t xml:space="preserve"> accredited do not have to use the protocol, because c</w:t>
      </w:r>
      <w:r w:rsidRPr="00A84DDA">
        <w:rPr>
          <w:rFonts w:ascii="Arial" w:hAnsi="Arial" w:cs="Arial"/>
          <w:color w:val="26282A"/>
          <w:sz w:val="24"/>
          <w:szCs w:val="24"/>
          <w:shd w:val="clear" w:color="auto" w:fill="FFFFFF"/>
        </w:rPr>
        <w:t xml:space="preserve">ompliance with the protocol is </w:t>
      </w:r>
      <w:r w:rsidR="00302E2B" w:rsidRPr="00A84DDA">
        <w:rPr>
          <w:rFonts w:ascii="Arial" w:hAnsi="Arial" w:cs="Arial"/>
          <w:color w:val="26282A"/>
          <w:sz w:val="24"/>
          <w:szCs w:val="24"/>
          <w:shd w:val="clear" w:color="auto" w:fill="FFFFFF"/>
        </w:rPr>
        <w:t xml:space="preserve">only </w:t>
      </w:r>
      <w:r w:rsidRPr="00A84DDA">
        <w:rPr>
          <w:rFonts w:ascii="Arial" w:hAnsi="Arial" w:cs="Arial"/>
          <w:color w:val="26282A"/>
          <w:sz w:val="24"/>
          <w:szCs w:val="24"/>
          <w:shd w:val="clear" w:color="auto" w:fill="FFFFFF"/>
        </w:rPr>
        <w:t>compulsory for all firms which are accredited by the Law Society’s Conveyancing Quality Scheme (CQS)</w:t>
      </w:r>
      <w:r w:rsidR="00BF6FAC" w:rsidRPr="00A84DDA">
        <w:rPr>
          <w:rFonts w:ascii="Arial" w:hAnsi="Arial" w:cs="Arial"/>
          <w:color w:val="26282A"/>
          <w:sz w:val="24"/>
          <w:szCs w:val="24"/>
          <w:shd w:val="clear" w:color="auto" w:fill="FFFFFF"/>
        </w:rPr>
        <w:t xml:space="preserve"> (The Law Society). </w:t>
      </w:r>
      <w:r w:rsidRPr="00A84DDA">
        <w:rPr>
          <w:rFonts w:ascii="Arial" w:hAnsi="Arial" w:cs="Arial"/>
          <w:color w:val="26282A"/>
          <w:sz w:val="24"/>
          <w:szCs w:val="24"/>
          <w:shd w:val="clear" w:color="auto" w:fill="FFFFFF"/>
        </w:rPr>
        <w:t xml:space="preserve">The CQS ‘is a recognised quality standard for residential conveyancing process. It is designed for firms that offer residential conveyancing and are authorised and regulated by the Solicitors Regulation Authority (SRA). CQS </w:t>
      </w:r>
      <w:r w:rsidR="00BF6FAC" w:rsidRPr="00A84DDA">
        <w:rPr>
          <w:rFonts w:ascii="Arial" w:hAnsi="Arial" w:cs="Arial"/>
          <w:color w:val="26282A"/>
          <w:sz w:val="24"/>
          <w:szCs w:val="24"/>
          <w:shd w:val="clear" w:color="auto" w:fill="FFFFFF"/>
        </w:rPr>
        <w:t>helps</w:t>
      </w:r>
      <w:r w:rsidRPr="00A84DDA">
        <w:rPr>
          <w:rFonts w:ascii="Arial" w:hAnsi="Arial" w:cs="Arial"/>
          <w:color w:val="26282A"/>
          <w:sz w:val="24"/>
          <w:szCs w:val="24"/>
          <w:shd w:val="clear" w:color="auto" w:fill="FFFFFF"/>
        </w:rPr>
        <w:t xml:space="preserve"> to mitigate the risk of claims (Law Society CQS), and it is constantly being updated to cope with emerging trends like COVID-19 </w:t>
      </w:r>
      <w:bookmarkStart w:id="1" w:name="_Hlk118761766"/>
      <w:r w:rsidRPr="00A84DDA">
        <w:rPr>
          <w:rFonts w:ascii="Arial" w:hAnsi="Arial" w:cs="Arial"/>
          <w:color w:val="26282A"/>
          <w:sz w:val="24"/>
          <w:szCs w:val="24"/>
          <w:shd w:val="clear" w:color="auto" w:fill="FFFFFF"/>
        </w:rPr>
        <w:t xml:space="preserve">(Rayner, 2022). </w:t>
      </w:r>
      <w:r w:rsidRPr="00A84DDA">
        <w:rPr>
          <w:rFonts w:ascii="Arial" w:hAnsi="Arial" w:cs="Arial"/>
          <w:sz w:val="24"/>
          <w:szCs w:val="24"/>
        </w:rPr>
        <w:t>The changes made by the Law Society in 2019 to the National Conveyancing Protocol played a significant role in this.</w:t>
      </w:r>
      <w:r w:rsidR="00302E2B" w:rsidRPr="00A84DDA">
        <w:rPr>
          <w:rFonts w:ascii="Arial" w:hAnsi="Arial" w:cs="Arial"/>
          <w:sz w:val="24"/>
          <w:szCs w:val="24"/>
        </w:rPr>
        <w:t xml:space="preserve"> However, not making the protocol compulsory for everyone will impact greatly on the overall conveyancing process because </w:t>
      </w:r>
      <w:r w:rsidR="00E93906" w:rsidRPr="00A84DDA">
        <w:rPr>
          <w:rFonts w:ascii="Arial" w:hAnsi="Arial" w:cs="Arial"/>
          <w:sz w:val="24"/>
          <w:szCs w:val="24"/>
        </w:rPr>
        <w:t xml:space="preserve">there will be no uniform approach to conveyancing, thereby defeating the </w:t>
      </w:r>
      <w:r w:rsidR="00C74A31" w:rsidRPr="00A84DDA">
        <w:rPr>
          <w:rFonts w:ascii="Arial" w:hAnsi="Arial" w:cs="Arial"/>
          <w:sz w:val="24"/>
          <w:szCs w:val="24"/>
        </w:rPr>
        <w:t>purpose</w:t>
      </w:r>
      <w:r w:rsidR="00E93906" w:rsidRPr="00A84DDA">
        <w:rPr>
          <w:rFonts w:ascii="Arial" w:hAnsi="Arial" w:cs="Arial"/>
          <w:sz w:val="24"/>
          <w:szCs w:val="24"/>
        </w:rPr>
        <w:t xml:space="preserve"> of the protocol (</w:t>
      </w:r>
      <w:r w:rsidR="00E93906" w:rsidRPr="00A84DDA">
        <w:rPr>
          <w:rFonts w:ascii="Arial" w:hAnsi="Arial" w:cs="Arial"/>
          <w:sz w:val="24"/>
          <w:szCs w:val="24"/>
        </w:rPr>
        <w:t>Richardson,</w:t>
      </w:r>
      <w:r w:rsidR="00AD732F" w:rsidRPr="00A84DDA">
        <w:rPr>
          <w:rFonts w:ascii="Arial" w:hAnsi="Arial" w:cs="Arial"/>
          <w:sz w:val="24"/>
          <w:szCs w:val="24"/>
        </w:rPr>
        <w:t xml:space="preserve"> </w:t>
      </w:r>
      <w:r w:rsidR="00E93906" w:rsidRPr="00A84DDA">
        <w:rPr>
          <w:rFonts w:ascii="Arial" w:hAnsi="Arial" w:cs="Arial"/>
          <w:sz w:val="24"/>
          <w:szCs w:val="24"/>
        </w:rPr>
        <w:t>2021)</w:t>
      </w:r>
      <w:r w:rsidR="00AD732F" w:rsidRPr="00A84DDA">
        <w:rPr>
          <w:rFonts w:ascii="Arial" w:hAnsi="Arial" w:cs="Arial"/>
          <w:sz w:val="24"/>
          <w:szCs w:val="24"/>
        </w:rPr>
        <w:t>.</w:t>
      </w:r>
    </w:p>
    <w:bookmarkEnd w:id="1"/>
    <w:p w14:paraId="16225A3E" w14:textId="608445F7"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 xml:space="preserve">The last edition of the National Conveyancing Protocol was the 2011 Protocol. </w:t>
      </w:r>
      <w:r w:rsidRPr="00A84DDA">
        <w:rPr>
          <w:rFonts w:ascii="Arial" w:hAnsi="Arial" w:cs="Arial"/>
          <w:color w:val="26282A"/>
          <w:sz w:val="24"/>
          <w:szCs w:val="24"/>
          <w:shd w:val="clear" w:color="auto" w:fill="FFFFFF"/>
        </w:rPr>
        <w:t xml:space="preserve">However, there has been an outcry from consumers and conveyancers that the </w:t>
      </w:r>
      <w:r w:rsidRPr="00A84DDA">
        <w:rPr>
          <w:rFonts w:ascii="Arial" w:hAnsi="Arial" w:cs="Arial"/>
          <w:color w:val="26282A"/>
          <w:sz w:val="24"/>
          <w:szCs w:val="24"/>
          <w:shd w:val="clear" w:color="auto" w:fill="FFFFFF"/>
        </w:rPr>
        <w:lastRenderedPageBreak/>
        <w:t xml:space="preserve">Protocol is far from satisfactory. These criticisms of inconsistencies, unfairness, and irregularities led the Law Society to come up with some proposed changes. The updated Protocol finally came into force in 2019, replacing the 2011 </w:t>
      </w:r>
      <w:r w:rsidRPr="00A84DDA">
        <w:rPr>
          <w:rFonts w:ascii="Arial" w:hAnsi="Arial" w:cs="Arial"/>
          <w:sz w:val="24"/>
          <w:szCs w:val="24"/>
        </w:rPr>
        <w:t>National Conveyancing</w:t>
      </w:r>
      <w:r w:rsidRPr="00A84DDA">
        <w:rPr>
          <w:rFonts w:ascii="Arial" w:hAnsi="Arial" w:cs="Arial"/>
          <w:color w:val="26282A"/>
          <w:sz w:val="24"/>
          <w:szCs w:val="24"/>
          <w:shd w:val="clear" w:color="auto" w:fill="FFFFFF"/>
        </w:rPr>
        <w:t xml:space="preserve"> Protocol. </w:t>
      </w:r>
      <w:r w:rsidRPr="00A84DDA">
        <w:rPr>
          <w:rFonts w:ascii="Arial" w:hAnsi="Arial" w:cs="Arial"/>
          <w:sz w:val="24"/>
          <w:szCs w:val="24"/>
        </w:rPr>
        <w:t>It is designed to bring structure and clarity to communications in residential property transactions (Silverman, 2021).</w:t>
      </w:r>
      <w:r w:rsidRPr="00A84DDA">
        <w:rPr>
          <w:rFonts w:ascii="Arial" w:hAnsi="Arial" w:cs="Arial"/>
          <w:color w:val="26282A"/>
          <w:sz w:val="24"/>
          <w:szCs w:val="24"/>
          <w:shd w:val="clear" w:color="auto" w:fill="FFFFFF"/>
        </w:rPr>
        <w:t xml:space="preserve"> </w:t>
      </w:r>
      <w:r w:rsidRPr="00A84DDA">
        <w:rPr>
          <w:rFonts w:ascii="Arial" w:hAnsi="Arial" w:cs="Arial"/>
          <w:sz w:val="24"/>
          <w:szCs w:val="24"/>
        </w:rPr>
        <w:t xml:space="preserve">The changes made by the Law Society in 2019 to the National Conveyancing Protocol are intended to: remind conveyancers about their duties to consumers, reduce the risk of fraud, make conveyancing transparent and increase the overall efficiency of the conveyancing process (The Law Society 2, 2020). </w:t>
      </w:r>
    </w:p>
    <w:p w14:paraId="6D34E71C" w14:textId="43CA1E63" w:rsidR="001D1253" w:rsidRPr="00A84DDA" w:rsidRDefault="00000000" w:rsidP="00A84DDA">
      <w:pPr>
        <w:spacing w:line="480" w:lineRule="auto"/>
        <w:jc w:val="both"/>
        <w:rPr>
          <w:rFonts w:ascii="Arial" w:hAnsi="Arial" w:cs="Arial"/>
          <w:sz w:val="24"/>
          <w:szCs w:val="24"/>
        </w:rPr>
      </w:pPr>
      <w:r w:rsidRPr="00A84DDA">
        <w:rPr>
          <w:rFonts w:ascii="Arial" w:hAnsi="Arial" w:cs="Arial"/>
          <w:color w:val="26282A"/>
          <w:sz w:val="24"/>
          <w:szCs w:val="24"/>
          <w:shd w:val="clear" w:color="auto" w:fill="FFFFFF"/>
        </w:rPr>
        <w:t xml:space="preserve">According to the Law Society, </w:t>
      </w:r>
      <w:r w:rsidRPr="00A84DDA">
        <w:rPr>
          <w:rFonts w:ascii="Arial" w:hAnsi="Arial" w:cs="Arial"/>
          <w:sz w:val="24"/>
          <w:szCs w:val="24"/>
        </w:rPr>
        <w:t>the Conveyancing Protocol was updated in response to the following:</w:t>
      </w:r>
    </w:p>
    <w:p w14:paraId="2F9CDFD0" w14:textId="77777777" w:rsidR="001D1253" w:rsidRPr="00A84DDA" w:rsidRDefault="001D1253" w:rsidP="00A84DDA">
      <w:pPr>
        <w:spacing w:line="480" w:lineRule="auto"/>
        <w:jc w:val="both"/>
        <w:rPr>
          <w:rFonts w:ascii="Arial" w:hAnsi="Arial" w:cs="Arial"/>
          <w:sz w:val="24"/>
          <w:szCs w:val="24"/>
        </w:rPr>
      </w:pPr>
      <w:r w:rsidRPr="00A84DDA">
        <w:rPr>
          <w:rFonts w:ascii="Arial" w:hAnsi="Arial" w:cs="Arial"/>
          <w:sz w:val="24"/>
          <w:szCs w:val="24"/>
        </w:rPr>
        <w:t>T</w:t>
      </w:r>
      <w:r w:rsidR="00000000" w:rsidRPr="00A84DDA">
        <w:rPr>
          <w:rFonts w:ascii="Arial" w:hAnsi="Arial" w:cs="Arial"/>
          <w:sz w:val="24"/>
          <w:szCs w:val="24"/>
        </w:rPr>
        <w:t xml:space="preserve">he new CQS Core Practice Management Standards (CPMS) that </w:t>
      </w:r>
      <w:r w:rsidRPr="00A84DDA">
        <w:rPr>
          <w:rFonts w:ascii="Arial" w:hAnsi="Arial" w:cs="Arial"/>
          <w:sz w:val="24"/>
          <w:szCs w:val="24"/>
        </w:rPr>
        <w:t>provide</w:t>
      </w:r>
      <w:r w:rsidR="00000000" w:rsidRPr="00A84DDA">
        <w:rPr>
          <w:rFonts w:ascii="Arial" w:hAnsi="Arial" w:cs="Arial"/>
          <w:sz w:val="24"/>
          <w:szCs w:val="24"/>
        </w:rPr>
        <w:t xml:space="preserve"> specific guidance to CQS firms on the highest standards of performance expected of them in terms of policies, procedures, and practices (The Law Society CQS CPMS 2019)</w:t>
      </w:r>
      <w:bookmarkStart w:id="2" w:name="_Hlk118576777"/>
    </w:p>
    <w:p w14:paraId="5BE8FC59" w14:textId="77777777" w:rsidR="00AD732F"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 xml:space="preserve"> </w:t>
      </w:r>
      <w:r w:rsidR="001D1253" w:rsidRPr="00A84DDA">
        <w:rPr>
          <w:rFonts w:ascii="Arial" w:hAnsi="Arial" w:cs="Arial"/>
          <w:sz w:val="24"/>
          <w:szCs w:val="24"/>
        </w:rPr>
        <w:t>T</w:t>
      </w:r>
      <w:r w:rsidRPr="00A84DDA">
        <w:rPr>
          <w:rFonts w:ascii="Arial" w:hAnsi="Arial" w:cs="Arial"/>
          <w:sz w:val="24"/>
          <w:szCs w:val="24"/>
        </w:rPr>
        <w:t>he Court of Appeal’s Decision in Dreamer, P&amp;P Property Limited (2018)</w:t>
      </w:r>
      <w:r w:rsidR="00203498" w:rsidRPr="00A84DDA">
        <w:rPr>
          <w:rFonts w:ascii="Arial" w:hAnsi="Arial" w:cs="Arial"/>
          <w:sz w:val="24"/>
          <w:szCs w:val="24"/>
        </w:rPr>
        <w:t>. T</w:t>
      </w:r>
      <w:r w:rsidRPr="00A84DDA">
        <w:rPr>
          <w:rFonts w:ascii="Arial" w:hAnsi="Arial" w:cs="Arial"/>
          <w:sz w:val="24"/>
          <w:szCs w:val="24"/>
        </w:rPr>
        <w:t>hese two landmark cases changed the rules in conveyancing in England and Wales, involving the liability of solicitors in case of property transaction identity fraud</w:t>
      </w:r>
      <w:r w:rsidR="00203498" w:rsidRPr="00A84DDA">
        <w:rPr>
          <w:rFonts w:ascii="Arial" w:hAnsi="Arial" w:cs="Arial"/>
          <w:sz w:val="24"/>
          <w:szCs w:val="24"/>
        </w:rPr>
        <w:t>. The updated protocol</w:t>
      </w:r>
      <w:r w:rsidRPr="00A84DDA">
        <w:rPr>
          <w:rFonts w:ascii="Arial" w:hAnsi="Arial" w:cs="Arial"/>
          <w:sz w:val="24"/>
          <w:szCs w:val="24"/>
        </w:rPr>
        <w:t xml:space="preserve"> plac</w:t>
      </w:r>
      <w:r w:rsidR="00203498" w:rsidRPr="00A84DDA">
        <w:rPr>
          <w:rFonts w:ascii="Arial" w:hAnsi="Arial" w:cs="Arial"/>
          <w:sz w:val="24"/>
          <w:szCs w:val="24"/>
        </w:rPr>
        <w:t>es</w:t>
      </w:r>
      <w:r w:rsidRPr="00A84DDA">
        <w:rPr>
          <w:rFonts w:ascii="Arial" w:hAnsi="Arial" w:cs="Arial"/>
          <w:sz w:val="24"/>
          <w:szCs w:val="24"/>
        </w:rPr>
        <w:t xml:space="preserve"> responsibilities on</w:t>
      </w:r>
      <w:r w:rsidR="00C74A31" w:rsidRPr="00A84DDA">
        <w:rPr>
          <w:rFonts w:ascii="Arial" w:hAnsi="Arial" w:cs="Arial"/>
          <w:sz w:val="24"/>
          <w:szCs w:val="24"/>
        </w:rPr>
        <w:t xml:space="preserve"> </w:t>
      </w:r>
      <w:r w:rsidRPr="00A84DDA">
        <w:rPr>
          <w:rFonts w:ascii="Arial" w:hAnsi="Arial" w:cs="Arial"/>
          <w:sz w:val="24"/>
          <w:szCs w:val="24"/>
        </w:rPr>
        <w:t>conveyancers</w:t>
      </w:r>
      <w:r w:rsidR="00203498" w:rsidRPr="00A84DDA">
        <w:rPr>
          <w:rFonts w:ascii="Arial" w:hAnsi="Arial" w:cs="Arial"/>
          <w:sz w:val="24"/>
          <w:szCs w:val="24"/>
        </w:rPr>
        <w:t xml:space="preserve"> to take </w:t>
      </w:r>
      <w:r w:rsidRPr="00A84DDA">
        <w:rPr>
          <w:rFonts w:ascii="Arial" w:hAnsi="Arial" w:cs="Arial"/>
          <w:sz w:val="24"/>
          <w:szCs w:val="24"/>
        </w:rPr>
        <w:t>reasonable car</w:t>
      </w:r>
      <w:r w:rsidR="00203498" w:rsidRPr="00A84DDA">
        <w:rPr>
          <w:rFonts w:ascii="Arial" w:hAnsi="Arial" w:cs="Arial"/>
          <w:sz w:val="24"/>
          <w:szCs w:val="24"/>
        </w:rPr>
        <w:t>e to</w:t>
      </w:r>
      <w:r w:rsidRPr="00A84DDA">
        <w:rPr>
          <w:rFonts w:ascii="Arial" w:hAnsi="Arial" w:cs="Arial"/>
          <w:sz w:val="24"/>
          <w:szCs w:val="24"/>
        </w:rPr>
        <w:t xml:space="preserve"> avoid liability and </w:t>
      </w:r>
      <w:r w:rsidR="00203498" w:rsidRPr="00A84DDA">
        <w:rPr>
          <w:rFonts w:ascii="Arial" w:hAnsi="Arial" w:cs="Arial"/>
          <w:sz w:val="24"/>
          <w:szCs w:val="24"/>
        </w:rPr>
        <w:t>ensure</w:t>
      </w:r>
      <w:r w:rsidRPr="00A84DDA">
        <w:rPr>
          <w:rFonts w:ascii="Arial" w:hAnsi="Arial" w:cs="Arial"/>
          <w:sz w:val="24"/>
          <w:szCs w:val="24"/>
        </w:rPr>
        <w:t xml:space="preserve"> transactions </w:t>
      </w:r>
      <w:r w:rsidR="00203498" w:rsidRPr="00A84DDA">
        <w:rPr>
          <w:rFonts w:ascii="Arial" w:hAnsi="Arial" w:cs="Arial"/>
          <w:sz w:val="24"/>
          <w:szCs w:val="24"/>
        </w:rPr>
        <w:t xml:space="preserve">do not </w:t>
      </w:r>
      <w:r w:rsidRPr="00A84DDA">
        <w:rPr>
          <w:rFonts w:ascii="Arial" w:hAnsi="Arial" w:cs="Arial"/>
          <w:sz w:val="24"/>
          <w:szCs w:val="24"/>
        </w:rPr>
        <w:t>turn out to be fraud, as it is a breach of trust</w:t>
      </w:r>
      <w:r w:rsidR="00AD732F" w:rsidRPr="00A84DDA">
        <w:rPr>
          <w:rFonts w:ascii="Arial" w:hAnsi="Arial" w:cs="Arial"/>
          <w:sz w:val="24"/>
          <w:szCs w:val="24"/>
        </w:rPr>
        <w:t xml:space="preserve"> (Camp and Bell2018)</w:t>
      </w:r>
      <w:r w:rsidRPr="00A84DDA">
        <w:rPr>
          <w:rFonts w:ascii="Arial" w:hAnsi="Arial" w:cs="Arial"/>
          <w:sz w:val="24"/>
          <w:szCs w:val="24"/>
        </w:rPr>
        <w:t>.</w:t>
      </w:r>
      <w:r w:rsidR="00AD732F" w:rsidRPr="00A84DDA">
        <w:rPr>
          <w:rFonts w:ascii="Arial" w:hAnsi="Arial" w:cs="Arial"/>
          <w:sz w:val="24"/>
          <w:szCs w:val="24"/>
        </w:rPr>
        <w:t xml:space="preserve"> C</w:t>
      </w:r>
      <w:r w:rsidRPr="00A84DDA">
        <w:rPr>
          <w:rFonts w:ascii="Arial" w:hAnsi="Arial" w:cs="Arial"/>
          <w:sz w:val="24"/>
          <w:szCs w:val="24"/>
        </w:rPr>
        <w:t xml:space="preserve">onveyancers are expected to have taken reasonable care to mitigate their risks, by doing their due diligence about the seller and the </w:t>
      </w:r>
      <w:bookmarkEnd w:id="2"/>
      <w:r w:rsidRPr="00A84DDA">
        <w:rPr>
          <w:rFonts w:ascii="Arial" w:hAnsi="Arial" w:cs="Arial"/>
          <w:sz w:val="24"/>
          <w:szCs w:val="24"/>
        </w:rPr>
        <w:t>property and complying with money laundering regulations to prevent fraud (</w:t>
      </w:r>
      <w:proofErr w:type="spellStart"/>
      <w:r w:rsidRPr="00A84DDA">
        <w:rPr>
          <w:rFonts w:ascii="Arial" w:hAnsi="Arial" w:cs="Arial"/>
          <w:sz w:val="24"/>
          <w:szCs w:val="24"/>
        </w:rPr>
        <w:t>Purrunsing</w:t>
      </w:r>
      <w:proofErr w:type="spellEnd"/>
      <w:r w:rsidRPr="00A84DDA">
        <w:rPr>
          <w:rFonts w:ascii="Arial" w:hAnsi="Arial" w:cs="Arial"/>
          <w:sz w:val="24"/>
          <w:szCs w:val="24"/>
        </w:rPr>
        <w:t xml:space="preserve"> v A’ Court &amp; Co and Anor (2016)</w:t>
      </w:r>
    </w:p>
    <w:p w14:paraId="659BA2C7" w14:textId="4214B32F" w:rsidR="001D1253" w:rsidRPr="00A84DDA" w:rsidRDefault="00AD732F" w:rsidP="00A84DDA">
      <w:pPr>
        <w:spacing w:line="480" w:lineRule="auto"/>
        <w:jc w:val="both"/>
        <w:rPr>
          <w:rFonts w:ascii="Arial" w:hAnsi="Arial" w:cs="Arial"/>
          <w:sz w:val="24"/>
          <w:szCs w:val="24"/>
        </w:rPr>
      </w:pPr>
      <w:r w:rsidRPr="00A84DDA">
        <w:rPr>
          <w:rFonts w:ascii="Arial" w:hAnsi="Arial" w:cs="Arial"/>
          <w:sz w:val="24"/>
          <w:szCs w:val="24"/>
        </w:rPr>
        <w:lastRenderedPageBreak/>
        <w:t>T</w:t>
      </w:r>
      <w:r w:rsidR="00000000" w:rsidRPr="00A84DDA">
        <w:rPr>
          <w:rFonts w:ascii="Arial" w:hAnsi="Arial" w:cs="Arial"/>
          <w:sz w:val="24"/>
          <w:szCs w:val="24"/>
        </w:rPr>
        <w:t xml:space="preserve">he </w:t>
      </w:r>
      <w:r w:rsidRPr="00A84DDA">
        <w:rPr>
          <w:rFonts w:ascii="Arial" w:hAnsi="Arial" w:cs="Arial"/>
          <w:sz w:val="24"/>
          <w:szCs w:val="24"/>
        </w:rPr>
        <w:t>updated</w:t>
      </w:r>
      <w:r w:rsidR="00261AFA" w:rsidRPr="00A84DDA">
        <w:rPr>
          <w:rFonts w:ascii="Arial" w:hAnsi="Arial" w:cs="Arial"/>
          <w:sz w:val="24"/>
          <w:szCs w:val="24"/>
        </w:rPr>
        <w:t xml:space="preserve"> </w:t>
      </w:r>
      <w:r w:rsidR="00000000" w:rsidRPr="00A84DDA">
        <w:rPr>
          <w:rFonts w:ascii="Arial" w:hAnsi="Arial" w:cs="Arial"/>
          <w:sz w:val="24"/>
          <w:szCs w:val="24"/>
        </w:rPr>
        <w:t>SRA Transparency Rules aim to ensure clients have all the information they need to make an informed choice about the legal service they should choose. In order words, it makes provisions for firms to be transparent about what services provide, their team, price, terms of service</w:t>
      </w:r>
      <w:r w:rsidR="00261AFA" w:rsidRPr="00A84DDA">
        <w:rPr>
          <w:rFonts w:ascii="Arial" w:hAnsi="Arial" w:cs="Arial"/>
          <w:sz w:val="24"/>
          <w:szCs w:val="24"/>
        </w:rPr>
        <w:t>,</w:t>
      </w:r>
      <w:r w:rsidR="00000000" w:rsidRPr="00A84DDA">
        <w:rPr>
          <w:rFonts w:ascii="Arial" w:hAnsi="Arial" w:cs="Arial"/>
          <w:sz w:val="24"/>
          <w:szCs w:val="24"/>
        </w:rPr>
        <w:t xml:space="preserve"> etc. (SRA Transparency Rules, 2018)</w:t>
      </w:r>
    </w:p>
    <w:p w14:paraId="22DCA3D5" w14:textId="6B10C4EE" w:rsidR="001D1253" w:rsidRPr="00A84DDA" w:rsidRDefault="001D1253" w:rsidP="00A84DDA">
      <w:pPr>
        <w:spacing w:line="480" w:lineRule="auto"/>
        <w:jc w:val="both"/>
        <w:rPr>
          <w:rFonts w:ascii="Arial" w:hAnsi="Arial" w:cs="Arial"/>
          <w:sz w:val="24"/>
          <w:szCs w:val="24"/>
        </w:rPr>
      </w:pPr>
      <w:r w:rsidRPr="00A84DDA">
        <w:rPr>
          <w:rFonts w:ascii="Arial" w:hAnsi="Arial" w:cs="Arial"/>
          <w:sz w:val="24"/>
          <w:szCs w:val="24"/>
        </w:rPr>
        <w:t>T</w:t>
      </w:r>
      <w:r w:rsidR="00000000" w:rsidRPr="00A84DDA">
        <w:rPr>
          <w:rFonts w:ascii="Arial" w:hAnsi="Arial" w:cs="Arial"/>
          <w:sz w:val="24"/>
          <w:szCs w:val="24"/>
        </w:rPr>
        <w:t xml:space="preserve">he government’s consultations on the home buying and selling process, and leasehold to revamp and improve the buying and selling of homes, and leasehold system in England and Wales, which was not fit for purpose (Ministry of Housing Communities and Local Government (2018). These proposed changes aim to eliminate delays, simplify the current home buying and selling system and improve the consumer’s experience, thereby making the leasehold system fairer, </w:t>
      </w:r>
      <w:r w:rsidR="00261AFA" w:rsidRPr="00A84DDA">
        <w:rPr>
          <w:rFonts w:ascii="Arial" w:hAnsi="Arial" w:cs="Arial"/>
          <w:sz w:val="24"/>
          <w:szCs w:val="24"/>
        </w:rPr>
        <w:t>easier,</w:t>
      </w:r>
      <w:r w:rsidR="00000000" w:rsidRPr="00A84DDA">
        <w:rPr>
          <w:rFonts w:ascii="Arial" w:hAnsi="Arial" w:cs="Arial"/>
          <w:sz w:val="24"/>
          <w:szCs w:val="24"/>
        </w:rPr>
        <w:t xml:space="preserve"> and cheaper for leaseholders (Ministry of Housing Communities and Local Government (2017). </w:t>
      </w:r>
    </w:p>
    <w:p w14:paraId="3EECC86D" w14:textId="10D1C5C2" w:rsidR="007D1B64" w:rsidRPr="00A84DDA" w:rsidRDefault="00261AFA" w:rsidP="00A84DDA">
      <w:pPr>
        <w:spacing w:line="480" w:lineRule="auto"/>
        <w:jc w:val="both"/>
        <w:rPr>
          <w:rFonts w:ascii="Arial" w:hAnsi="Arial" w:cs="Arial"/>
          <w:sz w:val="24"/>
          <w:szCs w:val="24"/>
        </w:rPr>
      </w:pPr>
      <w:r w:rsidRPr="00A84DDA">
        <w:rPr>
          <w:rFonts w:ascii="Arial" w:hAnsi="Arial" w:cs="Arial"/>
          <w:sz w:val="24"/>
          <w:szCs w:val="24"/>
        </w:rPr>
        <w:t xml:space="preserve">The </w:t>
      </w:r>
      <w:r w:rsidR="00000000" w:rsidRPr="00A84DDA">
        <w:rPr>
          <w:rFonts w:ascii="Arial" w:hAnsi="Arial" w:cs="Arial"/>
          <w:sz w:val="24"/>
          <w:szCs w:val="24"/>
        </w:rPr>
        <w:t>updated</w:t>
      </w:r>
      <w:r w:rsidRPr="00A84DDA">
        <w:rPr>
          <w:rFonts w:ascii="Arial" w:hAnsi="Arial" w:cs="Arial"/>
          <w:sz w:val="24"/>
          <w:szCs w:val="24"/>
        </w:rPr>
        <w:t xml:space="preserve"> </w:t>
      </w:r>
      <w:r w:rsidR="00000000" w:rsidRPr="00A84DDA">
        <w:rPr>
          <w:rFonts w:ascii="Arial" w:hAnsi="Arial" w:cs="Arial"/>
          <w:sz w:val="24"/>
          <w:szCs w:val="24"/>
        </w:rPr>
        <w:t xml:space="preserve">protocol </w:t>
      </w:r>
      <w:r w:rsidRPr="00A84DDA">
        <w:rPr>
          <w:rFonts w:ascii="Arial" w:hAnsi="Arial" w:cs="Arial"/>
          <w:sz w:val="24"/>
          <w:szCs w:val="24"/>
        </w:rPr>
        <w:t>encouraged</w:t>
      </w:r>
      <w:r w:rsidR="00000000" w:rsidRPr="00A84DDA">
        <w:rPr>
          <w:rFonts w:ascii="Arial" w:hAnsi="Arial" w:cs="Arial"/>
          <w:sz w:val="24"/>
          <w:szCs w:val="24"/>
        </w:rPr>
        <w:t xml:space="preserve"> conveyanc</w:t>
      </w:r>
      <w:r w:rsidRPr="00A84DDA">
        <w:rPr>
          <w:rFonts w:ascii="Arial" w:hAnsi="Arial" w:cs="Arial"/>
          <w:sz w:val="24"/>
          <w:szCs w:val="24"/>
        </w:rPr>
        <w:t xml:space="preserve">ers </w:t>
      </w:r>
      <w:r w:rsidR="00000000" w:rsidRPr="00A84DDA">
        <w:rPr>
          <w:rFonts w:ascii="Arial" w:hAnsi="Arial" w:cs="Arial"/>
          <w:sz w:val="24"/>
          <w:szCs w:val="24"/>
        </w:rPr>
        <w:t xml:space="preserve">to share more information with clients and buyers and follow an efficient timetable </w:t>
      </w:r>
      <w:bookmarkStart w:id="3" w:name="_Hlk118764723"/>
      <w:r w:rsidR="00000000" w:rsidRPr="00A84DDA">
        <w:rPr>
          <w:rFonts w:ascii="Arial" w:hAnsi="Arial" w:cs="Arial"/>
          <w:sz w:val="24"/>
          <w:szCs w:val="24"/>
        </w:rPr>
        <w:t>(The Law Society, Improving the home buying and selling process, 2021)</w:t>
      </w:r>
      <w:bookmarkEnd w:id="3"/>
      <w:r w:rsidR="00000000" w:rsidRPr="00A84DDA">
        <w:rPr>
          <w:rFonts w:ascii="Arial" w:hAnsi="Arial" w:cs="Arial"/>
          <w:sz w:val="24"/>
          <w:szCs w:val="24"/>
        </w:rPr>
        <w:t>; and the revised Code for Completion by post, which is a process to follow when completing a property transfer that does not take place in person.</w:t>
      </w:r>
      <w:r w:rsidRPr="00A84DDA">
        <w:rPr>
          <w:rFonts w:ascii="Arial" w:hAnsi="Arial" w:cs="Arial"/>
          <w:sz w:val="24"/>
          <w:szCs w:val="24"/>
        </w:rPr>
        <w:t xml:space="preserve"> This code was also </w:t>
      </w:r>
      <w:r w:rsidR="00000000" w:rsidRPr="00A84DDA">
        <w:rPr>
          <w:rFonts w:ascii="Arial" w:hAnsi="Arial" w:cs="Arial"/>
          <w:sz w:val="24"/>
          <w:szCs w:val="24"/>
        </w:rPr>
        <w:t>updated</w:t>
      </w:r>
      <w:r w:rsidRPr="00A84DDA">
        <w:rPr>
          <w:rFonts w:ascii="Arial" w:hAnsi="Arial" w:cs="Arial"/>
          <w:sz w:val="24"/>
          <w:szCs w:val="24"/>
        </w:rPr>
        <w:t xml:space="preserve"> </w:t>
      </w:r>
      <w:r w:rsidR="00000000" w:rsidRPr="00A84DDA">
        <w:rPr>
          <w:rFonts w:ascii="Arial" w:hAnsi="Arial" w:cs="Arial"/>
          <w:sz w:val="24"/>
          <w:szCs w:val="24"/>
        </w:rPr>
        <w:t xml:space="preserve">following the court’s decision in Dreamer (2018). The updated version helps boost consumers’ confidence in the conveyancing process, and protect home purchases from fraud, making it clearer that the seller’s solicitor should only give an undertaking when there is a genuine sale, (The Law Society, Code for Completion). The changes made by the Law Society in 2019 to the National Conveyancing Protocol </w:t>
      </w:r>
      <w:r w:rsidRPr="00A84DDA">
        <w:rPr>
          <w:rFonts w:ascii="Arial" w:hAnsi="Arial" w:cs="Arial"/>
          <w:sz w:val="24"/>
          <w:szCs w:val="24"/>
        </w:rPr>
        <w:t>help</w:t>
      </w:r>
      <w:r w:rsidR="00000000" w:rsidRPr="00A84DDA">
        <w:rPr>
          <w:rFonts w:ascii="Arial" w:hAnsi="Arial" w:cs="Arial"/>
          <w:sz w:val="24"/>
          <w:szCs w:val="24"/>
        </w:rPr>
        <w:t xml:space="preserve"> conveyancers to take reasonable steps to do their due diligence, know their clients, ensure they are the person they claim to be</w:t>
      </w:r>
      <w:r w:rsidRPr="00A84DDA">
        <w:rPr>
          <w:rFonts w:ascii="Arial" w:hAnsi="Arial" w:cs="Arial"/>
          <w:sz w:val="24"/>
          <w:szCs w:val="24"/>
        </w:rPr>
        <w:t xml:space="preserve"> and that they</w:t>
      </w:r>
      <w:r w:rsidR="00000000" w:rsidRPr="00A84DDA">
        <w:rPr>
          <w:rFonts w:ascii="Arial" w:hAnsi="Arial" w:cs="Arial"/>
          <w:sz w:val="24"/>
          <w:szCs w:val="24"/>
        </w:rPr>
        <w:t xml:space="preserve"> have the authority to sell the property, and transfer it at the point of competition (Brewin, 2019). </w:t>
      </w:r>
    </w:p>
    <w:p w14:paraId="1C3A0934" w14:textId="77777777" w:rsidR="005B4331"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lastRenderedPageBreak/>
        <w:t>According to the Law Society, the updated protocol include the following: firstly, the reduction in the steps that make up each stage of conveyancing in the protocol, although the duties of the conveyancers to consumers remain the same</w:t>
      </w:r>
      <w:r w:rsidR="00261AFA" w:rsidRPr="00A84DDA">
        <w:rPr>
          <w:rFonts w:ascii="Arial" w:hAnsi="Arial" w:cs="Arial"/>
          <w:sz w:val="24"/>
          <w:szCs w:val="24"/>
        </w:rPr>
        <w:t xml:space="preserve">, </w:t>
      </w:r>
      <w:r w:rsidRPr="00A84DDA">
        <w:rPr>
          <w:rFonts w:ascii="Arial" w:hAnsi="Arial" w:cs="Arial"/>
          <w:sz w:val="24"/>
          <w:szCs w:val="24"/>
        </w:rPr>
        <w:t>secondly, a reminder that documents sent by email must be clearly identifiable and sent separately, as most conveyancing transactions now take place digitally,</w:t>
      </w:r>
      <w:r w:rsidR="00261AFA" w:rsidRPr="00A84DDA">
        <w:rPr>
          <w:rFonts w:ascii="Arial" w:hAnsi="Arial" w:cs="Arial"/>
          <w:sz w:val="24"/>
          <w:szCs w:val="24"/>
        </w:rPr>
        <w:t xml:space="preserve"> especially during COVID,</w:t>
      </w:r>
      <w:r w:rsidRPr="00A84DDA">
        <w:rPr>
          <w:rFonts w:ascii="Arial" w:hAnsi="Arial" w:cs="Arial"/>
          <w:sz w:val="24"/>
          <w:szCs w:val="24"/>
        </w:rPr>
        <w:t xml:space="preserve"> emphasising the gradual shift to digital conveyancing (The Law Society 2, 2020).  </w:t>
      </w:r>
      <w:proofErr w:type="spellStart"/>
      <w:r w:rsidRPr="00A84DDA">
        <w:rPr>
          <w:rFonts w:ascii="Arial" w:hAnsi="Arial" w:cs="Arial"/>
          <w:sz w:val="24"/>
          <w:szCs w:val="24"/>
        </w:rPr>
        <w:t>Fouzder</w:t>
      </w:r>
      <w:proofErr w:type="spellEnd"/>
      <w:r w:rsidRPr="00A84DDA">
        <w:rPr>
          <w:rFonts w:ascii="Arial" w:hAnsi="Arial" w:cs="Arial"/>
          <w:sz w:val="24"/>
          <w:szCs w:val="24"/>
        </w:rPr>
        <w:t>, (2020) observes that the coronavirus outbreak has made consumers appreciate digital conveyancing and become less tolerant of paper transactions, thereby making the Land Registry become ambitious of the whole conveyancing process becoming paperless and going digital by 2025 (HM Land Registry). According to Simon Hayes, the Chief Executive and Chief Land Register of HM Land Registry, “we are placing people- those buying and selling property- at the heart of our transformation from paperless to digital”. Mire, M. (2020) also acknowledges this. He believes people in the UK look forward to conveyancing going more digital, as the property market recovers from the pandemic. Although, he laments over the fact that compared to other sectors of the economy, conveyancing still has too many paper-based transactions</w:t>
      </w:r>
      <w:r w:rsidR="005B4331" w:rsidRPr="00A84DDA">
        <w:rPr>
          <w:rFonts w:ascii="Arial" w:hAnsi="Arial" w:cs="Arial"/>
          <w:sz w:val="24"/>
          <w:szCs w:val="24"/>
        </w:rPr>
        <w:t>.</w:t>
      </w:r>
    </w:p>
    <w:p w14:paraId="1CD1D784" w14:textId="2F344CEE" w:rsidR="007D1B64" w:rsidRPr="00A84DDA" w:rsidRDefault="005B4331" w:rsidP="00A84DDA">
      <w:pPr>
        <w:spacing w:line="480" w:lineRule="auto"/>
        <w:jc w:val="both"/>
        <w:rPr>
          <w:rFonts w:ascii="Arial" w:hAnsi="Arial" w:cs="Arial"/>
          <w:sz w:val="24"/>
          <w:szCs w:val="24"/>
        </w:rPr>
      </w:pPr>
      <w:r w:rsidRPr="00A84DDA">
        <w:rPr>
          <w:rFonts w:ascii="Arial" w:hAnsi="Arial" w:cs="Arial"/>
          <w:sz w:val="24"/>
          <w:szCs w:val="24"/>
        </w:rPr>
        <w:t>T</w:t>
      </w:r>
      <w:r w:rsidR="00000000" w:rsidRPr="00A84DDA">
        <w:rPr>
          <w:rFonts w:ascii="Arial" w:hAnsi="Arial" w:cs="Arial"/>
          <w:sz w:val="24"/>
          <w:szCs w:val="24"/>
        </w:rPr>
        <w:t>hirdly</w:t>
      </w:r>
      <w:r w:rsidRPr="00A84DDA">
        <w:rPr>
          <w:rFonts w:ascii="Arial" w:hAnsi="Arial" w:cs="Arial"/>
          <w:sz w:val="24"/>
          <w:szCs w:val="24"/>
        </w:rPr>
        <w:t xml:space="preserve">, the protocol </w:t>
      </w:r>
      <w:r w:rsidR="00000000" w:rsidRPr="00A84DDA">
        <w:rPr>
          <w:rFonts w:ascii="Arial" w:hAnsi="Arial" w:cs="Arial"/>
          <w:sz w:val="24"/>
          <w:szCs w:val="24"/>
        </w:rPr>
        <w:t>recommends that conveyancers should seek specialist tax advice if necessary because the stamp duty land tax regime has become increasingly complicated</w:t>
      </w:r>
      <w:r w:rsidRPr="00A84DDA">
        <w:rPr>
          <w:rFonts w:ascii="Arial" w:hAnsi="Arial" w:cs="Arial"/>
          <w:sz w:val="24"/>
          <w:szCs w:val="24"/>
        </w:rPr>
        <w:t xml:space="preserve">. </w:t>
      </w:r>
      <w:r w:rsidR="00000000" w:rsidRPr="00A84DDA">
        <w:rPr>
          <w:rFonts w:ascii="Arial" w:hAnsi="Arial" w:cs="Arial"/>
          <w:sz w:val="24"/>
          <w:szCs w:val="24"/>
        </w:rPr>
        <w:t xml:space="preserve"> </w:t>
      </w:r>
      <w:r w:rsidRPr="00A84DDA">
        <w:rPr>
          <w:rFonts w:ascii="Arial" w:hAnsi="Arial" w:cs="Arial"/>
          <w:sz w:val="24"/>
          <w:szCs w:val="24"/>
        </w:rPr>
        <w:t>F</w:t>
      </w:r>
      <w:r w:rsidR="00000000" w:rsidRPr="00A84DDA">
        <w:rPr>
          <w:rFonts w:ascii="Arial" w:hAnsi="Arial" w:cs="Arial"/>
          <w:sz w:val="24"/>
          <w:szCs w:val="24"/>
        </w:rPr>
        <w:t>ourthly, the updated protocol explains the steps conveyancers can take to protect their organisations and clients against transaction fraud, phishing, and email scam The Law Society 1, 2020), an example being an incident that was reported concerning an IT security breach about ‘Simplify’ a leading Conveyancing organisation experienced (</w:t>
      </w:r>
      <w:proofErr w:type="spellStart"/>
      <w:r w:rsidR="00000000" w:rsidRPr="00A84DDA">
        <w:rPr>
          <w:rFonts w:ascii="Arial" w:hAnsi="Arial" w:cs="Arial"/>
          <w:sz w:val="24"/>
          <w:szCs w:val="24"/>
        </w:rPr>
        <w:t>Fouzder</w:t>
      </w:r>
      <w:proofErr w:type="spellEnd"/>
      <w:r w:rsidR="00000000" w:rsidRPr="00A84DDA">
        <w:rPr>
          <w:rFonts w:ascii="Arial" w:hAnsi="Arial" w:cs="Arial"/>
          <w:sz w:val="24"/>
          <w:szCs w:val="24"/>
        </w:rPr>
        <w:t xml:space="preserve">, M. (2021), </w:t>
      </w:r>
      <w:proofErr w:type="spellStart"/>
      <w:r w:rsidR="00000000" w:rsidRPr="00A84DDA">
        <w:rPr>
          <w:rFonts w:ascii="Arial" w:hAnsi="Arial" w:cs="Arial"/>
          <w:sz w:val="24"/>
          <w:szCs w:val="24"/>
        </w:rPr>
        <w:t>Fouzder</w:t>
      </w:r>
      <w:proofErr w:type="spellEnd"/>
      <w:r w:rsidR="00000000" w:rsidRPr="00A84DDA">
        <w:rPr>
          <w:rFonts w:ascii="Arial" w:hAnsi="Arial" w:cs="Arial"/>
          <w:sz w:val="24"/>
          <w:szCs w:val="24"/>
        </w:rPr>
        <w:t>, M. (2022)</w:t>
      </w:r>
      <w:r w:rsidRPr="00A84DDA">
        <w:rPr>
          <w:rFonts w:ascii="Arial" w:hAnsi="Arial" w:cs="Arial"/>
          <w:sz w:val="24"/>
          <w:szCs w:val="24"/>
        </w:rPr>
        <w:t>. L</w:t>
      </w:r>
      <w:r w:rsidR="00000000" w:rsidRPr="00A84DDA">
        <w:rPr>
          <w:rFonts w:ascii="Arial" w:hAnsi="Arial" w:cs="Arial"/>
          <w:sz w:val="24"/>
          <w:szCs w:val="24"/>
        </w:rPr>
        <w:t xml:space="preserve">astly, the updates </w:t>
      </w:r>
      <w:proofErr w:type="gramStart"/>
      <w:r w:rsidR="00000000" w:rsidRPr="00A84DDA">
        <w:rPr>
          <w:rFonts w:ascii="Arial" w:hAnsi="Arial" w:cs="Arial"/>
          <w:sz w:val="24"/>
          <w:szCs w:val="24"/>
        </w:rPr>
        <w:t>admonishes</w:t>
      </w:r>
      <w:proofErr w:type="gramEnd"/>
      <w:r w:rsidR="00000000" w:rsidRPr="00A84DDA">
        <w:rPr>
          <w:rFonts w:ascii="Arial" w:hAnsi="Arial" w:cs="Arial"/>
          <w:sz w:val="24"/>
          <w:szCs w:val="24"/>
        </w:rPr>
        <w:t xml:space="preserve"> conveyancers to use the new protocol as a model and avoid adding special conditions </w:t>
      </w:r>
      <w:r w:rsidR="00000000" w:rsidRPr="00A84DDA">
        <w:rPr>
          <w:rFonts w:ascii="Arial" w:hAnsi="Arial" w:cs="Arial"/>
          <w:sz w:val="24"/>
          <w:szCs w:val="24"/>
        </w:rPr>
        <w:lastRenderedPageBreak/>
        <w:t>to the contracts except on request by the parties involved. Also, they should not make unnecessary enquires of the other party’s conveyancers (The Law Society 1, 2020). The changes made by the Law Society in 2019 to the National Conveyancing Protocol include reminders to address issues early in the process which might otherwise create delays, such as restrictions in leases, and contains new provisions in relation to lease terms (</w:t>
      </w:r>
      <w:proofErr w:type="spellStart"/>
      <w:r w:rsidR="00000000" w:rsidRPr="00A84DDA">
        <w:rPr>
          <w:rFonts w:ascii="Arial" w:hAnsi="Arial" w:cs="Arial"/>
          <w:sz w:val="24"/>
          <w:szCs w:val="24"/>
        </w:rPr>
        <w:t>Skyes</w:t>
      </w:r>
      <w:proofErr w:type="spellEnd"/>
      <w:r w:rsidR="00000000" w:rsidRPr="00A84DDA">
        <w:rPr>
          <w:rFonts w:ascii="Arial" w:hAnsi="Arial" w:cs="Arial"/>
          <w:sz w:val="24"/>
          <w:szCs w:val="24"/>
        </w:rPr>
        <w:t>, 2016).</w:t>
      </w:r>
    </w:p>
    <w:p w14:paraId="0B404C67" w14:textId="77777777" w:rsidR="005B4331"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 xml:space="preserve">Another issue to be addressed are the notable changes to the 2011 protocol. They are as follows: the 2011 protocol was sub-titled ‘general obligations’, while the 2019 protocol, was specifically subtitled ‘general solicitor obligations in a conveyancing transaction’; the general obligations were not defined in the 2011 protocol, but were defined in the 2019 protocol as the professional standard expected of solicitors in any conveyancing process; the updated 2019 protocol, lettered ‘a-q’, increased the no of general obligations from twelve to seventeen, that means that five new sets obligations were added, while the 2011 protocol, the obligations were numbered ‘1-12’. Although most of the obligations remain the same the sentences were restructured to make them clearer, and eliminate ambiguity, using more active words, and adjectives, for example, ‘managed’ (general obligations a), ‘appropriately’ general obligations b), and ‘respond promptly’ (general obligations f). </w:t>
      </w:r>
    </w:p>
    <w:p w14:paraId="3945953B" w14:textId="5C1B549A"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One important thing that the 2019 protocol general obligations emphasised is that the key to a smooth conveyancing process is for solicitors to manage the expectations of their clients, by being transparent to their clients from the beginning of the transaction and carrying them along all through the process.</w:t>
      </w:r>
      <w:r w:rsidR="005B4331" w:rsidRPr="00A84DDA">
        <w:rPr>
          <w:rFonts w:ascii="Arial" w:hAnsi="Arial" w:cs="Arial"/>
          <w:sz w:val="24"/>
          <w:szCs w:val="24"/>
        </w:rPr>
        <w:t xml:space="preserve"> The</w:t>
      </w:r>
      <w:r w:rsidRPr="00A84DDA">
        <w:rPr>
          <w:rFonts w:ascii="Arial" w:hAnsi="Arial" w:cs="Arial"/>
          <w:sz w:val="24"/>
          <w:szCs w:val="24"/>
        </w:rPr>
        <w:t xml:space="preserve"> 2011 and 2019</w:t>
      </w:r>
      <w:r w:rsidR="005B4331" w:rsidRPr="00A84DDA">
        <w:rPr>
          <w:rFonts w:ascii="Arial" w:hAnsi="Arial" w:cs="Arial"/>
          <w:sz w:val="24"/>
          <w:szCs w:val="24"/>
        </w:rPr>
        <w:t xml:space="preserve"> </w:t>
      </w:r>
      <w:r w:rsidR="005B4331" w:rsidRPr="00A84DDA">
        <w:rPr>
          <w:rFonts w:ascii="Arial" w:hAnsi="Arial" w:cs="Arial"/>
          <w:sz w:val="24"/>
          <w:szCs w:val="24"/>
        </w:rPr>
        <w:t>Protocol</w:t>
      </w:r>
      <w:r w:rsidR="005B4331" w:rsidRPr="00A84DDA">
        <w:rPr>
          <w:rFonts w:ascii="Arial" w:hAnsi="Arial" w:cs="Arial"/>
          <w:sz w:val="24"/>
          <w:szCs w:val="24"/>
        </w:rPr>
        <w:t xml:space="preserve"> both </w:t>
      </w:r>
      <w:proofErr w:type="spellStart"/>
      <w:r w:rsidR="005B4331" w:rsidRPr="00A84DDA">
        <w:rPr>
          <w:rFonts w:ascii="Arial" w:hAnsi="Arial" w:cs="Arial"/>
          <w:sz w:val="24"/>
          <w:szCs w:val="24"/>
        </w:rPr>
        <w:t>empasised</w:t>
      </w:r>
      <w:proofErr w:type="spellEnd"/>
      <w:r w:rsidR="005B4331" w:rsidRPr="00A84DDA">
        <w:rPr>
          <w:rFonts w:ascii="Arial" w:hAnsi="Arial" w:cs="Arial"/>
          <w:sz w:val="24"/>
          <w:szCs w:val="24"/>
        </w:rPr>
        <w:t xml:space="preserve"> </w:t>
      </w:r>
      <w:r w:rsidRPr="00A84DDA">
        <w:rPr>
          <w:rFonts w:ascii="Arial" w:hAnsi="Arial" w:cs="Arial"/>
          <w:sz w:val="24"/>
          <w:szCs w:val="24"/>
        </w:rPr>
        <w:t xml:space="preserve">that the client’s best interest should always take precedence over the protocol. </w:t>
      </w:r>
    </w:p>
    <w:p w14:paraId="3D7ACDB4" w14:textId="7541A948"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lastRenderedPageBreak/>
        <w:t xml:space="preserve">The protocol framework which is the second section of the protocol aims to help the conveyancers interpret the general obligations that lead into the protocol framework. This framework is a detailed list of the steps taken by the parties in a standard residential transaction from both the buyer’s, seller’s, and lender’s perspectives. Under regulatory requirements, the changes made by the Law Society in 2019 to the National Conveyancing Protocol in the 2019 edition </w:t>
      </w:r>
      <w:r w:rsidR="005B4331" w:rsidRPr="00A84DDA">
        <w:rPr>
          <w:rFonts w:ascii="Arial" w:hAnsi="Arial" w:cs="Arial"/>
          <w:sz w:val="24"/>
          <w:szCs w:val="24"/>
        </w:rPr>
        <w:t>provide</w:t>
      </w:r>
      <w:r w:rsidRPr="00A84DDA">
        <w:rPr>
          <w:rFonts w:ascii="Arial" w:hAnsi="Arial" w:cs="Arial"/>
          <w:sz w:val="24"/>
          <w:szCs w:val="24"/>
        </w:rPr>
        <w:t xml:space="preserve"> in point 2 of the framework that the seller’s solicitors must give an estimate of fees and disbursement; provide information on client care and any retainer, provide terms and conditions, make clients aware of fraud risks and the methods for avoiding them, have regard to what tax advice is relevant (LexisNexis). </w:t>
      </w:r>
    </w:p>
    <w:p w14:paraId="55E61BD2" w14:textId="77777777" w:rsidR="005B4331"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Under the 2019 edition, the buyer’s solicitor must</w:t>
      </w:r>
      <w:r w:rsidR="005B4331" w:rsidRPr="00A84DDA">
        <w:rPr>
          <w:rFonts w:ascii="Arial" w:hAnsi="Arial" w:cs="Arial"/>
          <w:sz w:val="24"/>
          <w:szCs w:val="24"/>
        </w:rPr>
        <w:t xml:space="preserve"> </w:t>
      </w:r>
      <w:proofErr w:type="spellStart"/>
      <w:r w:rsidR="005B4331" w:rsidRPr="00A84DDA">
        <w:rPr>
          <w:rFonts w:ascii="Arial" w:hAnsi="Arial" w:cs="Arial"/>
          <w:sz w:val="24"/>
          <w:szCs w:val="24"/>
        </w:rPr>
        <w:t>esure</w:t>
      </w:r>
      <w:proofErr w:type="spellEnd"/>
      <w:r w:rsidR="005B4331" w:rsidRPr="00A84DDA">
        <w:rPr>
          <w:rFonts w:ascii="Arial" w:hAnsi="Arial" w:cs="Arial"/>
          <w:sz w:val="24"/>
          <w:szCs w:val="24"/>
        </w:rPr>
        <w:t xml:space="preserve"> they</w:t>
      </w:r>
      <w:r w:rsidRPr="00A84DDA">
        <w:rPr>
          <w:rFonts w:ascii="Arial" w:hAnsi="Arial" w:cs="Arial"/>
          <w:sz w:val="24"/>
          <w:szCs w:val="24"/>
        </w:rPr>
        <w:t xml:space="preserve"> clarify and explain non-optional disbursements such as HM Land Registry fee and stamp duty</w:t>
      </w:r>
      <w:r w:rsidR="005B4331" w:rsidRPr="00A84DDA">
        <w:rPr>
          <w:rFonts w:ascii="Arial" w:hAnsi="Arial" w:cs="Arial"/>
          <w:sz w:val="24"/>
          <w:szCs w:val="24"/>
        </w:rPr>
        <w:t>,</w:t>
      </w:r>
      <w:r w:rsidRPr="00A84DDA">
        <w:rPr>
          <w:rFonts w:ascii="Arial" w:hAnsi="Arial" w:cs="Arial"/>
          <w:sz w:val="24"/>
          <w:szCs w:val="24"/>
        </w:rPr>
        <w:t xml:space="preserve"> explain any other disbursement and provide estimates (HM Land Registry), satisfy itself that the seller’s solicitor will give undertakings for completion set out in the new law society code for completion by Post</w:t>
      </w:r>
      <w:r w:rsidR="005B4331" w:rsidRPr="00A84DDA">
        <w:rPr>
          <w:rFonts w:ascii="Arial" w:hAnsi="Arial" w:cs="Arial"/>
          <w:sz w:val="24"/>
          <w:szCs w:val="24"/>
        </w:rPr>
        <w:t xml:space="preserve">, and </w:t>
      </w:r>
      <w:r w:rsidRPr="00A84DDA">
        <w:rPr>
          <w:rFonts w:ascii="Arial" w:hAnsi="Arial" w:cs="Arial"/>
          <w:sz w:val="24"/>
          <w:szCs w:val="24"/>
        </w:rPr>
        <w:t>ensure that a purchaser of freehold property is aware of the difference between freehold and leasehold ownership (</w:t>
      </w:r>
      <w:proofErr w:type="spellStart"/>
      <w:r w:rsidRPr="00A84DDA">
        <w:rPr>
          <w:rFonts w:ascii="Arial" w:hAnsi="Arial" w:cs="Arial"/>
          <w:sz w:val="24"/>
          <w:szCs w:val="24"/>
        </w:rPr>
        <w:t>MacKenzie</w:t>
      </w:r>
      <w:proofErr w:type="spellEnd"/>
      <w:r w:rsidRPr="00A84DDA">
        <w:rPr>
          <w:rFonts w:ascii="Arial" w:hAnsi="Arial" w:cs="Arial"/>
          <w:sz w:val="24"/>
          <w:szCs w:val="24"/>
        </w:rPr>
        <w:t xml:space="preserve">, and Nair 2020). </w:t>
      </w:r>
    </w:p>
    <w:p w14:paraId="2B3240FE" w14:textId="483FE2A1"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Overall, the updates to the protocol are intended to make the conveyancing process more efficient and effective (The Law Society 2). The protocol requires conveyancers to also use the Standard Form of Contract and updates the Conditions of Sale (5</w:t>
      </w:r>
      <w:r w:rsidRPr="00A84DDA">
        <w:rPr>
          <w:rFonts w:ascii="Arial" w:hAnsi="Arial" w:cs="Arial"/>
          <w:sz w:val="24"/>
          <w:szCs w:val="24"/>
          <w:vertAlign w:val="superscript"/>
        </w:rPr>
        <w:t>th</w:t>
      </w:r>
      <w:r w:rsidRPr="00A84DDA">
        <w:rPr>
          <w:rFonts w:ascii="Arial" w:hAnsi="Arial" w:cs="Arial"/>
          <w:sz w:val="24"/>
          <w:szCs w:val="24"/>
        </w:rPr>
        <w:t xml:space="preserve"> Edition) </w:t>
      </w:r>
      <w:bookmarkStart w:id="4" w:name="_Hlk118795381"/>
      <w:r w:rsidRPr="00A84DDA">
        <w:rPr>
          <w:rFonts w:ascii="Arial" w:hAnsi="Arial" w:cs="Arial"/>
          <w:sz w:val="24"/>
          <w:szCs w:val="24"/>
        </w:rPr>
        <w:t>(The Law Society Standard conditions of Contract</w:t>
      </w:r>
      <w:bookmarkEnd w:id="4"/>
      <w:r w:rsidRPr="00A84DDA">
        <w:rPr>
          <w:rFonts w:ascii="Arial" w:hAnsi="Arial" w:cs="Arial"/>
          <w:sz w:val="24"/>
          <w:szCs w:val="24"/>
        </w:rPr>
        <w:t xml:space="preserve">). The changes made to the Standard Conditions of Sales are aimed at reducing the number of amendments that are routinely made by the parties. With the updates introduced in the 2019 Protocol and the adoption of the Standard Form of Contract, risks can now be managed </w:t>
      </w:r>
      <w:r w:rsidRPr="00A84DDA">
        <w:rPr>
          <w:rFonts w:ascii="Arial" w:hAnsi="Arial" w:cs="Arial"/>
          <w:sz w:val="24"/>
          <w:szCs w:val="24"/>
        </w:rPr>
        <w:lastRenderedPageBreak/>
        <w:t>effectively in conveyancing transactions (</w:t>
      </w:r>
      <w:bookmarkStart w:id="5" w:name="_Hlk118795522"/>
      <w:r w:rsidRPr="00A84DDA">
        <w:rPr>
          <w:rFonts w:ascii="Arial" w:hAnsi="Arial" w:cs="Arial"/>
          <w:sz w:val="24"/>
          <w:szCs w:val="24"/>
        </w:rPr>
        <w:t xml:space="preserve">The Law Society Standard Conditions of Sale). </w:t>
      </w:r>
    </w:p>
    <w:bookmarkEnd w:id="5"/>
    <w:p w14:paraId="41F41881" w14:textId="46BEADF5"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The Law Society points out that the Protocol was not intended and does not widen the conveyanc</w:t>
      </w:r>
      <w:r w:rsidR="005B4331" w:rsidRPr="00A84DDA">
        <w:rPr>
          <w:rFonts w:ascii="Arial" w:hAnsi="Arial" w:cs="Arial"/>
          <w:sz w:val="24"/>
          <w:szCs w:val="24"/>
        </w:rPr>
        <w:t>ers</w:t>
      </w:r>
      <w:r w:rsidRPr="00A84DDA">
        <w:rPr>
          <w:rFonts w:ascii="Arial" w:hAnsi="Arial" w:cs="Arial"/>
          <w:sz w:val="24"/>
          <w:szCs w:val="24"/>
        </w:rPr>
        <w:t xml:space="preserve"> duty of care to a client but for them to ensure they follow the procedures, do their due diligence, comply with the anti-money laundering regulations against crime, so as not to be held liable (</w:t>
      </w:r>
      <w:bookmarkStart w:id="6" w:name="_Hlk118775561"/>
      <w:r w:rsidRPr="00A84DDA">
        <w:rPr>
          <w:rFonts w:ascii="Arial" w:hAnsi="Arial" w:cs="Arial"/>
          <w:sz w:val="24"/>
          <w:szCs w:val="24"/>
        </w:rPr>
        <w:t>Fraud Act, 2006)</w:t>
      </w:r>
      <w:bookmarkEnd w:id="6"/>
      <w:r w:rsidRPr="00A84DDA">
        <w:rPr>
          <w:rFonts w:ascii="Arial" w:hAnsi="Arial" w:cs="Arial"/>
          <w:sz w:val="24"/>
          <w:szCs w:val="24"/>
        </w:rPr>
        <w:t>, as they risk committing a crime if they fail to report any suspicious money laundering in property transactions (Money Laundering and Terrorist Financing (Amendment) 2019), and not to protect buyers (</w:t>
      </w:r>
      <w:bookmarkStart w:id="7" w:name="_Hlk118775644"/>
      <w:r w:rsidRPr="00A84DDA">
        <w:rPr>
          <w:rFonts w:ascii="Arial" w:hAnsi="Arial" w:cs="Arial"/>
          <w:sz w:val="24"/>
          <w:szCs w:val="24"/>
        </w:rPr>
        <w:t>Proceeds of Crime Act 2002</w:t>
      </w:r>
      <w:bookmarkEnd w:id="7"/>
      <w:r w:rsidRPr="00A84DDA">
        <w:rPr>
          <w:rFonts w:ascii="Arial" w:hAnsi="Arial" w:cs="Arial"/>
          <w:sz w:val="24"/>
          <w:szCs w:val="24"/>
        </w:rPr>
        <w:t xml:space="preserve">). Any departure from the Protocol’s general obligations could be used as evidence of a breach of duty in any professional negligence claim. Alternatively, if a conveyancer can show that they have followed the procedure set out in the Protocol and incorporated the standard conditions of contracts they may be at lower risk of being found in breach of duty. (Anderson Properties Ltd v Blyth Liggins (2017). That was one of the key </w:t>
      </w:r>
      <w:r w:rsidR="005B4331" w:rsidRPr="00A84DDA">
        <w:rPr>
          <w:rFonts w:ascii="Arial" w:hAnsi="Arial" w:cs="Arial"/>
          <w:sz w:val="24"/>
          <w:szCs w:val="24"/>
        </w:rPr>
        <w:t>updates</w:t>
      </w:r>
      <w:r w:rsidRPr="00A84DDA">
        <w:rPr>
          <w:rFonts w:ascii="Arial" w:hAnsi="Arial" w:cs="Arial"/>
          <w:sz w:val="24"/>
          <w:szCs w:val="24"/>
        </w:rPr>
        <w:t xml:space="preserve"> of the changes made by the Law Society in 2019 to the National Conveyancing Protocol.</w:t>
      </w:r>
    </w:p>
    <w:p w14:paraId="4C5CEA99" w14:textId="67CD67D5" w:rsidR="007D1B64" w:rsidRPr="00A84DDA" w:rsidRDefault="00000000" w:rsidP="00A84DDA">
      <w:pPr>
        <w:spacing w:line="480" w:lineRule="auto"/>
        <w:jc w:val="both"/>
        <w:rPr>
          <w:rFonts w:ascii="Arial" w:hAnsi="Arial" w:cs="Arial"/>
          <w:sz w:val="24"/>
          <w:szCs w:val="24"/>
        </w:rPr>
      </w:pPr>
      <w:proofErr w:type="spellStart"/>
      <w:r w:rsidRPr="00A84DDA">
        <w:rPr>
          <w:rFonts w:ascii="Arial" w:hAnsi="Arial" w:cs="Arial"/>
          <w:sz w:val="24"/>
          <w:szCs w:val="24"/>
        </w:rPr>
        <w:t>Hewitson</w:t>
      </w:r>
      <w:proofErr w:type="spellEnd"/>
      <w:r w:rsidRPr="00A84DDA">
        <w:rPr>
          <w:rFonts w:ascii="Arial" w:hAnsi="Arial" w:cs="Arial"/>
          <w:sz w:val="24"/>
          <w:szCs w:val="24"/>
        </w:rPr>
        <w:t>, (2020), acknowledged that the updated 2019 protocol gav</w:t>
      </w:r>
      <w:r w:rsidR="005B4331" w:rsidRPr="00A84DDA">
        <w:rPr>
          <w:rFonts w:ascii="Arial" w:hAnsi="Arial" w:cs="Arial"/>
          <w:sz w:val="24"/>
          <w:szCs w:val="24"/>
        </w:rPr>
        <w:t xml:space="preserve">e </w:t>
      </w:r>
      <w:r w:rsidRPr="00A84DDA">
        <w:rPr>
          <w:rFonts w:ascii="Arial" w:hAnsi="Arial" w:cs="Arial"/>
          <w:sz w:val="24"/>
          <w:szCs w:val="24"/>
        </w:rPr>
        <w:t xml:space="preserve">conveyancers a clearer and more practical understanding of the legal principles, regulations, and good practices underpinning residential conveyancing procedures and a better understanding of the risks involved. He also pointed out that transactions of leasehold and freehold titles are illuminated by clear and concise guidance. </w:t>
      </w:r>
    </w:p>
    <w:p w14:paraId="23A0D257" w14:textId="7DB17620"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 xml:space="preserve">In response to the Law Society’s Consultation on the 2019 Protocol, the </w:t>
      </w:r>
      <w:r w:rsidR="001D1253" w:rsidRPr="00A84DDA">
        <w:rPr>
          <w:rFonts w:ascii="Arial" w:hAnsi="Arial" w:cs="Arial"/>
          <w:sz w:val="24"/>
          <w:szCs w:val="24"/>
        </w:rPr>
        <w:t xml:space="preserve">Council for Licensed Conveyancers </w:t>
      </w:r>
      <w:r w:rsidR="001D1253" w:rsidRPr="00A84DDA">
        <w:rPr>
          <w:rFonts w:ascii="Arial" w:hAnsi="Arial" w:cs="Arial"/>
          <w:sz w:val="24"/>
          <w:szCs w:val="24"/>
        </w:rPr>
        <w:t>(</w:t>
      </w:r>
      <w:r w:rsidRPr="00A84DDA">
        <w:rPr>
          <w:rFonts w:ascii="Arial" w:hAnsi="Arial" w:cs="Arial"/>
          <w:sz w:val="24"/>
          <w:szCs w:val="24"/>
        </w:rPr>
        <w:t>CLC</w:t>
      </w:r>
      <w:r w:rsidR="001D1253" w:rsidRPr="00A84DDA">
        <w:rPr>
          <w:rFonts w:ascii="Arial" w:hAnsi="Arial" w:cs="Arial"/>
          <w:sz w:val="24"/>
          <w:szCs w:val="24"/>
        </w:rPr>
        <w:t>)</w:t>
      </w:r>
      <w:r w:rsidRPr="00A84DDA">
        <w:rPr>
          <w:rFonts w:ascii="Arial" w:hAnsi="Arial" w:cs="Arial"/>
          <w:sz w:val="24"/>
          <w:szCs w:val="24"/>
        </w:rPr>
        <w:t xml:space="preserve"> a</w:t>
      </w:r>
      <w:r w:rsidR="00FA675F" w:rsidRPr="00A84DDA">
        <w:rPr>
          <w:rFonts w:ascii="Arial" w:hAnsi="Arial" w:cs="Arial"/>
          <w:sz w:val="24"/>
          <w:szCs w:val="24"/>
        </w:rPr>
        <w:t>cknowledged</w:t>
      </w:r>
      <w:r w:rsidRPr="00A84DDA">
        <w:rPr>
          <w:rFonts w:ascii="Arial" w:hAnsi="Arial" w:cs="Arial"/>
          <w:sz w:val="24"/>
          <w:szCs w:val="24"/>
        </w:rPr>
        <w:t xml:space="preserve"> the following positive changes made to the protocol: accessibility, clarification, and helpful to offer directions in some aspects of conveyancing transactions that have been problematic, frustrating, and causing </w:t>
      </w:r>
      <w:r w:rsidRPr="00A84DDA">
        <w:rPr>
          <w:rFonts w:ascii="Arial" w:hAnsi="Arial" w:cs="Arial"/>
          <w:sz w:val="24"/>
          <w:szCs w:val="24"/>
        </w:rPr>
        <w:lastRenderedPageBreak/>
        <w:t>unnecessary delays for consumers and conveyancers</w:t>
      </w:r>
      <w:r w:rsidR="005B4331" w:rsidRPr="00A84DDA">
        <w:rPr>
          <w:rFonts w:ascii="Arial" w:hAnsi="Arial" w:cs="Arial"/>
          <w:sz w:val="24"/>
          <w:szCs w:val="24"/>
        </w:rPr>
        <w:t>.</w:t>
      </w:r>
      <w:r w:rsidR="00FA675F" w:rsidRPr="00A84DDA">
        <w:rPr>
          <w:rFonts w:ascii="Arial" w:hAnsi="Arial" w:cs="Arial"/>
          <w:sz w:val="24"/>
          <w:szCs w:val="24"/>
        </w:rPr>
        <w:t xml:space="preserve"> </w:t>
      </w:r>
      <w:r w:rsidR="005B4331" w:rsidRPr="00A84DDA">
        <w:rPr>
          <w:rFonts w:ascii="Arial" w:hAnsi="Arial" w:cs="Arial"/>
          <w:sz w:val="24"/>
          <w:szCs w:val="24"/>
        </w:rPr>
        <w:t>They also observed that t</w:t>
      </w:r>
      <w:r w:rsidRPr="00A84DDA">
        <w:rPr>
          <w:rFonts w:ascii="Arial" w:hAnsi="Arial" w:cs="Arial"/>
          <w:sz w:val="24"/>
          <w:szCs w:val="24"/>
        </w:rPr>
        <w:t>hroughout the protocol, the word, ‘solicitors’</w:t>
      </w:r>
      <w:r w:rsidR="00FA675F" w:rsidRPr="00A84DDA">
        <w:rPr>
          <w:rFonts w:ascii="Arial" w:hAnsi="Arial" w:cs="Arial"/>
          <w:sz w:val="24"/>
          <w:szCs w:val="24"/>
        </w:rPr>
        <w:t xml:space="preserve"> </w:t>
      </w:r>
      <w:r w:rsidRPr="00A84DDA">
        <w:rPr>
          <w:rFonts w:ascii="Arial" w:hAnsi="Arial" w:cs="Arial"/>
          <w:sz w:val="24"/>
          <w:szCs w:val="24"/>
        </w:rPr>
        <w:t xml:space="preserve">used in the 2011 protocol </w:t>
      </w:r>
      <w:r w:rsidR="00FA675F" w:rsidRPr="00A84DDA">
        <w:rPr>
          <w:rFonts w:ascii="Arial" w:hAnsi="Arial" w:cs="Arial"/>
          <w:sz w:val="24"/>
          <w:szCs w:val="24"/>
        </w:rPr>
        <w:t>has</w:t>
      </w:r>
      <w:r w:rsidRPr="00A84DDA">
        <w:rPr>
          <w:rFonts w:ascii="Arial" w:hAnsi="Arial" w:cs="Arial"/>
          <w:sz w:val="24"/>
          <w:szCs w:val="24"/>
        </w:rPr>
        <w:t xml:space="preserve"> been replaced with the term ‘conveyancer’</w:t>
      </w:r>
      <w:r w:rsidR="00FA675F" w:rsidRPr="00A84DDA">
        <w:rPr>
          <w:rFonts w:ascii="Arial" w:hAnsi="Arial" w:cs="Arial"/>
          <w:sz w:val="24"/>
          <w:szCs w:val="24"/>
        </w:rPr>
        <w:t xml:space="preserve"> </w:t>
      </w:r>
      <w:r w:rsidRPr="00A84DDA">
        <w:rPr>
          <w:rFonts w:ascii="Arial" w:hAnsi="Arial" w:cs="Arial"/>
          <w:sz w:val="24"/>
          <w:szCs w:val="24"/>
        </w:rPr>
        <w:t>which is the appropriate professional legal practitioner associated with the sale/purchase of a house for a consumer</w:t>
      </w:r>
      <w:r w:rsidR="00FA675F" w:rsidRPr="00A84DDA">
        <w:rPr>
          <w:rFonts w:ascii="Arial" w:hAnsi="Arial" w:cs="Arial"/>
          <w:sz w:val="24"/>
          <w:szCs w:val="24"/>
        </w:rPr>
        <w:t xml:space="preserve">. They </w:t>
      </w:r>
      <w:r w:rsidRPr="00A84DDA">
        <w:rPr>
          <w:rFonts w:ascii="Arial" w:hAnsi="Arial" w:cs="Arial"/>
          <w:sz w:val="24"/>
          <w:szCs w:val="24"/>
        </w:rPr>
        <w:t xml:space="preserve">also </w:t>
      </w:r>
      <w:r w:rsidR="00FA675F" w:rsidRPr="00A84DDA">
        <w:rPr>
          <w:rFonts w:ascii="Arial" w:hAnsi="Arial" w:cs="Arial"/>
          <w:sz w:val="24"/>
          <w:szCs w:val="24"/>
        </w:rPr>
        <w:t xml:space="preserve">praised the protocol for </w:t>
      </w:r>
      <w:r w:rsidRPr="00A84DDA">
        <w:rPr>
          <w:rFonts w:ascii="Arial" w:hAnsi="Arial" w:cs="Arial"/>
          <w:sz w:val="24"/>
          <w:szCs w:val="24"/>
        </w:rPr>
        <w:t>providing important information to consumers before they buy/sell houses is essential. It is best practice for consumers to have all the information they need at the early stage of any transaction, where they need it, and when they need it, to enable them to decide whether to go ahead with the transaction or not</w:t>
      </w:r>
      <w:r w:rsidR="00FA675F" w:rsidRPr="00A84DDA">
        <w:rPr>
          <w:rFonts w:ascii="Arial" w:hAnsi="Arial" w:cs="Arial"/>
          <w:sz w:val="24"/>
          <w:szCs w:val="24"/>
        </w:rPr>
        <w:t xml:space="preserve">. </w:t>
      </w:r>
      <w:r w:rsidRPr="00A84DDA">
        <w:rPr>
          <w:rFonts w:ascii="Arial" w:hAnsi="Arial" w:cs="Arial"/>
          <w:sz w:val="24"/>
          <w:szCs w:val="24"/>
        </w:rPr>
        <w:t xml:space="preserve">Nevertheless, there was some criticism by CLC, that the purpose of the protocol was not clearly spelled out, and that could be confusing. The fact that Conveyancing Quality Scheme (CQS) organisations are required to use the Protocol should give the consumers assurances that they would receive high-quality services. Although, in practice, ‘the Protocol just set out a basic framework on minimum standards which the CLC would expert all conveyancers to meet’ (CLC, 2018, p. 1). </w:t>
      </w:r>
      <w:r w:rsidR="00FA675F" w:rsidRPr="00A84DDA">
        <w:rPr>
          <w:rFonts w:ascii="Arial" w:hAnsi="Arial" w:cs="Arial"/>
          <w:sz w:val="24"/>
          <w:szCs w:val="24"/>
        </w:rPr>
        <w:t>The protocol should not be a blanket thing.</w:t>
      </w:r>
    </w:p>
    <w:p w14:paraId="0BC370A8" w14:textId="77777777" w:rsidR="007D7B87" w:rsidRPr="00A84DDA" w:rsidRDefault="007D7B87" w:rsidP="00A84DDA">
      <w:pPr>
        <w:spacing w:line="480" w:lineRule="auto"/>
        <w:jc w:val="both"/>
        <w:rPr>
          <w:rFonts w:ascii="Arial" w:hAnsi="Arial" w:cs="Arial"/>
          <w:sz w:val="24"/>
          <w:szCs w:val="24"/>
        </w:rPr>
      </w:pPr>
      <w:r w:rsidRPr="00A84DDA">
        <w:rPr>
          <w:rFonts w:ascii="Arial" w:hAnsi="Arial" w:cs="Arial"/>
          <w:sz w:val="24"/>
          <w:szCs w:val="24"/>
        </w:rPr>
        <w:t>They also criticised that the</w:t>
      </w:r>
      <w:r w:rsidR="00000000" w:rsidRPr="00A84DDA">
        <w:rPr>
          <w:rFonts w:ascii="Arial" w:hAnsi="Arial" w:cs="Arial"/>
          <w:sz w:val="24"/>
          <w:szCs w:val="24"/>
        </w:rPr>
        <w:t xml:space="preserve"> steps in the Protocol are not exhaustive</w:t>
      </w:r>
      <w:r w:rsidRPr="00A84DDA">
        <w:rPr>
          <w:rFonts w:ascii="Arial" w:hAnsi="Arial" w:cs="Arial"/>
          <w:sz w:val="24"/>
          <w:szCs w:val="24"/>
        </w:rPr>
        <w:t xml:space="preserve">. </w:t>
      </w:r>
      <w:r w:rsidR="00000000" w:rsidRPr="00A84DDA">
        <w:rPr>
          <w:rFonts w:ascii="Arial" w:hAnsi="Arial" w:cs="Arial"/>
          <w:sz w:val="24"/>
          <w:szCs w:val="24"/>
        </w:rPr>
        <w:t xml:space="preserve">The CLC argues that the Protocol makes some assumptions about a transaction, but different transactions may require different processes and not all steps will be </w:t>
      </w:r>
      <w:r w:rsidRPr="00A84DDA">
        <w:rPr>
          <w:rFonts w:ascii="Arial" w:hAnsi="Arial" w:cs="Arial"/>
          <w:sz w:val="24"/>
          <w:szCs w:val="24"/>
        </w:rPr>
        <w:t>applied</w:t>
      </w:r>
      <w:r w:rsidR="00000000" w:rsidRPr="00A84DDA">
        <w:rPr>
          <w:rFonts w:ascii="Arial" w:hAnsi="Arial" w:cs="Arial"/>
          <w:sz w:val="24"/>
          <w:szCs w:val="24"/>
        </w:rPr>
        <w:t xml:space="preserve"> every time (CLC).</w:t>
      </w:r>
    </w:p>
    <w:p w14:paraId="6BB21684" w14:textId="63AEDB43"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 xml:space="preserve"> It is also worth mentioning that the 2019 Protocol has been updated when changes are made to the home buying and selling </w:t>
      </w:r>
      <w:r w:rsidR="007D7B87" w:rsidRPr="00A84DDA">
        <w:rPr>
          <w:rFonts w:ascii="Arial" w:hAnsi="Arial" w:cs="Arial"/>
          <w:sz w:val="24"/>
          <w:szCs w:val="24"/>
        </w:rPr>
        <w:t xml:space="preserve">process, especially after the </w:t>
      </w:r>
      <w:r w:rsidR="007D7B87" w:rsidRPr="00A84DDA">
        <w:rPr>
          <w:rFonts w:ascii="Arial" w:hAnsi="Arial" w:cs="Arial"/>
          <w:sz w:val="24"/>
          <w:szCs w:val="24"/>
        </w:rPr>
        <w:t>government consultation</w:t>
      </w:r>
      <w:r w:rsidR="007D7B87" w:rsidRPr="00A84DDA">
        <w:rPr>
          <w:rFonts w:ascii="Arial" w:hAnsi="Arial" w:cs="Arial"/>
          <w:sz w:val="24"/>
          <w:szCs w:val="24"/>
        </w:rPr>
        <w:t xml:space="preserve"> </w:t>
      </w:r>
      <w:r w:rsidR="007D7B87" w:rsidRPr="00A84DDA">
        <w:rPr>
          <w:rFonts w:ascii="Arial" w:hAnsi="Arial" w:cs="Arial"/>
          <w:sz w:val="24"/>
          <w:szCs w:val="24"/>
        </w:rPr>
        <w:t>on the home buying and selling process, and leasehold</w:t>
      </w:r>
      <w:r w:rsidR="007D7B87" w:rsidRPr="00A84DDA">
        <w:rPr>
          <w:rFonts w:ascii="Arial" w:hAnsi="Arial" w:cs="Arial"/>
          <w:sz w:val="24"/>
          <w:szCs w:val="24"/>
        </w:rPr>
        <w:t>. T</w:t>
      </w:r>
      <w:r w:rsidRPr="00A84DDA">
        <w:rPr>
          <w:rFonts w:ascii="Arial" w:hAnsi="Arial" w:cs="Arial"/>
          <w:sz w:val="24"/>
          <w:szCs w:val="24"/>
        </w:rPr>
        <w:t xml:space="preserve">he CQS CPMS </w:t>
      </w:r>
      <w:r w:rsidR="007D7B87" w:rsidRPr="00A84DDA">
        <w:rPr>
          <w:rFonts w:ascii="Arial" w:hAnsi="Arial" w:cs="Arial"/>
          <w:sz w:val="24"/>
          <w:szCs w:val="24"/>
        </w:rPr>
        <w:t xml:space="preserve">was </w:t>
      </w:r>
      <w:r w:rsidRPr="00A84DDA">
        <w:rPr>
          <w:rFonts w:ascii="Arial" w:hAnsi="Arial" w:cs="Arial"/>
          <w:sz w:val="24"/>
          <w:szCs w:val="24"/>
        </w:rPr>
        <w:t>again</w:t>
      </w:r>
      <w:r w:rsidR="007D7B87" w:rsidRPr="00A84DDA">
        <w:rPr>
          <w:rFonts w:ascii="Arial" w:hAnsi="Arial" w:cs="Arial"/>
          <w:sz w:val="24"/>
          <w:szCs w:val="24"/>
        </w:rPr>
        <w:t xml:space="preserve"> updated</w:t>
      </w:r>
      <w:r w:rsidRPr="00A84DDA">
        <w:rPr>
          <w:rFonts w:ascii="Arial" w:hAnsi="Arial" w:cs="Arial"/>
          <w:sz w:val="24"/>
          <w:szCs w:val="24"/>
        </w:rPr>
        <w:t xml:space="preserve"> </w:t>
      </w:r>
      <w:r w:rsidR="007D7B87" w:rsidRPr="00A84DDA">
        <w:rPr>
          <w:rFonts w:ascii="Arial" w:hAnsi="Arial" w:cs="Arial"/>
          <w:sz w:val="24"/>
          <w:szCs w:val="24"/>
        </w:rPr>
        <w:t xml:space="preserve">in </w:t>
      </w:r>
      <w:r w:rsidRPr="00A84DDA">
        <w:rPr>
          <w:rFonts w:ascii="Arial" w:hAnsi="Arial" w:cs="Arial"/>
          <w:sz w:val="24"/>
          <w:szCs w:val="24"/>
        </w:rPr>
        <w:t>Feb</w:t>
      </w:r>
      <w:r w:rsidR="00847086" w:rsidRPr="00A84DDA">
        <w:rPr>
          <w:rFonts w:ascii="Arial" w:hAnsi="Arial" w:cs="Arial"/>
          <w:sz w:val="24"/>
          <w:szCs w:val="24"/>
        </w:rPr>
        <w:t>ruary</w:t>
      </w:r>
      <w:r w:rsidRPr="00A84DDA">
        <w:rPr>
          <w:rFonts w:ascii="Arial" w:hAnsi="Arial" w:cs="Arial"/>
          <w:sz w:val="24"/>
          <w:szCs w:val="24"/>
        </w:rPr>
        <w:t xml:space="preserve"> 20</w:t>
      </w:r>
      <w:r w:rsidR="00847086" w:rsidRPr="00A84DDA">
        <w:rPr>
          <w:rFonts w:ascii="Arial" w:hAnsi="Arial" w:cs="Arial"/>
          <w:sz w:val="24"/>
          <w:szCs w:val="24"/>
        </w:rPr>
        <w:t>2</w:t>
      </w:r>
      <w:r w:rsidRPr="00A84DDA">
        <w:rPr>
          <w:rFonts w:ascii="Arial" w:hAnsi="Arial" w:cs="Arial"/>
          <w:sz w:val="24"/>
          <w:szCs w:val="24"/>
        </w:rPr>
        <w:t>2</w:t>
      </w:r>
      <w:r w:rsidR="007D7B87" w:rsidRPr="00A84DDA">
        <w:rPr>
          <w:rFonts w:ascii="Arial" w:hAnsi="Arial" w:cs="Arial"/>
          <w:sz w:val="24"/>
          <w:szCs w:val="24"/>
        </w:rPr>
        <w:t xml:space="preserve">, as well as the </w:t>
      </w:r>
      <w:r w:rsidRPr="00A84DDA">
        <w:rPr>
          <w:rFonts w:ascii="Arial" w:hAnsi="Arial" w:cs="Arial"/>
          <w:sz w:val="24"/>
          <w:szCs w:val="24"/>
        </w:rPr>
        <w:t xml:space="preserve">SRA Transparency Rules, (House of Commons Library, 2022). The changes made by the Law Society in 2019 to the </w:t>
      </w:r>
      <w:r w:rsidRPr="00A84DDA">
        <w:rPr>
          <w:rFonts w:ascii="Arial" w:hAnsi="Arial" w:cs="Arial"/>
          <w:sz w:val="24"/>
          <w:szCs w:val="24"/>
        </w:rPr>
        <w:lastRenderedPageBreak/>
        <w:t>National Conveyancing Protocol made provisions for further updates as the circumstances of the global property market also changes.</w:t>
      </w:r>
    </w:p>
    <w:p w14:paraId="2A16A7A9" w14:textId="77777777" w:rsidR="007D1B64" w:rsidRPr="00A84DDA" w:rsidRDefault="00000000" w:rsidP="00A84DDA">
      <w:pPr>
        <w:spacing w:line="480" w:lineRule="auto"/>
        <w:jc w:val="both"/>
        <w:rPr>
          <w:rFonts w:ascii="Arial" w:hAnsi="Arial" w:cs="Arial"/>
          <w:sz w:val="24"/>
          <w:szCs w:val="24"/>
        </w:rPr>
      </w:pPr>
      <w:r w:rsidRPr="00A84DDA">
        <w:rPr>
          <w:rFonts w:ascii="Arial" w:hAnsi="Arial" w:cs="Arial"/>
          <w:sz w:val="24"/>
          <w:szCs w:val="24"/>
        </w:rPr>
        <w:t>There is a need for further research on coming up with a National Conveyancing Protocol designed to be used in residential transactions of new houses that have just been built. This will ensure those that who prefer the purchase of newly built houses are not left out. Thus probably, the changes made by the Law Society in 2019 to the National Conveyancing Protocol could have been more inclusive of the category of buyers and sellers (GOV.UK)</w:t>
      </w:r>
    </w:p>
    <w:p w14:paraId="422AD2D7" w14:textId="77777777" w:rsidR="007D1B64" w:rsidRPr="00A84DDA" w:rsidRDefault="007D1B64" w:rsidP="00A84DDA">
      <w:pPr>
        <w:spacing w:line="480" w:lineRule="auto"/>
        <w:jc w:val="both"/>
        <w:rPr>
          <w:rFonts w:ascii="Arial" w:hAnsi="Arial" w:cs="Arial"/>
          <w:sz w:val="24"/>
          <w:szCs w:val="24"/>
        </w:rPr>
      </w:pPr>
    </w:p>
    <w:p w14:paraId="7FE750C7" w14:textId="77777777" w:rsidR="007D1B64" w:rsidRPr="00A84DDA" w:rsidRDefault="007D1B64" w:rsidP="00A84DDA">
      <w:pPr>
        <w:spacing w:line="480" w:lineRule="auto"/>
        <w:jc w:val="both"/>
        <w:rPr>
          <w:rFonts w:ascii="Arial" w:hAnsi="Arial" w:cs="Arial"/>
          <w:sz w:val="24"/>
          <w:szCs w:val="24"/>
        </w:rPr>
      </w:pPr>
    </w:p>
    <w:p w14:paraId="6812D7DA" w14:textId="77777777" w:rsidR="007D1B64" w:rsidRPr="00A84DDA" w:rsidRDefault="007D1B64" w:rsidP="00A84DDA">
      <w:pPr>
        <w:spacing w:line="480" w:lineRule="auto"/>
        <w:jc w:val="both"/>
        <w:rPr>
          <w:rFonts w:ascii="Arial" w:hAnsi="Arial" w:cs="Arial"/>
          <w:sz w:val="24"/>
          <w:szCs w:val="24"/>
        </w:rPr>
      </w:pPr>
    </w:p>
    <w:p w14:paraId="35EFC640" w14:textId="77777777" w:rsidR="007D1B64" w:rsidRPr="00A84DDA" w:rsidRDefault="007D1B64" w:rsidP="00A84DDA">
      <w:pPr>
        <w:spacing w:line="480" w:lineRule="auto"/>
        <w:jc w:val="both"/>
        <w:rPr>
          <w:rFonts w:ascii="Arial" w:hAnsi="Arial" w:cs="Arial"/>
          <w:sz w:val="24"/>
          <w:szCs w:val="24"/>
        </w:rPr>
      </w:pPr>
    </w:p>
    <w:p w14:paraId="4A9548FC" w14:textId="77777777" w:rsidR="007D1B64" w:rsidRPr="00A84DDA" w:rsidRDefault="007D1B64" w:rsidP="00A84DDA">
      <w:pPr>
        <w:spacing w:line="480" w:lineRule="auto"/>
        <w:jc w:val="both"/>
        <w:rPr>
          <w:rFonts w:ascii="Arial" w:hAnsi="Arial" w:cs="Arial"/>
          <w:sz w:val="24"/>
          <w:szCs w:val="24"/>
        </w:rPr>
      </w:pPr>
    </w:p>
    <w:p w14:paraId="5C1DCD2D" w14:textId="77777777" w:rsidR="007D1B64" w:rsidRPr="00A84DDA" w:rsidRDefault="007D1B64" w:rsidP="00A84DDA">
      <w:pPr>
        <w:spacing w:line="480" w:lineRule="auto"/>
        <w:jc w:val="both"/>
        <w:rPr>
          <w:rFonts w:ascii="Arial" w:hAnsi="Arial" w:cs="Arial"/>
          <w:sz w:val="24"/>
          <w:szCs w:val="24"/>
        </w:rPr>
      </w:pPr>
    </w:p>
    <w:p w14:paraId="7E552B2F" w14:textId="77777777" w:rsidR="007D1B64" w:rsidRPr="00A84DDA" w:rsidRDefault="007D1B64" w:rsidP="00A84DDA">
      <w:pPr>
        <w:spacing w:line="480" w:lineRule="auto"/>
        <w:jc w:val="both"/>
        <w:rPr>
          <w:rFonts w:ascii="Arial" w:hAnsi="Arial" w:cs="Arial"/>
          <w:sz w:val="24"/>
          <w:szCs w:val="24"/>
        </w:rPr>
      </w:pPr>
    </w:p>
    <w:p w14:paraId="2466A33C" w14:textId="77777777" w:rsidR="007D1B64" w:rsidRPr="00A84DDA" w:rsidRDefault="007D1B64" w:rsidP="00A84DDA">
      <w:pPr>
        <w:spacing w:line="480" w:lineRule="auto"/>
        <w:jc w:val="both"/>
        <w:rPr>
          <w:rFonts w:ascii="Arial" w:hAnsi="Arial" w:cs="Arial"/>
          <w:sz w:val="24"/>
          <w:szCs w:val="24"/>
        </w:rPr>
      </w:pPr>
    </w:p>
    <w:p w14:paraId="109103B3" w14:textId="77777777" w:rsidR="007D1B64" w:rsidRPr="00A84DDA" w:rsidRDefault="007D1B64" w:rsidP="00A84DDA">
      <w:pPr>
        <w:spacing w:line="480" w:lineRule="auto"/>
        <w:jc w:val="both"/>
        <w:rPr>
          <w:rFonts w:ascii="Arial" w:hAnsi="Arial" w:cs="Arial"/>
          <w:sz w:val="24"/>
          <w:szCs w:val="24"/>
        </w:rPr>
      </w:pPr>
    </w:p>
    <w:p w14:paraId="539E1EE0" w14:textId="77777777" w:rsidR="00AF252D" w:rsidRPr="00A84DDA" w:rsidRDefault="00AF252D" w:rsidP="00A84DDA">
      <w:pPr>
        <w:spacing w:line="480" w:lineRule="auto"/>
        <w:rPr>
          <w:rFonts w:ascii="Arial" w:hAnsi="Arial" w:cs="Arial"/>
          <w:sz w:val="24"/>
          <w:szCs w:val="24"/>
        </w:rPr>
      </w:pPr>
    </w:p>
    <w:p w14:paraId="1C4ED9B1" w14:textId="77777777" w:rsidR="007D7B87" w:rsidRPr="00A84DDA" w:rsidRDefault="007D7B87" w:rsidP="00A84DDA">
      <w:pPr>
        <w:spacing w:line="480" w:lineRule="auto"/>
        <w:jc w:val="center"/>
        <w:rPr>
          <w:rFonts w:ascii="Arial" w:hAnsi="Arial" w:cs="Arial"/>
          <w:sz w:val="24"/>
          <w:szCs w:val="24"/>
        </w:rPr>
      </w:pPr>
    </w:p>
    <w:p w14:paraId="23F1E377" w14:textId="77777777" w:rsidR="007D7B87" w:rsidRPr="00A84DDA" w:rsidRDefault="007D7B87" w:rsidP="00A84DDA">
      <w:pPr>
        <w:spacing w:line="480" w:lineRule="auto"/>
        <w:jc w:val="center"/>
        <w:rPr>
          <w:rFonts w:ascii="Arial" w:hAnsi="Arial" w:cs="Arial"/>
          <w:sz w:val="24"/>
          <w:szCs w:val="24"/>
        </w:rPr>
      </w:pPr>
    </w:p>
    <w:p w14:paraId="29A680C5" w14:textId="77777777" w:rsidR="007D7B87" w:rsidRPr="00A84DDA" w:rsidRDefault="007D7B87" w:rsidP="00A84DDA">
      <w:pPr>
        <w:spacing w:line="480" w:lineRule="auto"/>
        <w:jc w:val="center"/>
        <w:rPr>
          <w:rFonts w:ascii="Arial" w:hAnsi="Arial" w:cs="Arial"/>
          <w:sz w:val="24"/>
          <w:szCs w:val="24"/>
        </w:rPr>
      </w:pPr>
    </w:p>
    <w:p w14:paraId="61E140F4" w14:textId="77777777" w:rsidR="007D7B87" w:rsidRPr="00A84DDA" w:rsidRDefault="007D7B87" w:rsidP="00A84DDA">
      <w:pPr>
        <w:spacing w:line="480" w:lineRule="auto"/>
        <w:jc w:val="center"/>
        <w:rPr>
          <w:rFonts w:ascii="Arial" w:hAnsi="Arial" w:cs="Arial"/>
          <w:sz w:val="24"/>
          <w:szCs w:val="24"/>
        </w:rPr>
      </w:pPr>
    </w:p>
    <w:p w14:paraId="3BD2555A" w14:textId="77777777" w:rsidR="007D7B87" w:rsidRPr="00A84DDA" w:rsidRDefault="007D7B87" w:rsidP="00A84DDA">
      <w:pPr>
        <w:spacing w:line="480" w:lineRule="auto"/>
        <w:jc w:val="center"/>
        <w:rPr>
          <w:rFonts w:ascii="Arial" w:hAnsi="Arial" w:cs="Arial"/>
          <w:sz w:val="24"/>
          <w:szCs w:val="24"/>
        </w:rPr>
      </w:pPr>
    </w:p>
    <w:p w14:paraId="0617AE92" w14:textId="77777777" w:rsidR="007D7B87" w:rsidRPr="00A84DDA" w:rsidRDefault="007D7B87" w:rsidP="00A84DDA">
      <w:pPr>
        <w:spacing w:line="480" w:lineRule="auto"/>
        <w:jc w:val="center"/>
        <w:rPr>
          <w:rFonts w:ascii="Arial" w:hAnsi="Arial" w:cs="Arial"/>
          <w:sz w:val="24"/>
          <w:szCs w:val="24"/>
        </w:rPr>
      </w:pPr>
    </w:p>
    <w:p w14:paraId="2CEA1052" w14:textId="77777777" w:rsidR="007D7B87" w:rsidRPr="00A84DDA" w:rsidRDefault="007D7B87" w:rsidP="00A84DDA">
      <w:pPr>
        <w:spacing w:line="480" w:lineRule="auto"/>
        <w:jc w:val="center"/>
        <w:rPr>
          <w:rFonts w:ascii="Arial" w:hAnsi="Arial" w:cs="Arial"/>
          <w:sz w:val="24"/>
          <w:szCs w:val="24"/>
        </w:rPr>
      </w:pPr>
    </w:p>
    <w:p w14:paraId="2B522FBD" w14:textId="77777777" w:rsidR="007D7B87" w:rsidRPr="00A84DDA" w:rsidRDefault="007D7B87" w:rsidP="00A84DDA">
      <w:pPr>
        <w:spacing w:line="480" w:lineRule="auto"/>
        <w:jc w:val="center"/>
        <w:rPr>
          <w:rFonts w:ascii="Arial" w:hAnsi="Arial" w:cs="Arial"/>
          <w:sz w:val="24"/>
          <w:szCs w:val="24"/>
        </w:rPr>
      </w:pPr>
    </w:p>
    <w:p w14:paraId="52EE902D" w14:textId="77777777" w:rsidR="007D7B87" w:rsidRPr="00A84DDA" w:rsidRDefault="007D7B87" w:rsidP="00A84DDA">
      <w:pPr>
        <w:spacing w:line="480" w:lineRule="auto"/>
        <w:jc w:val="center"/>
        <w:rPr>
          <w:rFonts w:ascii="Arial" w:hAnsi="Arial" w:cs="Arial"/>
          <w:sz w:val="24"/>
          <w:szCs w:val="24"/>
        </w:rPr>
      </w:pPr>
    </w:p>
    <w:p w14:paraId="0983728B" w14:textId="77777777" w:rsidR="007D7B87" w:rsidRPr="00A84DDA" w:rsidRDefault="007D7B87" w:rsidP="00A84DDA">
      <w:pPr>
        <w:spacing w:line="480" w:lineRule="auto"/>
        <w:jc w:val="center"/>
        <w:rPr>
          <w:rFonts w:ascii="Arial" w:hAnsi="Arial" w:cs="Arial"/>
          <w:sz w:val="24"/>
          <w:szCs w:val="24"/>
        </w:rPr>
      </w:pPr>
    </w:p>
    <w:p w14:paraId="7F5BCB0F" w14:textId="77777777" w:rsidR="007D7B87" w:rsidRPr="00A84DDA" w:rsidRDefault="007D7B87" w:rsidP="00A84DDA">
      <w:pPr>
        <w:spacing w:line="480" w:lineRule="auto"/>
        <w:jc w:val="center"/>
        <w:rPr>
          <w:rFonts w:ascii="Arial" w:hAnsi="Arial" w:cs="Arial"/>
          <w:sz w:val="24"/>
          <w:szCs w:val="24"/>
        </w:rPr>
      </w:pPr>
    </w:p>
    <w:p w14:paraId="6D14D1BD" w14:textId="77777777" w:rsidR="007D7B87" w:rsidRPr="00A84DDA" w:rsidRDefault="007D7B87" w:rsidP="00A84DDA">
      <w:pPr>
        <w:spacing w:line="480" w:lineRule="auto"/>
        <w:jc w:val="center"/>
        <w:rPr>
          <w:rFonts w:ascii="Arial" w:hAnsi="Arial" w:cs="Arial"/>
          <w:sz w:val="24"/>
          <w:szCs w:val="24"/>
        </w:rPr>
      </w:pPr>
    </w:p>
    <w:p w14:paraId="0BF6AA93" w14:textId="77777777" w:rsidR="007D7B87" w:rsidRPr="00A84DDA" w:rsidRDefault="007D7B87" w:rsidP="00A84DDA">
      <w:pPr>
        <w:spacing w:line="480" w:lineRule="auto"/>
        <w:jc w:val="center"/>
        <w:rPr>
          <w:rFonts w:ascii="Arial" w:hAnsi="Arial" w:cs="Arial"/>
          <w:sz w:val="24"/>
          <w:szCs w:val="24"/>
        </w:rPr>
      </w:pPr>
    </w:p>
    <w:p w14:paraId="72FA87E7" w14:textId="77777777" w:rsidR="007D7B87" w:rsidRPr="00A84DDA" w:rsidRDefault="007D7B87" w:rsidP="00A84DDA">
      <w:pPr>
        <w:spacing w:line="480" w:lineRule="auto"/>
        <w:jc w:val="center"/>
        <w:rPr>
          <w:rFonts w:ascii="Arial" w:hAnsi="Arial" w:cs="Arial"/>
          <w:sz w:val="24"/>
          <w:szCs w:val="24"/>
        </w:rPr>
      </w:pPr>
    </w:p>
    <w:p w14:paraId="7E73A725" w14:textId="77777777" w:rsidR="007D7B87" w:rsidRPr="00A84DDA" w:rsidRDefault="007D7B87" w:rsidP="00A84DDA">
      <w:pPr>
        <w:spacing w:line="480" w:lineRule="auto"/>
        <w:jc w:val="center"/>
        <w:rPr>
          <w:rFonts w:ascii="Arial" w:hAnsi="Arial" w:cs="Arial"/>
          <w:sz w:val="24"/>
          <w:szCs w:val="24"/>
        </w:rPr>
      </w:pPr>
    </w:p>
    <w:p w14:paraId="7652419D" w14:textId="77777777" w:rsidR="007D7B87" w:rsidRPr="00A84DDA" w:rsidRDefault="007D7B87" w:rsidP="00A84DDA">
      <w:pPr>
        <w:spacing w:line="480" w:lineRule="auto"/>
        <w:jc w:val="center"/>
        <w:rPr>
          <w:rFonts w:ascii="Arial" w:hAnsi="Arial" w:cs="Arial"/>
          <w:sz w:val="24"/>
          <w:szCs w:val="24"/>
        </w:rPr>
      </w:pPr>
    </w:p>
    <w:p w14:paraId="0092C588" w14:textId="77777777" w:rsidR="007D7B87" w:rsidRPr="00A84DDA" w:rsidRDefault="007D7B87" w:rsidP="00A84DDA">
      <w:pPr>
        <w:spacing w:line="480" w:lineRule="auto"/>
        <w:jc w:val="center"/>
        <w:rPr>
          <w:rFonts w:ascii="Arial" w:hAnsi="Arial" w:cs="Arial"/>
          <w:sz w:val="24"/>
          <w:szCs w:val="24"/>
        </w:rPr>
      </w:pPr>
    </w:p>
    <w:p w14:paraId="4F451F2E" w14:textId="4CAC1447" w:rsidR="007D1B64" w:rsidRPr="00A84DDA" w:rsidRDefault="00000000" w:rsidP="00A84DDA">
      <w:pPr>
        <w:spacing w:line="480" w:lineRule="auto"/>
        <w:jc w:val="center"/>
        <w:rPr>
          <w:rFonts w:ascii="Arial" w:hAnsi="Arial" w:cs="Arial"/>
          <w:sz w:val="24"/>
          <w:szCs w:val="24"/>
        </w:rPr>
      </w:pPr>
      <w:r w:rsidRPr="00A84DDA">
        <w:rPr>
          <w:rFonts w:ascii="Arial" w:hAnsi="Arial" w:cs="Arial"/>
          <w:sz w:val="24"/>
          <w:szCs w:val="24"/>
        </w:rPr>
        <w:t>REFERENCES</w:t>
      </w:r>
    </w:p>
    <w:p w14:paraId="29CA02E6"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Abbey, R. and Richards, M. (2020) </w:t>
      </w:r>
      <w:r w:rsidRPr="00A84DDA">
        <w:rPr>
          <w:rFonts w:ascii="Arial" w:hAnsi="Arial" w:cs="Arial"/>
          <w:i/>
          <w:iCs/>
          <w:sz w:val="24"/>
          <w:szCs w:val="24"/>
        </w:rPr>
        <w:t>A Practical Approach to Conveyancing.</w:t>
      </w:r>
      <w:r w:rsidRPr="00A84DDA">
        <w:rPr>
          <w:rFonts w:ascii="Arial" w:hAnsi="Arial" w:cs="Arial"/>
          <w:sz w:val="24"/>
          <w:szCs w:val="24"/>
        </w:rPr>
        <w:t xml:space="preserve"> 22</w:t>
      </w:r>
      <w:r w:rsidRPr="00A84DDA">
        <w:rPr>
          <w:rFonts w:ascii="Arial" w:hAnsi="Arial" w:cs="Arial"/>
          <w:sz w:val="24"/>
          <w:szCs w:val="24"/>
          <w:vertAlign w:val="superscript"/>
        </w:rPr>
        <w:t>nd</w:t>
      </w:r>
      <w:r w:rsidRPr="00A84DDA">
        <w:rPr>
          <w:rFonts w:ascii="Arial" w:hAnsi="Arial" w:cs="Arial"/>
          <w:sz w:val="24"/>
          <w:szCs w:val="24"/>
        </w:rPr>
        <w:t xml:space="preserve"> ed. Oxford: Oxford University Press</w:t>
      </w:r>
    </w:p>
    <w:p w14:paraId="45DE0D91" w14:textId="557A0FE4"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Brewin, C. (2019) </w:t>
      </w:r>
      <w:r w:rsidRPr="00A84DDA">
        <w:rPr>
          <w:rFonts w:ascii="Arial" w:hAnsi="Arial" w:cs="Arial"/>
          <w:i/>
          <w:iCs/>
          <w:sz w:val="24"/>
          <w:szCs w:val="24"/>
        </w:rPr>
        <w:t xml:space="preserve">The Law Society </w:t>
      </w:r>
      <w:proofErr w:type="gramStart"/>
      <w:r w:rsidRPr="00A84DDA">
        <w:rPr>
          <w:rFonts w:ascii="Arial" w:hAnsi="Arial" w:cs="Arial"/>
          <w:i/>
          <w:iCs/>
          <w:sz w:val="24"/>
          <w:szCs w:val="24"/>
        </w:rPr>
        <w:t>The</w:t>
      </w:r>
      <w:proofErr w:type="gramEnd"/>
      <w:r w:rsidRPr="00A84DDA">
        <w:rPr>
          <w:rFonts w:ascii="Arial" w:hAnsi="Arial" w:cs="Arial"/>
          <w:i/>
          <w:iCs/>
          <w:sz w:val="24"/>
          <w:szCs w:val="24"/>
        </w:rPr>
        <w:t xml:space="preserve"> </w:t>
      </w:r>
      <w:r w:rsidR="005F1E0A" w:rsidRPr="00A84DDA">
        <w:rPr>
          <w:rFonts w:ascii="Arial" w:hAnsi="Arial" w:cs="Arial"/>
          <w:i/>
          <w:iCs/>
          <w:sz w:val="24"/>
          <w:szCs w:val="24"/>
        </w:rPr>
        <w:t>Revised</w:t>
      </w:r>
      <w:r w:rsidRPr="00A84DDA">
        <w:rPr>
          <w:rFonts w:ascii="Arial" w:hAnsi="Arial" w:cs="Arial"/>
          <w:i/>
          <w:iCs/>
          <w:sz w:val="24"/>
          <w:szCs w:val="24"/>
        </w:rPr>
        <w:t xml:space="preserve"> Code for Completion by Post – what’s changed. </w:t>
      </w:r>
      <w:r w:rsidRPr="00A84DDA">
        <w:rPr>
          <w:rFonts w:ascii="Arial" w:hAnsi="Arial" w:cs="Arial"/>
          <w:sz w:val="24"/>
          <w:szCs w:val="24"/>
        </w:rPr>
        <w:t xml:space="preserve">Available at: </w:t>
      </w:r>
      <w:hyperlink r:id="rId6" w:history="1">
        <w:r w:rsidRPr="00A84DDA">
          <w:rPr>
            <w:rStyle w:val="Hyperlink"/>
            <w:rFonts w:ascii="Arial" w:hAnsi="Arial" w:cs="Arial"/>
            <w:sz w:val="24"/>
            <w:szCs w:val="24"/>
          </w:rPr>
          <w:t>https://communities.lawsociety.org.uk/property-commentary/the-revised-code-for-completion-by-post-whats-changed/5067772.article</w:t>
        </w:r>
      </w:hyperlink>
      <w:r w:rsidRPr="00A84DDA">
        <w:rPr>
          <w:rFonts w:ascii="Arial" w:hAnsi="Arial" w:cs="Arial"/>
          <w:sz w:val="24"/>
          <w:szCs w:val="24"/>
        </w:rPr>
        <w:t xml:space="preserve"> (Accessed: 8 November 2022) </w:t>
      </w:r>
    </w:p>
    <w:p w14:paraId="46C06F6D" w14:textId="36094505" w:rsidR="00AF252D" w:rsidRPr="00A84DDA" w:rsidRDefault="00AF252D" w:rsidP="00A84DDA">
      <w:pPr>
        <w:spacing w:line="480" w:lineRule="auto"/>
        <w:rPr>
          <w:rFonts w:ascii="Arial" w:hAnsi="Arial" w:cs="Arial"/>
          <w:sz w:val="24"/>
          <w:szCs w:val="24"/>
        </w:rPr>
      </w:pPr>
      <w:r w:rsidRPr="00A84DDA">
        <w:rPr>
          <w:rFonts w:ascii="Arial" w:hAnsi="Arial" w:cs="Arial"/>
          <w:sz w:val="24"/>
          <w:szCs w:val="24"/>
        </w:rPr>
        <w:lastRenderedPageBreak/>
        <w:t xml:space="preserve">Camp, P. and Bell, A. (2018) </w:t>
      </w:r>
      <w:r w:rsidRPr="00A84DDA">
        <w:rPr>
          <w:rFonts w:ascii="Arial" w:hAnsi="Arial" w:cs="Arial"/>
          <w:i/>
          <w:iCs/>
          <w:sz w:val="24"/>
          <w:szCs w:val="24"/>
        </w:rPr>
        <w:t>Solicitors and Money Laundering. 4</w:t>
      </w:r>
      <w:r w:rsidRPr="00A84DDA">
        <w:rPr>
          <w:rFonts w:ascii="Arial" w:hAnsi="Arial" w:cs="Arial"/>
          <w:i/>
          <w:iCs/>
          <w:sz w:val="24"/>
          <w:szCs w:val="24"/>
          <w:vertAlign w:val="superscript"/>
        </w:rPr>
        <w:t>th</w:t>
      </w:r>
      <w:r w:rsidRPr="00A84DDA">
        <w:rPr>
          <w:rFonts w:ascii="Arial" w:hAnsi="Arial" w:cs="Arial"/>
          <w:i/>
          <w:iCs/>
          <w:sz w:val="24"/>
          <w:szCs w:val="24"/>
        </w:rPr>
        <w:t xml:space="preserve"> </w:t>
      </w:r>
      <w:proofErr w:type="spellStart"/>
      <w:r w:rsidRPr="00A84DDA">
        <w:rPr>
          <w:rFonts w:ascii="Arial" w:hAnsi="Arial" w:cs="Arial"/>
          <w:i/>
          <w:iCs/>
          <w:sz w:val="24"/>
          <w:szCs w:val="24"/>
        </w:rPr>
        <w:t>edn</w:t>
      </w:r>
      <w:proofErr w:type="spellEnd"/>
      <w:r w:rsidRPr="00A84DDA">
        <w:rPr>
          <w:rFonts w:ascii="Arial" w:hAnsi="Arial" w:cs="Arial"/>
          <w:i/>
          <w:iCs/>
          <w:sz w:val="24"/>
          <w:szCs w:val="24"/>
        </w:rPr>
        <w:t>. London: The Law Society</w:t>
      </w:r>
    </w:p>
    <w:p w14:paraId="16EA0F02" w14:textId="56F5AF36"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Dwight, S. (2016) </w:t>
      </w:r>
      <w:r w:rsidR="005F1E0A" w:rsidRPr="00A84DDA">
        <w:rPr>
          <w:rFonts w:ascii="Arial" w:hAnsi="Arial" w:cs="Arial"/>
          <w:i/>
          <w:iCs/>
          <w:sz w:val="24"/>
          <w:szCs w:val="24"/>
        </w:rPr>
        <w:t>The Law Society</w:t>
      </w:r>
      <w:r w:rsidR="005F1E0A" w:rsidRPr="00A84DDA">
        <w:rPr>
          <w:rFonts w:ascii="Arial" w:hAnsi="Arial" w:cs="Arial"/>
          <w:i/>
          <w:iCs/>
          <w:sz w:val="24"/>
          <w:szCs w:val="24"/>
        </w:rPr>
        <w:t xml:space="preserve"> </w:t>
      </w:r>
      <w:proofErr w:type="gramStart"/>
      <w:r w:rsidRPr="00A84DDA">
        <w:rPr>
          <w:rFonts w:ascii="Arial" w:hAnsi="Arial" w:cs="Arial"/>
          <w:i/>
          <w:iCs/>
          <w:sz w:val="24"/>
          <w:szCs w:val="24"/>
        </w:rPr>
        <w:t>The</w:t>
      </w:r>
      <w:proofErr w:type="gramEnd"/>
      <w:r w:rsidRPr="00A84DDA">
        <w:rPr>
          <w:rFonts w:ascii="Arial" w:hAnsi="Arial" w:cs="Arial"/>
          <w:i/>
          <w:iCs/>
          <w:sz w:val="24"/>
          <w:szCs w:val="24"/>
        </w:rPr>
        <w:t xml:space="preserve"> Law Society Sailing through</w:t>
      </w:r>
      <w:r w:rsidR="005F1E0A" w:rsidRPr="00A84DDA">
        <w:rPr>
          <w:rFonts w:ascii="Arial" w:hAnsi="Arial" w:cs="Arial"/>
          <w:sz w:val="24"/>
          <w:szCs w:val="24"/>
        </w:rPr>
        <w:t>.</w:t>
      </w:r>
      <w:r w:rsidRPr="00A84DDA">
        <w:rPr>
          <w:rFonts w:ascii="Arial" w:hAnsi="Arial" w:cs="Arial"/>
          <w:sz w:val="24"/>
          <w:szCs w:val="24"/>
        </w:rPr>
        <w:t xml:space="preserve"> Available at: </w:t>
      </w:r>
      <w:hyperlink r:id="rId7" w:history="1">
        <w:r w:rsidRPr="00A84DDA">
          <w:rPr>
            <w:rStyle w:val="Hyperlink"/>
            <w:rFonts w:ascii="Arial" w:hAnsi="Arial" w:cs="Arial"/>
            <w:sz w:val="24"/>
            <w:szCs w:val="24"/>
          </w:rPr>
          <w:t>https://communities.lawsociety.org.uk/september-2016/sailing-through/5057402.article</w:t>
        </w:r>
      </w:hyperlink>
      <w:r w:rsidR="005F1E0A" w:rsidRPr="00A84DDA">
        <w:rPr>
          <w:rFonts w:ascii="Arial" w:hAnsi="Arial" w:cs="Arial"/>
          <w:sz w:val="24"/>
          <w:szCs w:val="24"/>
        </w:rPr>
        <w:t xml:space="preserve"> </w:t>
      </w:r>
      <w:r w:rsidRPr="00A84DDA">
        <w:rPr>
          <w:rFonts w:ascii="Arial" w:hAnsi="Arial" w:cs="Arial"/>
          <w:sz w:val="24"/>
          <w:szCs w:val="24"/>
        </w:rPr>
        <w:t>(Accessed: 3 November 2022)</w:t>
      </w:r>
    </w:p>
    <w:p w14:paraId="2C4E729B" w14:textId="77777777" w:rsidR="007D1B64" w:rsidRPr="00A84DDA" w:rsidRDefault="00000000" w:rsidP="00A84DDA">
      <w:pPr>
        <w:spacing w:line="480" w:lineRule="auto"/>
        <w:rPr>
          <w:rFonts w:ascii="Arial" w:hAnsi="Arial" w:cs="Arial"/>
          <w:sz w:val="24"/>
          <w:szCs w:val="24"/>
        </w:rPr>
      </w:pPr>
      <w:proofErr w:type="spellStart"/>
      <w:r w:rsidRPr="00A84DDA">
        <w:rPr>
          <w:rFonts w:ascii="Arial" w:hAnsi="Arial" w:cs="Arial"/>
          <w:sz w:val="24"/>
          <w:szCs w:val="24"/>
        </w:rPr>
        <w:t>Fouzder</w:t>
      </w:r>
      <w:proofErr w:type="spellEnd"/>
      <w:r w:rsidRPr="00A84DDA">
        <w:rPr>
          <w:rFonts w:ascii="Arial" w:hAnsi="Arial" w:cs="Arial"/>
          <w:sz w:val="24"/>
          <w:szCs w:val="24"/>
        </w:rPr>
        <w:t xml:space="preserve">, M (2020) The Law Society Gazette </w:t>
      </w:r>
      <w:r w:rsidRPr="00A84DDA">
        <w:rPr>
          <w:rFonts w:ascii="Arial" w:hAnsi="Arial" w:cs="Arial"/>
          <w:i/>
          <w:iCs/>
          <w:sz w:val="24"/>
          <w:szCs w:val="24"/>
        </w:rPr>
        <w:t xml:space="preserve">‘‘No more tolerance’ for paper-based conveyancing’. </w:t>
      </w:r>
      <w:r w:rsidRPr="00A84DDA">
        <w:rPr>
          <w:rFonts w:ascii="Arial" w:hAnsi="Arial" w:cs="Arial"/>
          <w:sz w:val="24"/>
          <w:szCs w:val="24"/>
        </w:rPr>
        <w:t xml:space="preserve">Available at: </w:t>
      </w:r>
      <w:hyperlink r:id="rId8" w:history="1">
        <w:r w:rsidRPr="00A84DDA">
          <w:rPr>
            <w:rStyle w:val="Hyperlink"/>
            <w:rFonts w:ascii="Arial" w:hAnsi="Arial" w:cs="Arial"/>
            <w:sz w:val="24"/>
            <w:szCs w:val="24"/>
          </w:rPr>
          <w:t>https://www.lawgazette.co.uk/news/no-more-tolerance-for-paper-based-conveyancing/5105067.article</w:t>
        </w:r>
      </w:hyperlink>
      <w:r w:rsidRPr="00A84DDA">
        <w:rPr>
          <w:rFonts w:ascii="Arial" w:hAnsi="Arial" w:cs="Arial"/>
          <w:sz w:val="24"/>
          <w:szCs w:val="24"/>
        </w:rPr>
        <w:t xml:space="preserve"> (Accessed: 4 November 2022)</w:t>
      </w:r>
    </w:p>
    <w:p w14:paraId="588F6499" w14:textId="77777777" w:rsidR="007D1B64" w:rsidRPr="00A84DDA" w:rsidRDefault="00000000" w:rsidP="00A84DDA">
      <w:pPr>
        <w:spacing w:line="480" w:lineRule="auto"/>
        <w:rPr>
          <w:rFonts w:ascii="Arial" w:hAnsi="Arial" w:cs="Arial"/>
          <w:sz w:val="24"/>
          <w:szCs w:val="24"/>
        </w:rPr>
      </w:pPr>
      <w:proofErr w:type="spellStart"/>
      <w:r w:rsidRPr="00A84DDA">
        <w:rPr>
          <w:rFonts w:ascii="Arial" w:hAnsi="Arial" w:cs="Arial"/>
          <w:sz w:val="24"/>
          <w:szCs w:val="24"/>
        </w:rPr>
        <w:t>Fouzder</w:t>
      </w:r>
      <w:proofErr w:type="spellEnd"/>
      <w:r w:rsidRPr="00A84DDA">
        <w:rPr>
          <w:rFonts w:ascii="Arial" w:hAnsi="Arial" w:cs="Arial"/>
          <w:sz w:val="24"/>
          <w:szCs w:val="24"/>
        </w:rPr>
        <w:t xml:space="preserve">, M (2021) </w:t>
      </w:r>
      <w:r w:rsidRPr="00A84DDA">
        <w:rPr>
          <w:rFonts w:ascii="Arial" w:hAnsi="Arial" w:cs="Arial"/>
          <w:i/>
          <w:iCs/>
          <w:sz w:val="24"/>
          <w:szCs w:val="24"/>
        </w:rPr>
        <w:t>The Law Society Gazette Conveyancing giant suffers IT ‘security incident’.</w:t>
      </w:r>
      <w:r w:rsidRPr="00A84DDA">
        <w:rPr>
          <w:rFonts w:ascii="Arial" w:hAnsi="Arial" w:cs="Arial"/>
          <w:sz w:val="24"/>
          <w:szCs w:val="24"/>
        </w:rPr>
        <w:t xml:space="preserve"> Available at: </w:t>
      </w:r>
      <w:hyperlink r:id="rId9" w:history="1">
        <w:r w:rsidRPr="00A84DDA">
          <w:rPr>
            <w:rStyle w:val="Hyperlink"/>
            <w:rFonts w:ascii="Arial" w:hAnsi="Arial" w:cs="Arial"/>
            <w:sz w:val="24"/>
            <w:szCs w:val="24"/>
          </w:rPr>
          <w:t>https://www.lawgazette.co.uk/practice/conveyancing-giant-suffers-it-security-incident/5110499.article</w:t>
        </w:r>
      </w:hyperlink>
      <w:r w:rsidRPr="00A84DDA">
        <w:rPr>
          <w:rFonts w:ascii="Arial" w:hAnsi="Arial" w:cs="Arial"/>
          <w:sz w:val="24"/>
          <w:szCs w:val="24"/>
        </w:rPr>
        <w:t xml:space="preserve">   11 Nov 2021  (Accessed: 4 November 2022)</w:t>
      </w:r>
    </w:p>
    <w:p w14:paraId="10131594" w14:textId="77777777" w:rsidR="007D1B64" w:rsidRPr="00A84DDA" w:rsidRDefault="00000000" w:rsidP="00A84DDA">
      <w:pPr>
        <w:spacing w:line="480" w:lineRule="auto"/>
        <w:rPr>
          <w:rFonts w:ascii="Arial" w:hAnsi="Arial" w:cs="Arial"/>
          <w:sz w:val="24"/>
          <w:szCs w:val="24"/>
        </w:rPr>
      </w:pPr>
      <w:proofErr w:type="spellStart"/>
      <w:r w:rsidRPr="00A84DDA">
        <w:rPr>
          <w:rFonts w:ascii="Arial" w:hAnsi="Arial" w:cs="Arial"/>
          <w:sz w:val="24"/>
          <w:szCs w:val="24"/>
        </w:rPr>
        <w:t>Fouzder</w:t>
      </w:r>
      <w:proofErr w:type="spellEnd"/>
      <w:r w:rsidRPr="00A84DDA">
        <w:rPr>
          <w:rFonts w:ascii="Arial" w:hAnsi="Arial" w:cs="Arial"/>
          <w:sz w:val="24"/>
          <w:szCs w:val="24"/>
        </w:rPr>
        <w:t xml:space="preserve">, M (2021) </w:t>
      </w:r>
      <w:r w:rsidRPr="00A84DDA">
        <w:rPr>
          <w:rFonts w:ascii="Arial" w:hAnsi="Arial" w:cs="Arial"/>
          <w:i/>
          <w:iCs/>
          <w:sz w:val="24"/>
          <w:szCs w:val="24"/>
        </w:rPr>
        <w:t xml:space="preserve">The Law Society Gazette Personal data compromised in conveyancing IT crash. </w:t>
      </w:r>
      <w:r w:rsidRPr="00A84DDA">
        <w:rPr>
          <w:rFonts w:ascii="Arial" w:hAnsi="Arial" w:cs="Arial"/>
          <w:sz w:val="24"/>
          <w:szCs w:val="24"/>
        </w:rPr>
        <w:t xml:space="preserve">Available at: </w:t>
      </w:r>
      <w:hyperlink r:id="rId10" w:history="1">
        <w:r w:rsidRPr="00A84DDA">
          <w:rPr>
            <w:rStyle w:val="Hyperlink"/>
            <w:rFonts w:ascii="Arial" w:hAnsi="Arial" w:cs="Arial"/>
            <w:sz w:val="24"/>
            <w:szCs w:val="24"/>
          </w:rPr>
          <w:t>https://www.lawgazette.co.uk/news/personal-data-compromised-in-conveyancing-it-crash/5113811.article</w:t>
        </w:r>
      </w:hyperlink>
      <w:r w:rsidRPr="00A84DDA">
        <w:rPr>
          <w:rFonts w:ascii="Arial" w:hAnsi="Arial" w:cs="Arial"/>
          <w:sz w:val="24"/>
          <w:szCs w:val="24"/>
        </w:rPr>
        <w:t xml:space="preserve">  30  Sept 2022 (Accessed: 4 November 2022)</w:t>
      </w:r>
    </w:p>
    <w:p w14:paraId="472F99FE"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GOV.UK </w:t>
      </w:r>
      <w:r w:rsidRPr="00A84DDA">
        <w:rPr>
          <w:rFonts w:ascii="Arial" w:hAnsi="Arial" w:cs="Arial"/>
          <w:i/>
          <w:iCs/>
          <w:sz w:val="24"/>
          <w:szCs w:val="24"/>
        </w:rPr>
        <w:t>Buying or selling your home.</w:t>
      </w:r>
      <w:r w:rsidRPr="00A84DDA">
        <w:rPr>
          <w:rFonts w:ascii="Arial" w:hAnsi="Arial" w:cs="Arial"/>
          <w:sz w:val="24"/>
          <w:szCs w:val="24"/>
        </w:rPr>
        <w:t xml:space="preserve"> Available at: </w:t>
      </w:r>
      <w:hyperlink r:id="rId11" w:history="1">
        <w:r w:rsidRPr="00A84DDA">
          <w:rPr>
            <w:rStyle w:val="Hyperlink"/>
            <w:rFonts w:ascii="Arial" w:hAnsi="Arial" w:cs="Arial"/>
            <w:sz w:val="24"/>
            <w:szCs w:val="24"/>
          </w:rPr>
          <w:t>https://www.gov.uk/buy-sell-your-home</w:t>
        </w:r>
      </w:hyperlink>
      <w:r w:rsidRPr="00A84DDA">
        <w:rPr>
          <w:rFonts w:ascii="Arial" w:hAnsi="Arial" w:cs="Arial"/>
          <w:sz w:val="24"/>
          <w:szCs w:val="24"/>
        </w:rPr>
        <w:t xml:space="preserve"> (Accessed: 8 November 2022)</w:t>
      </w:r>
    </w:p>
    <w:p w14:paraId="08338D3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Harris, C., and </w:t>
      </w:r>
      <w:proofErr w:type="spellStart"/>
      <w:r w:rsidRPr="00A84DDA">
        <w:rPr>
          <w:rFonts w:ascii="Arial" w:hAnsi="Arial" w:cs="Arial"/>
          <w:sz w:val="24"/>
          <w:szCs w:val="24"/>
        </w:rPr>
        <w:t>Rodell</w:t>
      </w:r>
      <w:proofErr w:type="spellEnd"/>
      <w:r w:rsidRPr="00A84DDA">
        <w:rPr>
          <w:rFonts w:ascii="Arial" w:hAnsi="Arial" w:cs="Arial"/>
          <w:sz w:val="24"/>
          <w:szCs w:val="24"/>
        </w:rPr>
        <w:t xml:space="preserve">, A. (2020) </w:t>
      </w:r>
      <w:r w:rsidRPr="00A84DDA">
        <w:rPr>
          <w:rFonts w:ascii="Arial" w:hAnsi="Arial" w:cs="Arial"/>
          <w:i/>
          <w:iCs/>
          <w:sz w:val="24"/>
          <w:szCs w:val="24"/>
        </w:rPr>
        <w:t>Property Law and Practice.</w:t>
      </w:r>
      <w:r w:rsidRPr="00A84DDA">
        <w:rPr>
          <w:rFonts w:ascii="Arial" w:hAnsi="Arial" w:cs="Arial"/>
          <w:sz w:val="24"/>
          <w:szCs w:val="24"/>
        </w:rPr>
        <w:t xml:space="preserve"> Guildford: College of Law Publishing</w:t>
      </w:r>
    </w:p>
    <w:p w14:paraId="3CBCB4E5" w14:textId="77777777" w:rsidR="007D1B64" w:rsidRPr="00A84DDA" w:rsidRDefault="00000000" w:rsidP="00A84DDA">
      <w:pPr>
        <w:spacing w:line="480" w:lineRule="auto"/>
        <w:rPr>
          <w:rFonts w:ascii="Arial" w:hAnsi="Arial" w:cs="Arial"/>
          <w:sz w:val="24"/>
          <w:szCs w:val="24"/>
        </w:rPr>
      </w:pPr>
      <w:proofErr w:type="spellStart"/>
      <w:r w:rsidRPr="00A84DDA">
        <w:rPr>
          <w:rFonts w:ascii="Arial" w:hAnsi="Arial" w:cs="Arial"/>
          <w:sz w:val="24"/>
          <w:szCs w:val="24"/>
        </w:rPr>
        <w:t>Hewitson</w:t>
      </w:r>
      <w:proofErr w:type="spellEnd"/>
      <w:r w:rsidRPr="00A84DDA">
        <w:rPr>
          <w:rFonts w:ascii="Arial" w:hAnsi="Arial" w:cs="Arial"/>
          <w:sz w:val="24"/>
          <w:szCs w:val="24"/>
        </w:rPr>
        <w:t xml:space="preserve">, R. (2020) </w:t>
      </w:r>
      <w:r w:rsidRPr="00A84DDA">
        <w:rPr>
          <w:rFonts w:ascii="Arial" w:hAnsi="Arial" w:cs="Arial"/>
          <w:i/>
          <w:iCs/>
          <w:sz w:val="24"/>
          <w:szCs w:val="24"/>
        </w:rPr>
        <w:t xml:space="preserve">Residential Conveyancing Practice </w:t>
      </w:r>
      <w:proofErr w:type="gramStart"/>
      <w:r w:rsidRPr="00A84DDA">
        <w:rPr>
          <w:rFonts w:ascii="Arial" w:hAnsi="Arial" w:cs="Arial"/>
          <w:i/>
          <w:iCs/>
          <w:sz w:val="24"/>
          <w:szCs w:val="24"/>
        </w:rPr>
        <w:t>A</w:t>
      </w:r>
      <w:proofErr w:type="gramEnd"/>
      <w:r w:rsidRPr="00A84DDA">
        <w:rPr>
          <w:rFonts w:ascii="Arial" w:hAnsi="Arial" w:cs="Arial"/>
          <w:i/>
          <w:iCs/>
          <w:sz w:val="24"/>
          <w:szCs w:val="24"/>
        </w:rPr>
        <w:t xml:space="preserve"> Guide for Support and Paralegals.</w:t>
      </w:r>
      <w:r w:rsidRPr="00A84DDA">
        <w:rPr>
          <w:rFonts w:ascii="Arial" w:hAnsi="Arial" w:cs="Arial"/>
          <w:sz w:val="24"/>
          <w:szCs w:val="24"/>
        </w:rPr>
        <w:t xml:space="preserve"> 2</w:t>
      </w:r>
      <w:r w:rsidRPr="00A84DDA">
        <w:rPr>
          <w:rFonts w:ascii="Arial" w:hAnsi="Arial" w:cs="Arial"/>
          <w:sz w:val="24"/>
          <w:szCs w:val="24"/>
          <w:vertAlign w:val="superscript"/>
        </w:rPr>
        <w:t>nd</w:t>
      </w:r>
      <w:r w:rsidRPr="00A84DDA">
        <w:rPr>
          <w:rFonts w:ascii="Arial" w:hAnsi="Arial" w:cs="Arial"/>
          <w:sz w:val="24"/>
          <w:szCs w:val="24"/>
        </w:rPr>
        <w:t xml:space="preserve"> </w:t>
      </w:r>
      <w:proofErr w:type="spellStart"/>
      <w:r w:rsidRPr="00A84DDA">
        <w:rPr>
          <w:rFonts w:ascii="Arial" w:hAnsi="Arial" w:cs="Arial"/>
          <w:sz w:val="24"/>
          <w:szCs w:val="24"/>
        </w:rPr>
        <w:t>edn</w:t>
      </w:r>
      <w:proofErr w:type="spellEnd"/>
      <w:r w:rsidRPr="00A84DDA">
        <w:rPr>
          <w:rFonts w:ascii="Arial" w:hAnsi="Arial" w:cs="Arial"/>
          <w:sz w:val="24"/>
          <w:szCs w:val="24"/>
        </w:rPr>
        <w:t>. London: The Law Society.</w:t>
      </w:r>
    </w:p>
    <w:p w14:paraId="2E748717" w14:textId="77777777" w:rsidR="007D1B64" w:rsidRPr="00A84DDA" w:rsidRDefault="00000000" w:rsidP="00A84DDA">
      <w:pPr>
        <w:spacing w:line="480" w:lineRule="auto"/>
        <w:rPr>
          <w:rFonts w:ascii="Arial" w:hAnsi="Arial" w:cs="Arial"/>
          <w:sz w:val="24"/>
          <w:szCs w:val="24"/>
        </w:rPr>
      </w:pPr>
      <w:bookmarkStart w:id="8" w:name="_Hlk118795940"/>
      <w:r w:rsidRPr="00A84DDA">
        <w:rPr>
          <w:rFonts w:ascii="Arial" w:hAnsi="Arial" w:cs="Arial"/>
          <w:sz w:val="24"/>
          <w:szCs w:val="24"/>
        </w:rPr>
        <w:lastRenderedPageBreak/>
        <w:t xml:space="preserve">HM Land Registry (2022) </w:t>
      </w:r>
      <w:r w:rsidRPr="00A84DDA">
        <w:rPr>
          <w:rFonts w:ascii="Arial" w:hAnsi="Arial" w:cs="Arial"/>
          <w:i/>
          <w:iCs/>
          <w:sz w:val="24"/>
          <w:szCs w:val="24"/>
        </w:rPr>
        <w:t>Registration Services fees.</w:t>
      </w:r>
      <w:r w:rsidRPr="00A84DDA">
        <w:rPr>
          <w:rFonts w:ascii="Arial" w:hAnsi="Arial" w:cs="Arial"/>
          <w:sz w:val="24"/>
          <w:szCs w:val="24"/>
        </w:rPr>
        <w:t xml:space="preserve"> Available at: </w:t>
      </w:r>
      <w:hyperlink r:id="rId12" w:history="1">
        <w:r w:rsidRPr="00A84DDA">
          <w:rPr>
            <w:rStyle w:val="Hyperlink"/>
            <w:rFonts w:ascii="Arial" w:hAnsi="Arial" w:cs="Arial"/>
            <w:sz w:val="24"/>
            <w:szCs w:val="24"/>
          </w:rPr>
          <w:t>https://www.gov.uk/guidance/hm-land-registry-registration-services-fees</w:t>
        </w:r>
      </w:hyperlink>
      <w:r w:rsidRPr="00A84DDA">
        <w:rPr>
          <w:rFonts w:ascii="Arial" w:hAnsi="Arial" w:cs="Arial"/>
          <w:sz w:val="24"/>
          <w:szCs w:val="24"/>
        </w:rPr>
        <w:t xml:space="preserve"> (Accessed: 8 November 2022)</w:t>
      </w:r>
    </w:p>
    <w:bookmarkEnd w:id="8"/>
    <w:p w14:paraId="476F4549"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HM Land Registry (2022) </w:t>
      </w:r>
      <w:r w:rsidRPr="00A84DDA">
        <w:rPr>
          <w:rFonts w:ascii="Arial" w:hAnsi="Arial" w:cs="Arial"/>
          <w:i/>
          <w:iCs/>
          <w:sz w:val="24"/>
          <w:szCs w:val="24"/>
        </w:rPr>
        <w:t>New vision for a world-leading property digital market.</w:t>
      </w:r>
      <w:r w:rsidRPr="00A84DDA">
        <w:rPr>
          <w:rFonts w:ascii="Arial" w:hAnsi="Arial" w:cs="Arial"/>
          <w:sz w:val="24"/>
          <w:szCs w:val="24"/>
        </w:rPr>
        <w:t xml:space="preserve"> Available at: </w:t>
      </w:r>
      <w:hyperlink r:id="rId13" w:history="1">
        <w:r w:rsidRPr="00A84DDA">
          <w:rPr>
            <w:rStyle w:val="Hyperlink"/>
            <w:rFonts w:ascii="Arial" w:hAnsi="Arial" w:cs="Arial"/>
            <w:sz w:val="24"/>
            <w:szCs w:val="24"/>
          </w:rPr>
          <w:t>https://www.gov.uk/government/news/new-vision-for-a-world-leading-digital-property-market</w:t>
        </w:r>
      </w:hyperlink>
      <w:r w:rsidRPr="00A84DDA">
        <w:rPr>
          <w:rFonts w:ascii="Arial" w:hAnsi="Arial" w:cs="Arial"/>
          <w:sz w:val="24"/>
          <w:szCs w:val="24"/>
        </w:rPr>
        <w:t xml:space="preserve"> (Accessed: 4 November 2022)</w:t>
      </w:r>
    </w:p>
    <w:p w14:paraId="12C1E9BF"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House of Commons Library UK Parliament (2022</w:t>
      </w:r>
      <w:r w:rsidRPr="00A84DDA">
        <w:rPr>
          <w:rFonts w:ascii="Arial" w:hAnsi="Arial" w:cs="Arial"/>
          <w:i/>
          <w:iCs/>
          <w:sz w:val="24"/>
          <w:szCs w:val="24"/>
        </w:rPr>
        <w:t>) Leasehold reform in England and Wales: What’s happening and when?</w:t>
      </w:r>
      <w:r w:rsidRPr="00A84DDA">
        <w:rPr>
          <w:rFonts w:ascii="Arial" w:hAnsi="Arial" w:cs="Arial"/>
          <w:sz w:val="24"/>
          <w:szCs w:val="24"/>
        </w:rPr>
        <w:t xml:space="preserve"> Available at: </w:t>
      </w:r>
      <w:hyperlink r:id="rId14" w:history="1">
        <w:r w:rsidRPr="00A84DDA">
          <w:rPr>
            <w:rStyle w:val="Hyperlink"/>
            <w:rFonts w:ascii="Arial" w:hAnsi="Arial" w:cs="Arial"/>
            <w:sz w:val="24"/>
            <w:szCs w:val="24"/>
          </w:rPr>
          <w:t>https://commonslibrary.parliament.uk/leasehold-reform-in-england-and-wales/</w:t>
        </w:r>
      </w:hyperlink>
      <w:r w:rsidRPr="00A84DDA">
        <w:rPr>
          <w:rFonts w:ascii="Arial" w:hAnsi="Arial" w:cs="Arial"/>
          <w:sz w:val="24"/>
          <w:szCs w:val="24"/>
        </w:rPr>
        <w:t xml:space="preserve"> (Accessed: 8 November 2022)</w:t>
      </w:r>
    </w:p>
    <w:p w14:paraId="34311144" w14:textId="249A24C5"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LexisNexis</w:t>
      </w:r>
      <w:r w:rsidR="005D0CA1" w:rsidRPr="00A84DDA">
        <w:rPr>
          <w:rFonts w:ascii="Arial" w:hAnsi="Arial" w:cs="Arial"/>
          <w:sz w:val="24"/>
          <w:szCs w:val="24"/>
        </w:rPr>
        <w:t>.</w:t>
      </w:r>
      <w:r w:rsidRPr="00A84DDA">
        <w:rPr>
          <w:rFonts w:ascii="Arial" w:hAnsi="Arial" w:cs="Arial"/>
          <w:sz w:val="24"/>
          <w:szCs w:val="24"/>
        </w:rPr>
        <w:t xml:space="preserve"> </w:t>
      </w:r>
      <w:r w:rsidRPr="00A84DDA">
        <w:rPr>
          <w:rFonts w:ascii="Arial" w:hAnsi="Arial" w:cs="Arial"/>
          <w:i/>
          <w:iCs/>
          <w:sz w:val="24"/>
          <w:szCs w:val="24"/>
        </w:rPr>
        <w:t>The Law Society’s Conveyancing Protocol.</w:t>
      </w:r>
      <w:r w:rsidRPr="00A84DDA">
        <w:rPr>
          <w:rFonts w:ascii="Arial" w:hAnsi="Arial" w:cs="Arial"/>
          <w:sz w:val="24"/>
          <w:szCs w:val="24"/>
        </w:rPr>
        <w:t xml:space="preserve"> Available at: </w:t>
      </w:r>
      <w:hyperlink r:id="rId15" w:history="1">
        <w:r w:rsidRPr="00A84DDA">
          <w:rPr>
            <w:rStyle w:val="Hyperlink"/>
            <w:rFonts w:ascii="Arial" w:hAnsi="Arial" w:cs="Arial"/>
            <w:sz w:val="24"/>
            <w:szCs w:val="24"/>
          </w:rPr>
          <w:t>https://www.lexisnexis.co.uk/legal/guidance/the-law-societys-conveyancing-protocol</w:t>
        </w:r>
      </w:hyperlink>
      <w:r w:rsidRPr="00A84DDA">
        <w:rPr>
          <w:rFonts w:ascii="Arial" w:hAnsi="Arial" w:cs="Arial"/>
          <w:sz w:val="24"/>
          <w:szCs w:val="24"/>
        </w:rPr>
        <w:t xml:space="preserve"> (Accessed: 2 November 2022)</w:t>
      </w:r>
    </w:p>
    <w:p w14:paraId="59701F1D" w14:textId="380B2E24" w:rsidR="007D1B64" w:rsidRPr="00A84DDA" w:rsidRDefault="00000000" w:rsidP="00A84DDA">
      <w:pPr>
        <w:spacing w:line="480" w:lineRule="auto"/>
        <w:rPr>
          <w:rFonts w:ascii="Arial" w:hAnsi="Arial" w:cs="Arial"/>
          <w:sz w:val="24"/>
          <w:szCs w:val="24"/>
        </w:rPr>
      </w:pPr>
      <w:bookmarkStart w:id="9" w:name="_Hlk118796151"/>
      <w:proofErr w:type="spellStart"/>
      <w:r w:rsidRPr="00A84DDA">
        <w:rPr>
          <w:rFonts w:ascii="Arial" w:hAnsi="Arial" w:cs="Arial"/>
          <w:sz w:val="24"/>
          <w:szCs w:val="24"/>
        </w:rPr>
        <w:t>MacKenzie</w:t>
      </w:r>
      <w:proofErr w:type="spellEnd"/>
      <w:r w:rsidRPr="00A84DDA">
        <w:rPr>
          <w:rFonts w:ascii="Arial" w:hAnsi="Arial" w:cs="Arial"/>
          <w:sz w:val="24"/>
          <w:szCs w:val="24"/>
        </w:rPr>
        <w:t xml:space="preserve">, J. and Nair, A. (2020) </w:t>
      </w:r>
      <w:bookmarkEnd w:id="9"/>
      <w:r w:rsidRPr="00A84DDA">
        <w:rPr>
          <w:rFonts w:ascii="Arial" w:hAnsi="Arial" w:cs="Arial"/>
          <w:i/>
          <w:iCs/>
          <w:sz w:val="24"/>
          <w:szCs w:val="24"/>
        </w:rPr>
        <w:t>Textbook on Land Law</w:t>
      </w:r>
      <w:r w:rsidR="005D0CA1" w:rsidRPr="00A84DDA">
        <w:rPr>
          <w:rFonts w:ascii="Arial" w:hAnsi="Arial" w:cs="Arial"/>
          <w:i/>
          <w:iCs/>
          <w:sz w:val="24"/>
          <w:szCs w:val="24"/>
        </w:rPr>
        <w:t>.</w:t>
      </w:r>
      <w:r w:rsidRPr="00A84DDA">
        <w:rPr>
          <w:rFonts w:ascii="Arial" w:hAnsi="Arial" w:cs="Arial"/>
          <w:i/>
          <w:iCs/>
          <w:sz w:val="24"/>
          <w:szCs w:val="24"/>
        </w:rPr>
        <w:t xml:space="preserve"> </w:t>
      </w:r>
      <w:r w:rsidRPr="00A84DDA">
        <w:rPr>
          <w:rFonts w:ascii="Arial" w:hAnsi="Arial" w:cs="Arial"/>
          <w:sz w:val="24"/>
          <w:szCs w:val="24"/>
        </w:rPr>
        <w:t>18</w:t>
      </w:r>
      <w:r w:rsidRPr="00A84DDA">
        <w:rPr>
          <w:rFonts w:ascii="Arial" w:hAnsi="Arial" w:cs="Arial"/>
          <w:sz w:val="24"/>
          <w:szCs w:val="24"/>
          <w:vertAlign w:val="superscript"/>
        </w:rPr>
        <w:t>th</w:t>
      </w:r>
      <w:r w:rsidRPr="00A84DDA">
        <w:rPr>
          <w:rFonts w:ascii="Arial" w:hAnsi="Arial" w:cs="Arial"/>
          <w:sz w:val="24"/>
          <w:szCs w:val="24"/>
        </w:rPr>
        <w:t xml:space="preserve"> </w:t>
      </w:r>
      <w:proofErr w:type="spellStart"/>
      <w:r w:rsidRPr="00A84DDA">
        <w:rPr>
          <w:rFonts w:ascii="Arial" w:hAnsi="Arial" w:cs="Arial"/>
          <w:sz w:val="24"/>
          <w:szCs w:val="24"/>
        </w:rPr>
        <w:t>edn</w:t>
      </w:r>
      <w:proofErr w:type="spellEnd"/>
      <w:r w:rsidRPr="00A84DDA">
        <w:rPr>
          <w:rFonts w:ascii="Arial" w:hAnsi="Arial" w:cs="Arial"/>
          <w:sz w:val="24"/>
          <w:szCs w:val="24"/>
        </w:rPr>
        <w:t>. Oxford: Oxford University Press</w:t>
      </w:r>
    </w:p>
    <w:p w14:paraId="3D668B5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Ministry of Housing Communities and Local Government (2017) </w:t>
      </w:r>
      <w:r w:rsidRPr="00A84DDA">
        <w:rPr>
          <w:rFonts w:ascii="Arial" w:hAnsi="Arial" w:cs="Arial"/>
          <w:i/>
          <w:iCs/>
          <w:sz w:val="24"/>
          <w:szCs w:val="24"/>
        </w:rPr>
        <w:t>Improving the home buying and selling process: call for evidence.</w:t>
      </w:r>
      <w:r w:rsidRPr="00A84DDA">
        <w:rPr>
          <w:rFonts w:ascii="Arial" w:hAnsi="Arial" w:cs="Arial"/>
          <w:sz w:val="24"/>
          <w:szCs w:val="24"/>
        </w:rPr>
        <w:t xml:space="preserve"> Available at: </w:t>
      </w:r>
      <w:hyperlink r:id="rId16" w:history="1">
        <w:r w:rsidRPr="00A84DDA">
          <w:rPr>
            <w:rStyle w:val="Hyperlink"/>
            <w:rFonts w:ascii="Arial" w:hAnsi="Arial" w:cs="Arial"/>
            <w:sz w:val="24"/>
            <w:szCs w:val="24"/>
          </w:rPr>
          <w:t>https://www.gov.uk/government/consultations/improving-the-home-buying-and-selling-process-call-for-evidence</w:t>
        </w:r>
      </w:hyperlink>
      <w:r w:rsidRPr="00A84DDA">
        <w:rPr>
          <w:rFonts w:ascii="Arial" w:hAnsi="Arial" w:cs="Arial"/>
          <w:sz w:val="24"/>
          <w:szCs w:val="24"/>
        </w:rPr>
        <w:t xml:space="preserve"> (Accessed: 8 November 2022)</w:t>
      </w:r>
    </w:p>
    <w:p w14:paraId="21FBEFA8" w14:textId="77777777" w:rsidR="007D1B64" w:rsidRPr="00A84DDA" w:rsidRDefault="00000000" w:rsidP="00A84DDA">
      <w:pPr>
        <w:spacing w:line="480" w:lineRule="auto"/>
        <w:rPr>
          <w:rFonts w:ascii="Arial" w:hAnsi="Arial" w:cs="Arial"/>
          <w:sz w:val="24"/>
          <w:szCs w:val="24"/>
        </w:rPr>
      </w:pPr>
      <w:bookmarkStart w:id="10" w:name="_Hlk118763730"/>
      <w:r w:rsidRPr="00A84DDA">
        <w:rPr>
          <w:rFonts w:ascii="Arial" w:hAnsi="Arial" w:cs="Arial"/>
          <w:sz w:val="24"/>
          <w:szCs w:val="24"/>
        </w:rPr>
        <w:t xml:space="preserve">Ministry of Housing Communities and Local Government (2018) </w:t>
      </w:r>
      <w:bookmarkEnd w:id="10"/>
      <w:r w:rsidRPr="00A84DDA">
        <w:rPr>
          <w:rFonts w:ascii="Arial" w:hAnsi="Arial" w:cs="Arial"/>
          <w:i/>
          <w:iCs/>
          <w:sz w:val="24"/>
          <w:szCs w:val="24"/>
        </w:rPr>
        <w:t>Improving the home buying and selling process. Summary of responses to the call for Evidence and government response.</w:t>
      </w:r>
      <w:r w:rsidRPr="00A84DDA">
        <w:rPr>
          <w:rFonts w:ascii="Arial" w:hAnsi="Arial" w:cs="Arial"/>
          <w:sz w:val="24"/>
          <w:szCs w:val="24"/>
        </w:rPr>
        <w:t xml:space="preserve"> Available at: </w:t>
      </w:r>
      <w:hyperlink r:id="rId17" w:history="1">
        <w:r w:rsidRPr="00A84DDA">
          <w:rPr>
            <w:rStyle w:val="Hyperlink"/>
            <w:rFonts w:ascii="Arial" w:hAnsi="Arial" w:cs="Arial"/>
            <w:sz w:val="24"/>
            <w:szCs w:val="24"/>
          </w:rPr>
          <w:t>https://assets.publishing.service.gov.uk/government/uploads/system/uploads/attach</w:t>
        </w:r>
        <w:r w:rsidRPr="00A84DDA">
          <w:rPr>
            <w:rStyle w:val="Hyperlink"/>
            <w:rFonts w:ascii="Arial" w:hAnsi="Arial" w:cs="Arial"/>
            <w:sz w:val="24"/>
            <w:szCs w:val="24"/>
          </w:rPr>
          <w:lastRenderedPageBreak/>
          <w:t>ment_data/file/697939/Improving_the_home_buying_and_selling_process_response.pdf</w:t>
        </w:r>
      </w:hyperlink>
      <w:r w:rsidRPr="00A84DDA">
        <w:rPr>
          <w:rFonts w:ascii="Arial" w:hAnsi="Arial" w:cs="Arial"/>
          <w:sz w:val="24"/>
          <w:szCs w:val="24"/>
        </w:rPr>
        <w:t xml:space="preserve"> (Accessed: 8 November 2022)</w:t>
      </w:r>
    </w:p>
    <w:p w14:paraId="5925C736"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Mire, M. (2020) </w:t>
      </w:r>
      <w:r w:rsidRPr="00A84DDA">
        <w:rPr>
          <w:rFonts w:ascii="Arial" w:hAnsi="Arial" w:cs="Arial"/>
          <w:i/>
          <w:iCs/>
          <w:sz w:val="24"/>
          <w:szCs w:val="24"/>
        </w:rPr>
        <w:t>His Majesty Land Registry Annual reports and accounts 2019/20 Transforming in uncertainty.</w:t>
      </w:r>
      <w:r w:rsidRPr="00A84DDA">
        <w:rPr>
          <w:rFonts w:ascii="Arial" w:hAnsi="Arial" w:cs="Arial"/>
          <w:sz w:val="24"/>
          <w:szCs w:val="24"/>
        </w:rPr>
        <w:t xml:space="preserve"> Available at: </w:t>
      </w:r>
      <w:hyperlink r:id="rId18" w:history="1">
        <w:r w:rsidRPr="00A84DDA">
          <w:rPr>
            <w:rStyle w:val="Hyperlink"/>
            <w:rFonts w:ascii="Arial" w:hAnsi="Arial" w:cs="Arial"/>
            <w:sz w:val="24"/>
            <w:szCs w:val="24"/>
          </w:rPr>
          <w:t>https://assets.publishing.service.gov.uk/government/uploads/system/uploads/attachment_data/file/929903/HMLR_ARAC_2020_REPORT_WEB.pdf</w:t>
        </w:r>
      </w:hyperlink>
      <w:r w:rsidRPr="00A84DDA">
        <w:rPr>
          <w:rFonts w:ascii="Arial" w:hAnsi="Arial" w:cs="Arial"/>
          <w:sz w:val="24"/>
          <w:szCs w:val="24"/>
        </w:rPr>
        <w:t xml:space="preserve"> (Accessed: 4 November 2022)</w:t>
      </w:r>
    </w:p>
    <w:p w14:paraId="195851E3" w14:textId="77777777" w:rsidR="007D1B64" w:rsidRPr="00A84DDA" w:rsidRDefault="00000000" w:rsidP="00A84DDA">
      <w:pPr>
        <w:spacing w:line="480" w:lineRule="auto"/>
        <w:rPr>
          <w:rFonts w:ascii="Arial" w:hAnsi="Arial" w:cs="Arial"/>
          <w:sz w:val="24"/>
          <w:szCs w:val="24"/>
        </w:rPr>
      </w:pPr>
      <w:r w:rsidRPr="00A84DDA">
        <w:rPr>
          <w:rFonts w:ascii="Arial" w:hAnsi="Arial" w:cs="Arial"/>
          <w:color w:val="26282A"/>
          <w:sz w:val="24"/>
          <w:szCs w:val="24"/>
          <w:shd w:val="clear" w:color="auto" w:fill="FFFFFF"/>
        </w:rPr>
        <w:t xml:space="preserve">Rayner, J. (2022) </w:t>
      </w:r>
      <w:r w:rsidRPr="00A84DDA">
        <w:rPr>
          <w:rFonts w:ascii="Arial" w:hAnsi="Arial" w:cs="Arial"/>
          <w:i/>
          <w:iCs/>
          <w:color w:val="26282A"/>
          <w:sz w:val="24"/>
          <w:szCs w:val="24"/>
          <w:shd w:val="clear" w:color="auto" w:fill="FFFFFF"/>
        </w:rPr>
        <w:t xml:space="preserve">The Law Society Gazette Law Society spotlight: CQS arrives on a new platform. </w:t>
      </w:r>
      <w:r w:rsidRPr="00A84DDA">
        <w:rPr>
          <w:rFonts w:ascii="Arial" w:hAnsi="Arial" w:cs="Arial"/>
          <w:color w:val="26282A"/>
          <w:sz w:val="24"/>
          <w:szCs w:val="24"/>
          <w:shd w:val="clear" w:color="auto" w:fill="FFFFFF"/>
        </w:rPr>
        <w:t xml:space="preserve">Available at: </w:t>
      </w:r>
      <w:hyperlink r:id="rId19" w:history="1">
        <w:r w:rsidRPr="00A84DDA">
          <w:rPr>
            <w:rStyle w:val="Hyperlink"/>
            <w:rFonts w:ascii="Arial" w:hAnsi="Arial" w:cs="Arial"/>
            <w:sz w:val="24"/>
            <w:szCs w:val="24"/>
            <w:shd w:val="clear" w:color="auto" w:fill="FFFFFF"/>
          </w:rPr>
          <w:t>https://www.lawgazette.co.uk/features/law-society-spotlight-cqs-arrives-on-a-new-platform/5114039.article</w:t>
        </w:r>
      </w:hyperlink>
      <w:r w:rsidRPr="00A84DDA">
        <w:rPr>
          <w:rFonts w:ascii="Arial" w:hAnsi="Arial" w:cs="Arial"/>
          <w:color w:val="26282A"/>
          <w:sz w:val="24"/>
          <w:szCs w:val="24"/>
          <w:shd w:val="clear" w:color="auto" w:fill="FFFFFF"/>
        </w:rPr>
        <w:t xml:space="preserve"> (Accessed: 8 November 2022)</w:t>
      </w:r>
    </w:p>
    <w:p w14:paraId="6C4A4130" w14:textId="3515D46B" w:rsidR="007D1B64" w:rsidRPr="00A84DDA" w:rsidRDefault="00000000" w:rsidP="00A84DDA">
      <w:pPr>
        <w:spacing w:line="480" w:lineRule="auto"/>
        <w:rPr>
          <w:rFonts w:ascii="Arial" w:hAnsi="Arial" w:cs="Arial"/>
          <w:color w:val="26282A"/>
          <w:sz w:val="24"/>
          <w:szCs w:val="24"/>
          <w:shd w:val="clear" w:color="auto" w:fill="FFFFFF"/>
        </w:rPr>
      </w:pPr>
      <w:r w:rsidRPr="00A84DDA">
        <w:rPr>
          <w:rFonts w:ascii="Arial" w:hAnsi="Arial" w:cs="Arial"/>
          <w:color w:val="26282A"/>
          <w:sz w:val="24"/>
          <w:szCs w:val="24"/>
          <w:shd w:val="clear" w:color="auto" w:fill="FFFFFF"/>
        </w:rPr>
        <w:t xml:space="preserve">Richards, M. (2022) </w:t>
      </w:r>
      <w:r w:rsidRPr="00A84DDA">
        <w:rPr>
          <w:rFonts w:ascii="Arial" w:hAnsi="Arial" w:cs="Arial"/>
          <w:i/>
          <w:iCs/>
          <w:color w:val="26282A"/>
          <w:sz w:val="24"/>
          <w:szCs w:val="24"/>
          <w:shd w:val="clear" w:color="auto" w:fill="FFFFFF"/>
        </w:rPr>
        <w:t>Property Law</w:t>
      </w:r>
      <w:r w:rsidR="005D0CA1" w:rsidRPr="00A84DDA">
        <w:rPr>
          <w:rFonts w:ascii="Arial" w:hAnsi="Arial" w:cs="Arial"/>
          <w:color w:val="26282A"/>
          <w:sz w:val="24"/>
          <w:szCs w:val="24"/>
          <w:shd w:val="clear" w:color="auto" w:fill="FFFFFF"/>
        </w:rPr>
        <w:t xml:space="preserve">. </w:t>
      </w:r>
      <w:r w:rsidRPr="00A84DDA">
        <w:rPr>
          <w:rFonts w:ascii="Arial" w:hAnsi="Arial" w:cs="Arial"/>
          <w:color w:val="26282A"/>
          <w:sz w:val="24"/>
          <w:szCs w:val="24"/>
          <w:shd w:val="clear" w:color="auto" w:fill="FFFFFF"/>
        </w:rPr>
        <w:t>15</w:t>
      </w:r>
      <w:r w:rsidRPr="00A84DDA">
        <w:rPr>
          <w:rFonts w:ascii="Arial" w:hAnsi="Arial" w:cs="Arial"/>
          <w:color w:val="26282A"/>
          <w:sz w:val="24"/>
          <w:szCs w:val="24"/>
          <w:shd w:val="clear" w:color="auto" w:fill="FFFFFF"/>
          <w:vertAlign w:val="superscript"/>
        </w:rPr>
        <w:t>th</w:t>
      </w:r>
      <w:r w:rsidRPr="00A84DDA">
        <w:rPr>
          <w:rFonts w:ascii="Arial" w:hAnsi="Arial" w:cs="Arial"/>
          <w:color w:val="26282A"/>
          <w:sz w:val="24"/>
          <w:szCs w:val="24"/>
          <w:shd w:val="clear" w:color="auto" w:fill="FFFFFF"/>
        </w:rPr>
        <w:t xml:space="preserve"> </w:t>
      </w:r>
      <w:proofErr w:type="spellStart"/>
      <w:r w:rsidRPr="00A84DDA">
        <w:rPr>
          <w:rFonts w:ascii="Arial" w:hAnsi="Arial" w:cs="Arial"/>
          <w:color w:val="26282A"/>
          <w:sz w:val="24"/>
          <w:szCs w:val="24"/>
          <w:shd w:val="clear" w:color="auto" w:fill="FFFFFF"/>
        </w:rPr>
        <w:t>edn</w:t>
      </w:r>
      <w:proofErr w:type="spellEnd"/>
      <w:r w:rsidRPr="00A84DDA">
        <w:rPr>
          <w:rFonts w:ascii="Arial" w:hAnsi="Arial" w:cs="Arial"/>
          <w:color w:val="26282A"/>
          <w:sz w:val="24"/>
          <w:szCs w:val="24"/>
          <w:shd w:val="clear" w:color="auto" w:fill="FFFFFF"/>
        </w:rPr>
        <w:t>. Oxford: Oxford University Press</w:t>
      </w:r>
    </w:p>
    <w:p w14:paraId="2182DE65" w14:textId="09088154" w:rsidR="00AF252D" w:rsidRPr="00A84DDA" w:rsidRDefault="00AF252D" w:rsidP="00A84DDA">
      <w:pPr>
        <w:spacing w:line="480" w:lineRule="auto"/>
        <w:rPr>
          <w:rFonts w:ascii="Arial" w:hAnsi="Arial" w:cs="Arial"/>
          <w:sz w:val="24"/>
          <w:szCs w:val="24"/>
        </w:rPr>
      </w:pPr>
      <w:r w:rsidRPr="00A84DDA">
        <w:rPr>
          <w:rFonts w:ascii="Arial" w:hAnsi="Arial" w:cs="Arial"/>
          <w:sz w:val="24"/>
          <w:szCs w:val="24"/>
        </w:rPr>
        <w:t xml:space="preserve">Richardson, L. (2021) </w:t>
      </w:r>
      <w:r w:rsidRPr="00A84DDA">
        <w:rPr>
          <w:rFonts w:ascii="Arial" w:hAnsi="Arial" w:cs="Arial"/>
          <w:i/>
          <w:iCs/>
          <w:sz w:val="24"/>
          <w:szCs w:val="24"/>
        </w:rPr>
        <w:t>Property and Conveyancing</w:t>
      </w:r>
      <w:r w:rsidRPr="00A84DDA">
        <w:rPr>
          <w:rFonts w:ascii="Arial" w:hAnsi="Arial" w:cs="Arial"/>
          <w:sz w:val="24"/>
          <w:szCs w:val="24"/>
        </w:rPr>
        <w:t xml:space="preserve"> 1</w:t>
      </w:r>
      <w:r w:rsidRPr="00A84DDA">
        <w:rPr>
          <w:rFonts w:ascii="Arial" w:hAnsi="Arial" w:cs="Arial"/>
          <w:sz w:val="24"/>
          <w:szCs w:val="24"/>
          <w:vertAlign w:val="superscript"/>
        </w:rPr>
        <w:t>st</w:t>
      </w:r>
      <w:r w:rsidRPr="00A84DDA">
        <w:rPr>
          <w:rFonts w:ascii="Arial" w:hAnsi="Arial" w:cs="Arial"/>
          <w:sz w:val="24"/>
          <w:szCs w:val="24"/>
        </w:rPr>
        <w:t xml:space="preserve"> </w:t>
      </w:r>
      <w:proofErr w:type="spellStart"/>
      <w:r w:rsidRPr="00A84DDA">
        <w:rPr>
          <w:rFonts w:ascii="Arial" w:hAnsi="Arial" w:cs="Arial"/>
          <w:sz w:val="24"/>
          <w:szCs w:val="24"/>
        </w:rPr>
        <w:t>edn</w:t>
      </w:r>
      <w:proofErr w:type="spellEnd"/>
      <w:r w:rsidRPr="00A84DDA">
        <w:rPr>
          <w:rFonts w:ascii="Arial" w:hAnsi="Arial" w:cs="Arial"/>
          <w:sz w:val="24"/>
          <w:szCs w:val="24"/>
        </w:rPr>
        <w:t xml:space="preserve">. Bedford: </w:t>
      </w:r>
      <w:proofErr w:type="spellStart"/>
      <w:r w:rsidRPr="00A84DDA">
        <w:rPr>
          <w:rFonts w:ascii="Arial" w:hAnsi="Arial" w:cs="Arial"/>
          <w:sz w:val="24"/>
          <w:szCs w:val="24"/>
        </w:rPr>
        <w:t>Cilex</w:t>
      </w:r>
      <w:proofErr w:type="spellEnd"/>
      <w:r w:rsidRPr="00A84DDA">
        <w:rPr>
          <w:rFonts w:ascii="Arial" w:hAnsi="Arial" w:cs="Arial"/>
          <w:sz w:val="24"/>
          <w:szCs w:val="24"/>
        </w:rPr>
        <w:t xml:space="preserve"> Education</w:t>
      </w:r>
    </w:p>
    <w:p w14:paraId="77B3B277"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Silverman, F. (2021) </w:t>
      </w:r>
      <w:r w:rsidRPr="00A84DDA">
        <w:rPr>
          <w:rFonts w:ascii="Arial" w:hAnsi="Arial" w:cs="Arial"/>
          <w:i/>
          <w:iCs/>
          <w:sz w:val="24"/>
          <w:szCs w:val="24"/>
        </w:rPr>
        <w:t xml:space="preserve">The Law Society’s Conveyancing Handbook. </w:t>
      </w:r>
      <w:r w:rsidRPr="00A84DDA">
        <w:rPr>
          <w:rFonts w:ascii="Arial" w:hAnsi="Arial" w:cs="Arial"/>
          <w:sz w:val="24"/>
          <w:szCs w:val="24"/>
        </w:rPr>
        <w:t>28</w:t>
      </w:r>
      <w:r w:rsidRPr="00A84DDA">
        <w:rPr>
          <w:rFonts w:ascii="Arial" w:hAnsi="Arial" w:cs="Arial"/>
          <w:sz w:val="24"/>
          <w:szCs w:val="24"/>
          <w:vertAlign w:val="superscript"/>
        </w:rPr>
        <w:t>th</w:t>
      </w:r>
      <w:r w:rsidRPr="00A84DDA">
        <w:rPr>
          <w:rFonts w:ascii="Arial" w:hAnsi="Arial" w:cs="Arial"/>
          <w:sz w:val="24"/>
          <w:szCs w:val="24"/>
        </w:rPr>
        <w:t xml:space="preserve"> ed. London: The Law Society</w:t>
      </w:r>
    </w:p>
    <w:p w14:paraId="43D26BF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Solicitors Regulations Authority (SRA) (2018) </w:t>
      </w:r>
      <w:r w:rsidRPr="00A84DDA">
        <w:rPr>
          <w:rFonts w:ascii="Arial" w:hAnsi="Arial" w:cs="Arial"/>
          <w:i/>
          <w:iCs/>
          <w:sz w:val="24"/>
          <w:szCs w:val="24"/>
        </w:rPr>
        <w:t>SRA Code of Conduct for Solicitors, RELs and RFLs.</w:t>
      </w:r>
      <w:r w:rsidRPr="00A84DDA">
        <w:rPr>
          <w:rFonts w:ascii="Arial" w:hAnsi="Arial" w:cs="Arial"/>
          <w:sz w:val="24"/>
          <w:szCs w:val="24"/>
        </w:rPr>
        <w:t xml:space="preserve">  Available at: </w:t>
      </w:r>
      <w:hyperlink r:id="rId20" w:history="1">
        <w:r w:rsidRPr="00A84DDA">
          <w:rPr>
            <w:rStyle w:val="Hyperlink"/>
            <w:rFonts w:ascii="Arial" w:hAnsi="Arial" w:cs="Arial"/>
            <w:sz w:val="24"/>
            <w:szCs w:val="24"/>
          </w:rPr>
          <w:t>https://www.sra.org.uk/solicitors/standards-regulations/code-conduct-solicitors/</w:t>
        </w:r>
      </w:hyperlink>
      <w:r w:rsidRPr="00A84DDA">
        <w:rPr>
          <w:rFonts w:ascii="Arial" w:hAnsi="Arial" w:cs="Arial"/>
          <w:sz w:val="24"/>
          <w:szCs w:val="24"/>
        </w:rPr>
        <w:t xml:space="preserve"> (Accessed: 7 November 2022)</w:t>
      </w:r>
    </w:p>
    <w:p w14:paraId="7A8438B1" w14:textId="7A30244F"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Solicitors Regulations </w:t>
      </w:r>
      <w:r w:rsidR="005D0CA1" w:rsidRPr="00A84DDA">
        <w:rPr>
          <w:rFonts w:ascii="Arial" w:hAnsi="Arial" w:cs="Arial"/>
          <w:sz w:val="24"/>
          <w:szCs w:val="24"/>
        </w:rPr>
        <w:t>Authority (</w:t>
      </w:r>
      <w:r w:rsidRPr="00A84DDA">
        <w:rPr>
          <w:rFonts w:ascii="Arial" w:hAnsi="Arial" w:cs="Arial"/>
          <w:sz w:val="24"/>
          <w:szCs w:val="24"/>
        </w:rPr>
        <w:t xml:space="preserve">2018) </w:t>
      </w:r>
      <w:r w:rsidRPr="00A84DDA">
        <w:rPr>
          <w:rFonts w:ascii="Arial" w:hAnsi="Arial" w:cs="Arial"/>
          <w:i/>
          <w:iCs/>
          <w:sz w:val="24"/>
          <w:szCs w:val="24"/>
        </w:rPr>
        <w:t>SRA Transparency Rules.</w:t>
      </w:r>
      <w:r w:rsidRPr="00A84DDA">
        <w:rPr>
          <w:rFonts w:ascii="Arial" w:hAnsi="Arial" w:cs="Arial"/>
          <w:sz w:val="24"/>
          <w:szCs w:val="24"/>
        </w:rPr>
        <w:t xml:space="preserve"> Available at: </w:t>
      </w:r>
      <w:hyperlink r:id="rId21" w:history="1">
        <w:r w:rsidRPr="00A84DDA">
          <w:rPr>
            <w:rStyle w:val="Hyperlink"/>
            <w:rFonts w:ascii="Arial" w:hAnsi="Arial" w:cs="Arial"/>
            <w:sz w:val="24"/>
            <w:szCs w:val="24"/>
          </w:rPr>
          <w:t>https://www.sra.org.uk/solicitors/standards-regulations/transparency-rules/</w:t>
        </w:r>
      </w:hyperlink>
      <w:r w:rsidRPr="00A84DDA">
        <w:rPr>
          <w:rFonts w:ascii="Arial" w:hAnsi="Arial" w:cs="Arial"/>
          <w:sz w:val="24"/>
          <w:szCs w:val="24"/>
        </w:rPr>
        <w:t xml:space="preserve"> (Accessed: 7 November 2022) </w:t>
      </w:r>
    </w:p>
    <w:p w14:paraId="3D7FE253"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lastRenderedPageBreak/>
        <w:t xml:space="preserve">Solicitors Regulations Authority (2020) </w:t>
      </w:r>
      <w:r w:rsidRPr="00A84DDA">
        <w:rPr>
          <w:rFonts w:ascii="Arial" w:hAnsi="Arial" w:cs="Arial"/>
          <w:i/>
          <w:iCs/>
          <w:sz w:val="24"/>
          <w:szCs w:val="24"/>
        </w:rPr>
        <w:t>Conflicts of Interest.</w:t>
      </w:r>
      <w:r w:rsidRPr="00A84DDA">
        <w:rPr>
          <w:rFonts w:ascii="Arial" w:hAnsi="Arial" w:cs="Arial"/>
          <w:sz w:val="24"/>
          <w:szCs w:val="24"/>
        </w:rPr>
        <w:t xml:space="preserve">  Available at: </w:t>
      </w:r>
      <w:bookmarkStart w:id="11" w:name="_Hlk118768081"/>
      <w:r w:rsidRPr="00A84DDA">
        <w:rPr>
          <w:rFonts w:ascii="Arial" w:hAnsi="Arial" w:cs="Arial"/>
          <w:sz w:val="24"/>
          <w:szCs w:val="24"/>
        </w:rPr>
        <w:fldChar w:fldCharType="begin"/>
      </w:r>
      <w:r w:rsidRPr="00A84DDA">
        <w:rPr>
          <w:rFonts w:ascii="Arial" w:hAnsi="Arial" w:cs="Arial"/>
          <w:sz w:val="24"/>
          <w:szCs w:val="24"/>
        </w:rPr>
        <w:instrText xml:space="preserve"> HYPERLINK  "https://www.sra.org.uk/solicitors/guidance/conflicts-interest" </w:instrText>
      </w:r>
      <w:r w:rsidRPr="00A84DDA">
        <w:rPr>
          <w:rFonts w:ascii="Arial" w:hAnsi="Arial" w:cs="Arial"/>
          <w:sz w:val="24"/>
          <w:szCs w:val="24"/>
        </w:rPr>
        <w:fldChar w:fldCharType="separate"/>
      </w:r>
      <w:r w:rsidRPr="00A84DDA">
        <w:rPr>
          <w:rStyle w:val="Hyperlink"/>
          <w:rFonts w:ascii="Arial" w:hAnsi="Arial" w:cs="Arial"/>
          <w:sz w:val="24"/>
          <w:szCs w:val="24"/>
        </w:rPr>
        <w:t>https://www.sra.org.uk/solicitors/guidance/conflicts-interest</w:t>
      </w:r>
      <w:r w:rsidRPr="00A84DDA">
        <w:rPr>
          <w:rStyle w:val="Hyperlink"/>
          <w:rFonts w:ascii="Arial" w:hAnsi="Arial" w:cs="Arial"/>
          <w:sz w:val="24"/>
          <w:szCs w:val="24"/>
        </w:rPr>
        <w:fldChar w:fldCharType="end"/>
      </w:r>
      <w:r w:rsidRPr="00A84DDA">
        <w:rPr>
          <w:rFonts w:ascii="Arial" w:hAnsi="Arial" w:cs="Arial"/>
          <w:sz w:val="24"/>
          <w:szCs w:val="24"/>
        </w:rPr>
        <w:t xml:space="preserve">  (</w:t>
      </w:r>
      <w:bookmarkEnd w:id="11"/>
      <w:r w:rsidRPr="00A84DDA">
        <w:rPr>
          <w:rFonts w:ascii="Arial" w:hAnsi="Arial" w:cs="Arial"/>
          <w:sz w:val="24"/>
          <w:szCs w:val="24"/>
        </w:rPr>
        <w:t xml:space="preserve">Accessed: 8 November 2022) </w:t>
      </w:r>
    </w:p>
    <w:p w14:paraId="6E1A6616" w14:textId="53CF7FD3"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Sykes, C. (2016) </w:t>
      </w:r>
      <w:r w:rsidRPr="00A84DDA">
        <w:rPr>
          <w:rFonts w:ascii="Arial" w:hAnsi="Arial" w:cs="Arial"/>
          <w:i/>
          <w:iCs/>
          <w:sz w:val="24"/>
          <w:szCs w:val="24"/>
        </w:rPr>
        <w:t>Leasehold Enfranchisement and the Right to Manage</w:t>
      </w:r>
      <w:r w:rsidR="001D459E" w:rsidRPr="00A84DDA">
        <w:rPr>
          <w:rFonts w:ascii="Arial" w:hAnsi="Arial" w:cs="Arial"/>
          <w:i/>
          <w:iCs/>
          <w:sz w:val="24"/>
          <w:szCs w:val="24"/>
        </w:rPr>
        <w:t>.</w:t>
      </w:r>
      <w:r w:rsidRPr="00A84DDA">
        <w:rPr>
          <w:rFonts w:ascii="Arial" w:hAnsi="Arial" w:cs="Arial"/>
          <w:i/>
          <w:iCs/>
          <w:sz w:val="24"/>
          <w:szCs w:val="24"/>
        </w:rPr>
        <w:t xml:space="preserve"> 3</w:t>
      </w:r>
      <w:r w:rsidRPr="00A84DDA">
        <w:rPr>
          <w:rFonts w:ascii="Arial" w:hAnsi="Arial" w:cs="Arial"/>
          <w:i/>
          <w:iCs/>
          <w:sz w:val="24"/>
          <w:szCs w:val="24"/>
          <w:vertAlign w:val="superscript"/>
        </w:rPr>
        <w:t>rd</w:t>
      </w:r>
      <w:r w:rsidRPr="00A84DDA">
        <w:rPr>
          <w:rFonts w:ascii="Arial" w:hAnsi="Arial" w:cs="Arial"/>
          <w:i/>
          <w:iCs/>
          <w:sz w:val="24"/>
          <w:szCs w:val="24"/>
        </w:rPr>
        <w:t xml:space="preserve"> ed London:</w:t>
      </w:r>
      <w:r w:rsidRPr="00A84DDA">
        <w:rPr>
          <w:rFonts w:ascii="Arial" w:hAnsi="Arial" w:cs="Arial"/>
          <w:sz w:val="24"/>
          <w:szCs w:val="24"/>
        </w:rPr>
        <w:t xml:space="preserve"> </w:t>
      </w:r>
      <w:r w:rsidR="001D459E" w:rsidRPr="00A84DDA">
        <w:rPr>
          <w:rFonts w:ascii="Arial" w:hAnsi="Arial" w:cs="Arial"/>
          <w:sz w:val="24"/>
          <w:szCs w:val="24"/>
        </w:rPr>
        <w:t xml:space="preserve">London: </w:t>
      </w:r>
      <w:r w:rsidRPr="00A84DDA">
        <w:rPr>
          <w:rFonts w:ascii="Arial" w:hAnsi="Arial" w:cs="Arial"/>
          <w:sz w:val="24"/>
          <w:szCs w:val="24"/>
        </w:rPr>
        <w:t>Law Society</w:t>
      </w:r>
    </w:p>
    <w:p w14:paraId="05CB555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Council for Licensed Conveyancers (CLC) (2018) </w:t>
      </w:r>
      <w:r w:rsidRPr="00A84DDA">
        <w:rPr>
          <w:rFonts w:ascii="Arial" w:hAnsi="Arial" w:cs="Arial"/>
          <w:i/>
          <w:iCs/>
          <w:sz w:val="24"/>
          <w:szCs w:val="24"/>
        </w:rPr>
        <w:t>Proposed changes to the Law Society National Conveyancing Protocol Consultation from the Law Society of England and Wales Response by the Council for Licensed Conveyancers.</w:t>
      </w:r>
      <w:r w:rsidRPr="00A84DDA">
        <w:rPr>
          <w:rFonts w:ascii="Arial" w:hAnsi="Arial" w:cs="Arial"/>
          <w:sz w:val="24"/>
          <w:szCs w:val="24"/>
        </w:rPr>
        <w:t xml:space="preserve"> Available at: </w:t>
      </w:r>
      <w:hyperlink r:id="rId22" w:history="1">
        <w:r w:rsidRPr="00A84DDA">
          <w:rPr>
            <w:rStyle w:val="Hyperlink"/>
            <w:rFonts w:ascii="Arial" w:hAnsi="Arial" w:cs="Arial"/>
            <w:sz w:val="24"/>
            <w:szCs w:val="24"/>
          </w:rPr>
          <w:t>https://www.clc.uk.org/wp-content/uploads/2018/06/180511-CLC-response-TLS-National-Protocol.pdf</w:t>
        </w:r>
      </w:hyperlink>
      <w:r w:rsidRPr="00A84DDA">
        <w:rPr>
          <w:rFonts w:ascii="Arial" w:hAnsi="Arial" w:cs="Arial"/>
          <w:sz w:val="24"/>
          <w:szCs w:val="24"/>
        </w:rPr>
        <w:t xml:space="preserve">  (Accessed: 2</w:t>
      </w:r>
      <w:r w:rsidRPr="00A84DDA">
        <w:rPr>
          <w:rFonts w:ascii="Arial" w:hAnsi="Arial" w:cs="Arial"/>
          <w:sz w:val="24"/>
          <w:szCs w:val="24"/>
          <w:vertAlign w:val="superscript"/>
        </w:rPr>
        <w:t>nd</w:t>
      </w:r>
      <w:r w:rsidRPr="00A84DDA">
        <w:rPr>
          <w:rFonts w:ascii="Arial" w:hAnsi="Arial" w:cs="Arial"/>
          <w:sz w:val="24"/>
          <w:szCs w:val="24"/>
        </w:rPr>
        <w:t xml:space="preserve"> November 2022)</w:t>
      </w:r>
    </w:p>
    <w:p w14:paraId="64952A6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of England and Wales (2011) </w:t>
      </w:r>
      <w:r w:rsidRPr="00A84DDA">
        <w:rPr>
          <w:rFonts w:ascii="Arial" w:hAnsi="Arial" w:cs="Arial"/>
          <w:i/>
          <w:iCs/>
          <w:sz w:val="24"/>
          <w:szCs w:val="24"/>
        </w:rPr>
        <w:t xml:space="preserve">The Law Society Conveyancing Protocol. </w:t>
      </w:r>
      <w:r w:rsidRPr="00A84DDA">
        <w:rPr>
          <w:rFonts w:ascii="Arial" w:hAnsi="Arial" w:cs="Arial"/>
          <w:sz w:val="24"/>
          <w:szCs w:val="24"/>
        </w:rPr>
        <w:t xml:space="preserve">Available at: </w:t>
      </w:r>
      <w:hyperlink r:id="rId23" w:history="1">
        <w:r w:rsidRPr="00A84DDA">
          <w:rPr>
            <w:rStyle w:val="Hyperlink"/>
            <w:rFonts w:ascii="Arial" w:hAnsi="Arial" w:cs="Arial"/>
            <w:sz w:val="24"/>
            <w:szCs w:val="24"/>
          </w:rPr>
          <w:t>https://no-flies.co.uk/wp-content/uploads/2013/04/cqs-protocol.pdf</w:t>
        </w:r>
      </w:hyperlink>
      <w:r w:rsidRPr="00A84DDA">
        <w:rPr>
          <w:rFonts w:ascii="Arial" w:hAnsi="Arial" w:cs="Arial"/>
          <w:sz w:val="24"/>
          <w:szCs w:val="24"/>
        </w:rPr>
        <w:t xml:space="preserve"> (Accessed: 5 November 2022)</w:t>
      </w:r>
    </w:p>
    <w:p w14:paraId="498824FB"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(2019) </w:t>
      </w:r>
      <w:r w:rsidRPr="00A84DDA">
        <w:rPr>
          <w:rFonts w:ascii="Arial" w:hAnsi="Arial" w:cs="Arial"/>
          <w:i/>
          <w:iCs/>
          <w:sz w:val="24"/>
          <w:szCs w:val="24"/>
        </w:rPr>
        <w:t>The Law Society Conveyancing Protocol.</w:t>
      </w:r>
      <w:r w:rsidRPr="00A84DDA">
        <w:rPr>
          <w:rFonts w:ascii="Arial" w:hAnsi="Arial" w:cs="Arial"/>
          <w:sz w:val="24"/>
          <w:szCs w:val="24"/>
        </w:rPr>
        <w:t xml:space="preserve"> Available at: </w:t>
      </w:r>
      <w:hyperlink r:id="rId24" w:history="1">
        <w:r w:rsidRPr="00A84DDA">
          <w:rPr>
            <w:rStyle w:val="Hyperlink"/>
            <w:rFonts w:ascii="Arial" w:hAnsi="Arial" w:cs="Arial"/>
            <w:sz w:val="24"/>
            <w:szCs w:val="24"/>
          </w:rPr>
          <w:t>file:///C:/Users/2018882/Downloads/conveyancing-protocol-2019%20(1).pdf</w:t>
        </w:r>
      </w:hyperlink>
      <w:r w:rsidRPr="00A84DDA">
        <w:rPr>
          <w:rFonts w:ascii="Arial" w:hAnsi="Arial" w:cs="Arial"/>
          <w:sz w:val="24"/>
          <w:szCs w:val="24"/>
        </w:rPr>
        <w:t xml:space="preserve"> (Accessed: 5 November 2022)</w:t>
      </w:r>
    </w:p>
    <w:p w14:paraId="06FF852F"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(2019) </w:t>
      </w:r>
      <w:r w:rsidRPr="00A84DDA">
        <w:rPr>
          <w:rFonts w:ascii="Arial" w:hAnsi="Arial" w:cs="Arial"/>
          <w:i/>
          <w:iCs/>
          <w:sz w:val="24"/>
          <w:szCs w:val="24"/>
        </w:rPr>
        <w:t xml:space="preserve">Code for Completion by Post. </w:t>
      </w:r>
      <w:r w:rsidRPr="00A84DDA">
        <w:rPr>
          <w:rFonts w:ascii="Arial" w:hAnsi="Arial" w:cs="Arial"/>
          <w:sz w:val="24"/>
          <w:szCs w:val="24"/>
        </w:rPr>
        <w:t xml:space="preserve">Available at: </w:t>
      </w:r>
      <w:hyperlink r:id="rId25" w:history="1">
        <w:r w:rsidRPr="00A84DDA">
          <w:rPr>
            <w:rStyle w:val="Hyperlink"/>
            <w:rFonts w:ascii="Arial" w:hAnsi="Arial" w:cs="Arial"/>
            <w:sz w:val="24"/>
            <w:szCs w:val="24"/>
          </w:rPr>
          <w:t>https://www.lawsociety.org.uk/topics/property/code-for-completion-by-post</w:t>
        </w:r>
      </w:hyperlink>
      <w:r w:rsidRPr="00A84DDA">
        <w:rPr>
          <w:rFonts w:ascii="Arial" w:hAnsi="Arial" w:cs="Arial"/>
          <w:sz w:val="24"/>
          <w:szCs w:val="24"/>
        </w:rPr>
        <w:t xml:space="preserve"> (Accessed: 8 November 2022)</w:t>
      </w:r>
    </w:p>
    <w:p w14:paraId="13A500F1"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1 (2020) </w:t>
      </w:r>
      <w:r w:rsidRPr="00A84DDA">
        <w:rPr>
          <w:rFonts w:ascii="Arial" w:hAnsi="Arial" w:cs="Arial"/>
          <w:i/>
          <w:iCs/>
          <w:sz w:val="24"/>
          <w:szCs w:val="24"/>
        </w:rPr>
        <w:t>Conveyancing Protocol.</w:t>
      </w:r>
      <w:r w:rsidRPr="00A84DDA">
        <w:rPr>
          <w:rFonts w:ascii="Arial" w:hAnsi="Arial" w:cs="Arial"/>
          <w:sz w:val="24"/>
          <w:szCs w:val="24"/>
        </w:rPr>
        <w:t xml:space="preserve"> Available at: https://www.lawsociety.org.uk/topics/property/conveyancing-protocol (Accessed: 1 November 2022)</w:t>
      </w:r>
    </w:p>
    <w:p w14:paraId="3C21DF1D"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lastRenderedPageBreak/>
        <w:t xml:space="preserve">The Law Society 2 (2020) </w:t>
      </w:r>
      <w:r w:rsidRPr="00A84DDA">
        <w:rPr>
          <w:rFonts w:ascii="Arial" w:hAnsi="Arial" w:cs="Arial"/>
          <w:i/>
          <w:iCs/>
          <w:sz w:val="24"/>
          <w:szCs w:val="24"/>
        </w:rPr>
        <w:t>New Conveyancing Protocol Published.</w:t>
      </w:r>
      <w:r w:rsidRPr="00A84DDA">
        <w:rPr>
          <w:rFonts w:ascii="Arial" w:hAnsi="Arial" w:cs="Arial"/>
          <w:sz w:val="24"/>
          <w:szCs w:val="24"/>
        </w:rPr>
        <w:t xml:space="preserve"> Available at: </w:t>
      </w:r>
      <w:hyperlink r:id="rId26" w:history="1">
        <w:r w:rsidRPr="00A84DDA">
          <w:rPr>
            <w:rStyle w:val="Hyperlink"/>
            <w:rFonts w:ascii="Arial" w:hAnsi="Arial" w:cs="Arial"/>
            <w:sz w:val="24"/>
            <w:szCs w:val="24"/>
          </w:rPr>
          <w:t>https://communities,lawsociety.org.uk/property-news/new-conveyancing-protocols-published/6000146.article</w:t>
        </w:r>
      </w:hyperlink>
      <w:r w:rsidRPr="00A84DDA">
        <w:rPr>
          <w:rFonts w:ascii="Arial" w:hAnsi="Arial" w:cs="Arial"/>
          <w:sz w:val="24"/>
          <w:szCs w:val="24"/>
        </w:rPr>
        <w:t xml:space="preserve"> (Accessed: 1 November 2022)</w:t>
      </w:r>
    </w:p>
    <w:p w14:paraId="7A7932E6"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3 (2021) </w:t>
      </w:r>
      <w:r w:rsidRPr="00A84DDA">
        <w:rPr>
          <w:rFonts w:ascii="Arial" w:hAnsi="Arial" w:cs="Arial"/>
          <w:i/>
          <w:iCs/>
          <w:sz w:val="24"/>
          <w:szCs w:val="24"/>
        </w:rPr>
        <w:t>Standard Conditions of Sale 5</w:t>
      </w:r>
      <w:r w:rsidRPr="00A84DDA">
        <w:rPr>
          <w:rFonts w:ascii="Arial" w:hAnsi="Arial" w:cs="Arial"/>
          <w:i/>
          <w:iCs/>
          <w:sz w:val="24"/>
          <w:szCs w:val="24"/>
          <w:vertAlign w:val="superscript"/>
        </w:rPr>
        <w:t>th</w:t>
      </w:r>
      <w:r w:rsidRPr="00A84DDA">
        <w:rPr>
          <w:rFonts w:ascii="Arial" w:hAnsi="Arial" w:cs="Arial"/>
          <w:i/>
          <w:iCs/>
          <w:sz w:val="24"/>
          <w:szCs w:val="24"/>
        </w:rPr>
        <w:t xml:space="preserve"> edition - 2018 revision).</w:t>
      </w:r>
      <w:r w:rsidRPr="00A84DDA">
        <w:rPr>
          <w:rFonts w:ascii="Arial" w:hAnsi="Arial" w:cs="Arial"/>
          <w:sz w:val="24"/>
          <w:szCs w:val="24"/>
        </w:rPr>
        <w:t xml:space="preserve"> Available at: </w:t>
      </w:r>
      <w:hyperlink r:id="rId27" w:history="1">
        <w:r w:rsidRPr="00A84DDA">
          <w:rPr>
            <w:rStyle w:val="Hyperlink"/>
            <w:rFonts w:ascii="Arial" w:hAnsi="Arial" w:cs="Arial"/>
            <w:sz w:val="24"/>
            <w:szCs w:val="24"/>
          </w:rPr>
          <w:t>https://www.lawsociety.org.uk/topics/property/standard-conditions-of-sale</w:t>
        </w:r>
      </w:hyperlink>
      <w:r w:rsidRPr="00A84DDA">
        <w:rPr>
          <w:rFonts w:ascii="Arial" w:hAnsi="Arial" w:cs="Arial"/>
          <w:sz w:val="24"/>
          <w:szCs w:val="24"/>
        </w:rPr>
        <w:t xml:space="preserve"> (Accessed: 2 November 2022)</w:t>
      </w:r>
    </w:p>
    <w:p w14:paraId="16A299D1"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The Law Society 4 (2019</w:t>
      </w:r>
      <w:r w:rsidRPr="00A84DDA">
        <w:rPr>
          <w:rFonts w:ascii="Arial" w:hAnsi="Arial" w:cs="Arial"/>
          <w:i/>
          <w:iCs/>
          <w:sz w:val="24"/>
          <w:szCs w:val="24"/>
        </w:rPr>
        <w:t xml:space="preserve">) Code for Completion by Post. </w:t>
      </w:r>
      <w:r w:rsidRPr="00A84DDA">
        <w:rPr>
          <w:rFonts w:ascii="Arial" w:hAnsi="Arial" w:cs="Arial"/>
          <w:sz w:val="24"/>
          <w:szCs w:val="24"/>
        </w:rPr>
        <w:t xml:space="preserve">Available at: </w:t>
      </w:r>
      <w:hyperlink r:id="rId28" w:history="1">
        <w:r w:rsidRPr="00A84DDA">
          <w:rPr>
            <w:rStyle w:val="Hyperlink"/>
            <w:rFonts w:ascii="Arial" w:hAnsi="Arial" w:cs="Arial"/>
            <w:sz w:val="24"/>
            <w:szCs w:val="24"/>
          </w:rPr>
          <w:t>https://www.lawsociety.org.uk/topics/property/code-for-completion-by-post</w:t>
        </w:r>
      </w:hyperlink>
      <w:r w:rsidRPr="00A84DDA">
        <w:rPr>
          <w:rFonts w:ascii="Arial" w:hAnsi="Arial" w:cs="Arial"/>
          <w:sz w:val="24"/>
          <w:szCs w:val="24"/>
        </w:rPr>
        <w:t xml:space="preserve"> (Accessed: 2 November 2022)</w:t>
      </w:r>
    </w:p>
    <w:p w14:paraId="76F3AEEE"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The Law Society 5 (2019</w:t>
      </w:r>
      <w:r w:rsidRPr="00A84DDA">
        <w:rPr>
          <w:rFonts w:ascii="Arial" w:hAnsi="Arial" w:cs="Arial"/>
          <w:i/>
          <w:iCs/>
          <w:sz w:val="24"/>
          <w:szCs w:val="24"/>
        </w:rPr>
        <w:t>) Formulae for exchanging contracts by telephone.</w:t>
      </w:r>
      <w:r w:rsidRPr="00A84DDA">
        <w:rPr>
          <w:rFonts w:ascii="Arial" w:hAnsi="Arial" w:cs="Arial"/>
          <w:sz w:val="24"/>
          <w:szCs w:val="24"/>
        </w:rPr>
        <w:t xml:space="preserve"> Available at: </w:t>
      </w:r>
      <w:hyperlink r:id="rId29" w:history="1">
        <w:r w:rsidRPr="00A84DDA">
          <w:rPr>
            <w:rStyle w:val="Hyperlink"/>
            <w:rFonts w:ascii="Arial" w:hAnsi="Arial" w:cs="Arial"/>
            <w:sz w:val="24"/>
            <w:szCs w:val="24"/>
          </w:rPr>
          <w:t>https://www.lawsociety.org.uk/topics/property/formulae-for-exchanging-contracts-by-telephone</w:t>
        </w:r>
      </w:hyperlink>
      <w:r w:rsidRPr="00A84DDA">
        <w:rPr>
          <w:rFonts w:ascii="Arial" w:hAnsi="Arial" w:cs="Arial"/>
          <w:sz w:val="24"/>
          <w:szCs w:val="24"/>
        </w:rPr>
        <w:t xml:space="preserve"> (Accessed: 2 November 2022)</w:t>
      </w:r>
    </w:p>
    <w:p w14:paraId="7D8ACFA7" w14:textId="77777777" w:rsidR="007D1B64" w:rsidRPr="00A84DDA" w:rsidRDefault="00000000" w:rsidP="00A84DDA">
      <w:pPr>
        <w:spacing w:line="480" w:lineRule="auto"/>
        <w:rPr>
          <w:rFonts w:ascii="Arial" w:hAnsi="Arial" w:cs="Arial"/>
          <w:sz w:val="24"/>
          <w:szCs w:val="24"/>
        </w:rPr>
      </w:pPr>
      <w:bookmarkStart w:id="12" w:name="_Hlk118795669"/>
      <w:r w:rsidRPr="00A84DDA">
        <w:rPr>
          <w:rFonts w:ascii="Arial" w:hAnsi="Arial" w:cs="Arial"/>
          <w:sz w:val="24"/>
          <w:szCs w:val="24"/>
        </w:rPr>
        <w:t>The Law Society (2020</w:t>
      </w:r>
      <w:r w:rsidRPr="00A84DDA">
        <w:rPr>
          <w:rFonts w:ascii="Arial" w:hAnsi="Arial" w:cs="Arial"/>
          <w:i/>
          <w:iCs/>
          <w:sz w:val="24"/>
          <w:szCs w:val="24"/>
        </w:rPr>
        <w:t>) Standard conditions of contract.</w:t>
      </w:r>
      <w:r w:rsidRPr="00A84DDA">
        <w:rPr>
          <w:rFonts w:ascii="Arial" w:hAnsi="Arial" w:cs="Arial"/>
          <w:sz w:val="24"/>
          <w:szCs w:val="24"/>
        </w:rPr>
        <w:t xml:space="preserve"> Available at: </w:t>
      </w:r>
      <w:hyperlink r:id="rId30" w:history="1">
        <w:r w:rsidRPr="00A84DDA">
          <w:rPr>
            <w:rStyle w:val="Hyperlink"/>
            <w:rFonts w:ascii="Arial" w:hAnsi="Arial" w:cs="Arial"/>
            <w:sz w:val="24"/>
            <w:szCs w:val="24"/>
          </w:rPr>
          <w:t>https://www.lawsociety.org.uk/about-us/legal/standard-conditions-of-contract</w:t>
        </w:r>
      </w:hyperlink>
      <w:r w:rsidRPr="00A84DDA">
        <w:rPr>
          <w:rFonts w:ascii="Arial" w:hAnsi="Arial" w:cs="Arial"/>
          <w:sz w:val="24"/>
          <w:szCs w:val="24"/>
        </w:rPr>
        <w:t xml:space="preserve"> (Accessed: 8 November 2022)</w:t>
      </w:r>
    </w:p>
    <w:p w14:paraId="514D28C9"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(2021) </w:t>
      </w:r>
      <w:r w:rsidRPr="00A84DDA">
        <w:rPr>
          <w:rFonts w:ascii="Arial" w:hAnsi="Arial" w:cs="Arial"/>
          <w:i/>
          <w:iCs/>
          <w:sz w:val="24"/>
          <w:szCs w:val="24"/>
        </w:rPr>
        <w:t>Improving the home buying and selling process.</w:t>
      </w:r>
      <w:r w:rsidRPr="00A84DDA">
        <w:rPr>
          <w:rFonts w:ascii="Arial" w:hAnsi="Arial" w:cs="Arial"/>
          <w:sz w:val="24"/>
          <w:szCs w:val="24"/>
        </w:rPr>
        <w:t xml:space="preserve"> Available at: </w:t>
      </w:r>
      <w:hyperlink r:id="rId31" w:history="1">
        <w:r w:rsidRPr="00A84DDA">
          <w:rPr>
            <w:rStyle w:val="Hyperlink"/>
            <w:rFonts w:ascii="Arial" w:hAnsi="Arial" w:cs="Arial"/>
            <w:sz w:val="24"/>
            <w:szCs w:val="24"/>
          </w:rPr>
          <w:t>https://www.lawsociety.org.uk/topics/property/improving-home-buying-selling-process</w:t>
        </w:r>
      </w:hyperlink>
      <w:r w:rsidRPr="00A84DDA">
        <w:rPr>
          <w:rFonts w:ascii="Arial" w:hAnsi="Arial" w:cs="Arial"/>
          <w:sz w:val="24"/>
          <w:szCs w:val="24"/>
        </w:rPr>
        <w:t xml:space="preserve"> (Accessed: 8 November 2022)</w:t>
      </w:r>
    </w:p>
    <w:p w14:paraId="18228F3F"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(2021) </w:t>
      </w:r>
      <w:r w:rsidRPr="00A84DDA">
        <w:rPr>
          <w:rFonts w:ascii="Arial" w:hAnsi="Arial" w:cs="Arial"/>
          <w:i/>
          <w:iCs/>
          <w:sz w:val="24"/>
          <w:szCs w:val="24"/>
        </w:rPr>
        <w:t>Standard Conditions of Sale.</w:t>
      </w:r>
      <w:r w:rsidRPr="00A84DDA">
        <w:rPr>
          <w:rFonts w:ascii="Arial" w:hAnsi="Arial" w:cs="Arial"/>
          <w:sz w:val="24"/>
          <w:szCs w:val="24"/>
        </w:rPr>
        <w:t xml:space="preserve"> Available at: </w:t>
      </w:r>
      <w:hyperlink r:id="rId32" w:history="1">
        <w:r w:rsidRPr="00A84DDA">
          <w:rPr>
            <w:rStyle w:val="Hyperlink"/>
            <w:rFonts w:ascii="Arial" w:hAnsi="Arial" w:cs="Arial"/>
            <w:sz w:val="24"/>
            <w:szCs w:val="24"/>
          </w:rPr>
          <w:t>https://www.lawsociety.org.uk/topics/property/standard-conditions-of-sale</w:t>
        </w:r>
      </w:hyperlink>
      <w:r w:rsidRPr="00A84DDA">
        <w:rPr>
          <w:rFonts w:ascii="Arial" w:hAnsi="Arial" w:cs="Arial"/>
          <w:sz w:val="24"/>
          <w:szCs w:val="24"/>
        </w:rPr>
        <w:t xml:space="preserve"> (Accessed: 8 November 2022)</w:t>
      </w:r>
    </w:p>
    <w:bookmarkEnd w:id="12"/>
    <w:p w14:paraId="00DE30C4"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lastRenderedPageBreak/>
        <w:t xml:space="preserve">The Law Society 6 (2022) </w:t>
      </w:r>
      <w:r w:rsidRPr="00A84DDA">
        <w:rPr>
          <w:rFonts w:ascii="Arial" w:hAnsi="Arial" w:cs="Arial"/>
          <w:i/>
          <w:iCs/>
          <w:sz w:val="24"/>
          <w:szCs w:val="24"/>
        </w:rPr>
        <w:t>Transaction (TA) forms.</w:t>
      </w:r>
      <w:r w:rsidRPr="00A84DDA">
        <w:rPr>
          <w:rFonts w:ascii="Arial" w:hAnsi="Arial" w:cs="Arial"/>
          <w:sz w:val="24"/>
          <w:szCs w:val="24"/>
        </w:rPr>
        <w:t xml:space="preserve"> Available at: </w:t>
      </w:r>
      <w:hyperlink r:id="rId33" w:history="1">
        <w:r w:rsidRPr="00A84DDA">
          <w:rPr>
            <w:rStyle w:val="Hyperlink"/>
            <w:rFonts w:ascii="Arial" w:hAnsi="Arial" w:cs="Arial"/>
            <w:sz w:val="24"/>
            <w:szCs w:val="24"/>
          </w:rPr>
          <w:t>https://www.lawsociety.org.uk/topics/property/transaction-forms</w:t>
        </w:r>
      </w:hyperlink>
      <w:r w:rsidRPr="00A84DDA">
        <w:rPr>
          <w:rFonts w:ascii="Arial" w:hAnsi="Arial" w:cs="Arial"/>
          <w:sz w:val="24"/>
          <w:szCs w:val="24"/>
        </w:rPr>
        <w:t xml:space="preserve"> (Accessed: 2 November 2022)</w:t>
      </w:r>
    </w:p>
    <w:p w14:paraId="6701909D"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 xml:space="preserve">The Law Society </w:t>
      </w:r>
      <w:r w:rsidRPr="00A84DDA">
        <w:rPr>
          <w:rFonts w:ascii="Arial" w:hAnsi="Arial" w:cs="Arial"/>
          <w:i/>
          <w:iCs/>
          <w:sz w:val="24"/>
          <w:szCs w:val="24"/>
        </w:rPr>
        <w:t>Conveyancing Quality Scheme.</w:t>
      </w:r>
      <w:r w:rsidRPr="00A84DDA">
        <w:rPr>
          <w:rFonts w:ascii="Arial" w:hAnsi="Arial" w:cs="Arial"/>
          <w:sz w:val="24"/>
          <w:szCs w:val="24"/>
        </w:rPr>
        <w:t xml:space="preserve"> Available at: </w:t>
      </w:r>
      <w:hyperlink r:id="rId34" w:history="1">
        <w:r w:rsidRPr="00A84DDA">
          <w:rPr>
            <w:rStyle w:val="Hyperlink"/>
            <w:rFonts w:ascii="Arial" w:hAnsi="Arial" w:cs="Arial"/>
            <w:sz w:val="24"/>
            <w:szCs w:val="24"/>
          </w:rPr>
          <w:t>https://www.lawsociety.org.uk/topics/firm-accreditations/conveyancing-quality-scheme</w:t>
        </w:r>
      </w:hyperlink>
      <w:r w:rsidRPr="00A84DDA">
        <w:rPr>
          <w:rFonts w:ascii="Arial" w:hAnsi="Arial" w:cs="Arial"/>
          <w:sz w:val="24"/>
          <w:szCs w:val="24"/>
        </w:rPr>
        <w:t xml:space="preserve"> (Accessed: 7 November 2022)</w:t>
      </w:r>
    </w:p>
    <w:p w14:paraId="4215C6D4" w14:textId="5F7DF2E4" w:rsidR="007D1B64" w:rsidRPr="00A84DDA" w:rsidRDefault="00000000" w:rsidP="00A84DDA">
      <w:pPr>
        <w:spacing w:line="480" w:lineRule="auto"/>
        <w:rPr>
          <w:rFonts w:ascii="Arial" w:hAnsi="Arial" w:cs="Arial"/>
          <w:sz w:val="24"/>
          <w:szCs w:val="24"/>
        </w:rPr>
      </w:pPr>
      <w:bookmarkStart w:id="13" w:name="_Hlk118723826"/>
      <w:r w:rsidRPr="00A84DDA">
        <w:rPr>
          <w:rFonts w:ascii="Arial" w:hAnsi="Arial" w:cs="Arial"/>
          <w:sz w:val="24"/>
          <w:szCs w:val="24"/>
        </w:rPr>
        <w:t xml:space="preserve">The Law Society (2019) </w:t>
      </w:r>
      <w:r w:rsidRPr="00A84DDA">
        <w:rPr>
          <w:rFonts w:ascii="Arial" w:hAnsi="Arial" w:cs="Arial"/>
          <w:i/>
          <w:iCs/>
          <w:sz w:val="24"/>
          <w:szCs w:val="24"/>
        </w:rPr>
        <w:t>Conveyancing Quality Scheme Core Practice Management Standards.</w:t>
      </w:r>
      <w:r w:rsidRPr="00A84DDA">
        <w:rPr>
          <w:rFonts w:ascii="Arial" w:hAnsi="Arial" w:cs="Arial"/>
          <w:sz w:val="24"/>
          <w:szCs w:val="24"/>
        </w:rPr>
        <w:t xml:space="preserve"> Available at: </w:t>
      </w:r>
      <w:hyperlink r:id="rId35" w:history="1">
        <w:r w:rsidRPr="00A84DDA">
          <w:rPr>
            <w:rStyle w:val="Hyperlink"/>
            <w:rFonts w:ascii="Arial" w:hAnsi="Arial" w:cs="Arial"/>
            <w:sz w:val="24"/>
            <w:szCs w:val="24"/>
          </w:rPr>
          <w:t>https://events.lawsociety.org.uk/uploads/files/1b32675b-9a4a-4a10-a1a4-0ba714dc704a.pdf</w:t>
        </w:r>
      </w:hyperlink>
      <w:bookmarkEnd w:id="13"/>
      <w:r w:rsidRPr="00A84DDA">
        <w:rPr>
          <w:rFonts w:ascii="Arial" w:hAnsi="Arial" w:cs="Arial"/>
          <w:sz w:val="24"/>
          <w:szCs w:val="24"/>
        </w:rPr>
        <w:t xml:space="preserve"> (Accessed: 7 November 2022)</w:t>
      </w:r>
    </w:p>
    <w:p w14:paraId="7D3CBB4D" w14:textId="77777777" w:rsidR="00AF252D" w:rsidRPr="00A84DDA" w:rsidRDefault="00AF252D" w:rsidP="00A84DDA">
      <w:pPr>
        <w:spacing w:line="480" w:lineRule="auto"/>
        <w:rPr>
          <w:rFonts w:ascii="Arial" w:hAnsi="Arial" w:cs="Arial"/>
          <w:sz w:val="24"/>
          <w:szCs w:val="24"/>
        </w:rPr>
      </w:pPr>
      <w:r w:rsidRPr="00A84DDA">
        <w:rPr>
          <w:rFonts w:ascii="Arial" w:hAnsi="Arial" w:cs="Arial"/>
          <w:sz w:val="24"/>
          <w:szCs w:val="24"/>
        </w:rPr>
        <w:t xml:space="preserve">Thomas, M. (2020) </w:t>
      </w:r>
      <w:r w:rsidRPr="00A84DDA">
        <w:rPr>
          <w:rFonts w:ascii="Arial" w:hAnsi="Arial" w:cs="Arial"/>
          <w:i/>
          <w:iCs/>
          <w:sz w:val="24"/>
          <w:szCs w:val="24"/>
        </w:rPr>
        <w:t xml:space="preserve">Blackstone’s Statues on Property Law. </w:t>
      </w:r>
      <w:r w:rsidRPr="00A84DDA">
        <w:rPr>
          <w:rFonts w:ascii="Arial" w:hAnsi="Arial" w:cs="Arial"/>
          <w:sz w:val="24"/>
          <w:szCs w:val="24"/>
        </w:rPr>
        <w:t>Oxford: Oxford University Press</w:t>
      </w:r>
    </w:p>
    <w:p w14:paraId="7DDC0870" w14:textId="77777777" w:rsidR="00AF252D" w:rsidRPr="00A84DDA" w:rsidRDefault="00AF252D" w:rsidP="00A84DDA">
      <w:pPr>
        <w:spacing w:line="480" w:lineRule="auto"/>
        <w:rPr>
          <w:rFonts w:ascii="Arial" w:hAnsi="Arial" w:cs="Arial"/>
          <w:sz w:val="24"/>
          <w:szCs w:val="24"/>
        </w:rPr>
      </w:pPr>
    </w:p>
    <w:p w14:paraId="5879989E" w14:textId="77777777" w:rsidR="007D1B64" w:rsidRPr="00A84DDA" w:rsidRDefault="007D1B64" w:rsidP="00A84DDA">
      <w:pPr>
        <w:spacing w:line="480" w:lineRule="auto"/>
        <w:rPr>
          <w:rFonts w:ascii="Arial" w:hAnsi="Arial" w:cs="Arial"/>
          <w:sz w:val="24"/>
          <w:szCs w:val="24"/>
        </w:rPr>
      </w:pPr>
    </w:p>
    <w:p w14:paraId="2A2EB163" w14:textId="77777777" w:rsidR="007D7B87" w:rsidRPr="00A84DDA" w:rsidRDefault="007D7B87" w:rsidP="00A84DDA">
      <w:pPr>
        <w:spacing w:line="480" w:lineRule="auto"/>
        <w:jc w:val="center"/>
        <w:rPr>
          <w:rFonts w:ascii="Arial" w:hAnsi="Arial" w:cs="Arial"/>
          <w:sz w:val="24"/>
          <w:szCs w:val="24"/>
        </w:rPr>
      </w:pPr>
    </w:p>
    <w:p w14:paraId="33B18D4B" w14:textId="77777777" w:rsidR="007D7B87" w:rsidRPr="00A84DDA" w:rsidRDefault="007D7B87" w:rsidP="00A84DDA">
      <w:pPr>
        <w:spacing w:line="480" w:lineRule="auto"/>
        <w:jc w:val="center"/>
        <w:rPr>
          <w:rFonts w:ascii="Arial" w:hAnsi="Arial" w:cs="Arial"/>
          <w:sz w:val="24"/>
          <w:szCs w:val="24"/>
        </w:rPr>
      </w:pPr>
    </w:p>
    <w:p w14:paraId="63202028" w14:textId="77777777" w:rsidR="007D7B87" w:rsidRPr="00A84DDA" w:rsidRDefault="007D7B87" w:rsidP="00A84DDA">
      <w:pPr>
        <w:spacing w:line="480" w:lineRule="auto"/>
        <w:jc w:val="center"/>
        <w:rPr>
          <w:rFonts w:ascii="Arial" w:hAnsi="Arial" w:cs="Arial"/>
          <w:sz w:val="24"/>
          <w:szCs w:val="24"/>
        </w:rPr>
      </w:pPr>
    </w:p>
    <w:p w14:paraId="2ADF2F09" w14:textId="77777777" w:rsidR="007D7B87" w:rsidRPr="00A84DDA" w:rsidRDefault="007D7B87" w:rsidP="00A84DDA">
      <w:pPr>
        <w:spacing w:line="480" w:lineRule="auto"/>
        <w:jc w:val="center"/>
        <w:rPr>
          <w:rFonts w:ascii="Arial" w:hAnsi="Arial" w:cs="Arial"/>
          <w:sz w:val="24"/>
          <w:szCs w:val="24"/>
        </w:rPr>
      </w:pPr>
    </w:p>
    <w:p w14:paraId="0958E1C1" w14:textId="77777777" w:rsidR="007D7B87" w:rsidRPr="00A84DDA" w:rsidRDefault="007D7B87" w:rsidP="00A84DDA">
      <w:pPr>
        <w:spacing w:line="480" w:lineRule="auto"/>
        <w:jc w:val="center"/>
        <w:rPr>
          <w:rFonts w:ascii="Arial" w:hAnsi="Arial" w:cs="Arial"/>
          <w:sz w:val="24"/>
          <w:szCs w:val="24"/>
        </w:rPr>
      </w:pPr>
    </w:p>
    <w:p w14:paraId="7BE9F134" w14:textId="77777777" w:rsidR="007D7B87" w:rsidRPr="00A84DDA" w:rsidRDefault="007D7B87" w:rsidP="00A84DDA">
      <w:pPr>
        <w:spacing w:line="480" w:lineRule="auto"/>
        <w:jc w:val="center"/>
        <w:rPr>
          <w:rFonts w:ascii="Arial" w:hAnsi="Arial" w:cs="Arial"/>
          <w:sz w:val="24"/>
          <w:szCs w:val="24"/>
        </w:rPr>
      </w:pPr>
    </w:p>
    <w:p w14:paraId="57EB476F" w14:textId="77777777" w:rsidR="007D7B87" w:rsidRPr="00A84DDA" w:rsidRDefault="007D7B87" w:rsidP="00A84DDA">
      <w:pPr>
        <w:spacing w:line="480" w:lineRule="auto"/>
        <w:jc w:val="center"/>
        <w:rPr>
          <w:rFonts w:ascii="Arial" w:hAnsi="Arial" w:cs="Arial"/>
          <w:sz w:val="24"/>
          <w:szCs w:val="24"/>
        </w:rPr>
      </w:pPr>
    </w:p>
    <w:p w14:paraId="0A5C7C2A" w14:textId="77777777" w:rsidR="007D7B87" w:rsidRPr="00A84DDA" w:rsidRDefault="007D7B87" w:rsidP="00A84DDA">
      <w:pPr>
        <w:spacing w:line="480" w:lineRule="auto"/>
        <w:jc w:val="center"/>
        <w:rPr>
          <w:rFonts w:ascii="Arial" w:hAnsi="Arial" w:cs="Arial"/>
          <w:sz w:val="24"/>
          <w:szCs w:val="24"/>
        </w:rPr>
      </w:pPr>
    </w:p>
    <w:p w14:paraId="3228D1BE" w14:textId="77777777" w:rsidR="007D7B87" w:rsidRPr="00A84DDA" w:rsidRDefault="007D7B87" w:rsidP="00A84DDA">
      <w:pPr>
        <w:spacing w:line="480" w:lineRule="auto"/>
        <w:jc w:val="center"/>
        <w:rPr>
          <w:rFonts w:ascii="Arial" w:hAnsi="Arial" w:cs="Arial"/>
          <w:sz w:val="24"/>
          <w:szCs w:val="24"/>
        </w:rPr>
      </w:pPr>
    </w:p>
    <w:p w14:paraId="0FB2C794" w14:textId="77777777" w:rsidR="007D7B87" w:rsidRPr="00A84DDA" w:rsidRDefault="007D7B87" w:rsidP="00A84DDA">
      <w:pPr>
        <w:spacing w:line="480" w:lineRule="auto"/>
        <w:jc w:val="center"/>
        <w:rPr>
          <w:rFonts w:ascii="Arial" w:hAnsi="Arial" w:cs="Arial"/>
          <w:sz w:val="24"/>
          <w:szCs w:val="24"/>
        </w:rPr>
      </w:pPr>
    </w:p>
    <w:p w14:paraId="7084B4C2" w14:textId="77777777" w:rsidR="007D7B87" w:rsidRPr="00A84DDA" w:rsidRDefault="007D7B87" w:rsidP="00A84DDA">
      <w:pPr>
        <w:spacing w:line="480" w:lineRule="auto"/>
        <w:jc w:val="center"/>
        <w:rPr>
          <w:rFonts w:ascii="Arial" w:hAnsi="Arial" w:cs="Arial"/>
          <w:sz w:val="24"/>
          <w:szCs w:val="24"/>
        </w:rPr>
      </w:pPr>
    </w:p>
    <w:p w14:paraId="52A16071" w14:textId="77777777" w:rsidR="007D7B87" w:rsidRPr="00A84DDA" w:rsidRDefault="007D7B87" w:rsidP="00A84DDA">
      <w:pPr>
        <w:spacing w:line="480" w:lineRule="auto"/>
        <w:jc w:val="center"/>
        <w:rPr>
          <w:rFonts w:ascii="Arial" w:hAnsi="Arial" w:cs="Arial"/>
          <w:sz w:val="24"/>
          <w:szCs w:val="24"/>
        </w:rPr>
      </w:pPr>
    </w:p>
    <w:p w14:paraId="091378AA" w14:textId="77777777" w:rsidR="007D7B87" w:rsidRPr="00A84DDA" w:rsidRDefault="007D7B87" w:rsidP="00A84DDA">
      <w:pPr>
        <w:spacing w:line="480" w:lineRule="auto"/>
        <w:jc w:val="center"/>
        <w:rPr>
          <w:rFonts w:ascii="Arial" w:hAnsi="Arial" w:cs="Arial"/>
          <w:sz w:val="24"/>
          <w:szCs w:val="24"/>
        </w:rPr>
      </w:pPr>
    </w:p>
    <w:p w14:paraId="280DDCCB" w14:textId="77777777" w:rsidR="007D7B87" w:rsidRPr="00A84DDA" w:rsidRDefault="007D7B87" w:rsidP="00A84DDA">
      <w:pPr>
        <w:spacing w:line="480" w:lineRule="auto"/>
        <w:jc w:val="center"/>
        <w:rPr>
          <w:rFonts w:ascii="Arial" w:hAnsi="Arial" w:cs="Arial"/>
          <w:sz w:val="24"/>
          <w:szCs w:val="24"/>
        </w:rPr>
      </w:pPr>
    </w:p>
    <w:p w14:paraId="359B595E" w14:textId="77777777" w:rsidR="007D7B87" w:rsidRPr="00A84DDA" w:rsidRDefault="007D7B87" w:rsidP="00A84DDA">
      <w:pPr>
        <w:spacing w:line="480" w:lineRule="auto"/>
        <w:jc w:val="center"/>
        <w:rPr>
          <w:rFonts w:ascii="Arial" w:hAnsi="Arial" w:cs="Arial"/>
          <w:sz w:val="24"/>
          <w:szCs w:val="24"/>
        </w:rPr>
      </w:pPr>
    </w:p>
    <w:p w14:paraId="209F610B" w14:textId="77777777" w:rsidR="007D7B87" w:rsidRPr="00A84DDA" w:rsidRDefault="007D7B87" w:rsidP="00A84DDA">
      <w:pPr>
        <w:spacing w:line="480" w:lineRule="auto"/>
        <w:jc w:val="center"/>
        <w:rPr>
          <w:rFonts w:ascii="Arial" w:hAnsi="Arial" w:cs="Arial"/>
          <w:sz w:val="24"/>
          <w:szCs w:val="24"/>
        </w:rPr>
      </w:pPr>
    </w:p>
    <w:p w14:paraId="3A1CF12B" w14:textId="77777777" w:rsidR="007D7B87" w:rsidRPr="00A84DDA" w:rsidRDefault="007D7B87" w:rsidP="00A84DDA">
      <w:pPr>
        <w:spacing w:line="480" w:lineRule="auto"/>
        <w:jc w:val="center"/>
        <w:rPr>
          <w:rFonts w:ascii="Arial" w:hAnsi="Arial" w:cs="Arial"/>
          <w:sz w:val="24"/>
          <w:szCs w:val="24"/>
        </w:rPr>
      </w:pPr>
    </w:p>
    <w:p w14:paraId="1C0E56DC" w14:textId="77777777" w:rsidR="007D7B87" w:rsidRPr="00A84DDA" w:rsidRDefault="007D7B87" w:rsidP="00A84DDA">
      <w:pPr>
        <w:spacing w:line="480" w:lineRule="auto"/>
        <w:jc w:val="center"/>
        <w:rPr>
          <w:rFonts w:ascii="Arial" w:hAnsi="Arial" w:cs="Arial"/>
          <w:sz w:val="24"/>
          <w:szCs w:val="24"/>
        </w:rPr>
      </w:pPr>
    </w:p>
    <w:p w14:paraId="0C3BB88B" w14:textId="77777777" w:rsidR="007D7B87" w:rsidRPr="00A84DDA" w:rsidRDefault="007D7B87" w:rsidP="00A84DDA">
      <w:pPr>
        <w:spacing w:line="480" w:lineRule="auto"/>
        <w:jc w:val="center"/>
        <w:rPr>
          <w:rFonts w:ascii="Arial" w:hAnsi="Arial" w:cs="Arial"/>
          <w:sz w:val="24"/>
          <w:szCs w:val="24"/>
        </w:rPr>
      </w:pPr>
    </w:p>
    <w:p w14:paraId="6CAF47E6" w14:textId="77777777" w:rsidR="007D7B87" w:rsidRPr="00A84DDA" w:rsidRDefault="007D7B87" w:rsidP="00A84DDA">
      <w:pPr>
        <w:spacing w:line="480" w:lineRule="auto"/>
        <w:jc w:val="center"/>
        <w:rPr>
          <w:rFonts w:ascii="Arial" w:hAnsi="Arial" w:cs="Arial"/>
          <w:sz w:val="24"/>
          <w:szCs w:val="24"/>
        </w:rPr>
      </w:pPr>
    </w:p>
    <w:p w14:paraId="3B72715D" w14:textId="77777777" w:rsidR="007D7B87" w:rsidRPr="00A84DDA" w:rsidRDefault="007D7B87" w:rsidP="00A84DDA">
      <w:pPr>
        <w:spacing w:line="480" w:lineRule="auto"/>
        <w:jc w:val="center"/>
        <w:rPr>
          <w:rFonts w:ascii="Arial" w:hAnsi="Arial" w:cs="Arial"/>
          <w:sz w:val="24"/>
          <w:szCs w:val="24"/>
        </w:rPr>
      </w:pPr>
    </w:p>
    <w:p w14:paraId="67622545" w14:textId="77777777" w:rsidR="007D7B87" w:rsidRPr="00A84DDA" w:rsidRDefault="007D7B87" w:rsidP="00A84DDA">
      <w:pPr>
        <w:spacing w:line="480" w:lineRule="auto"/>
        <w:jc w:val="center"/>
        <w:rPr>
          <w:rFonts w:ascii="Arial" w:hAnsi="Arial" w:cs="Arial"/>
          <w:sz w:val="24"/>
          <w:szCs w:val="24"/>
        </w:rPr>
      </w:pPr>
    </w:p>
    <w:p w14:paraId="216C63D3" w14:textId="77777777" w:rsidR="007D7B87" w:rsidRPr="00A84DDA" w:rsidRDefault="007D7B87" w:rsidP="00A84DDA">
      <w:pPr>
        <w:spacing w:line="480" w:lineRule="auto"/>
        <w:jc w:val="center"/>
        <w:rPr>
          <w:rFonts w:ascii="Arial" w:hAnsi="Arial" w:cs="Arial"/>
          <w:sz w:val="24"/>
          <w:szCs w:val="24"/>
        </w:rPr>
      </w:pPr>
    </w:p>
    <w:p w14:paraId="30F24CDB" w14:textId="77777777" w:rsidR="007D7B87" w:rsidRPr="00A84DDA" w:rsidRDefault="007D7B87" w:rsidP="00A84DDA">
      <w:pPr>
        <w:spacing w:line="480" w:lineRule="auto"/>
        <w:jc w:val="center"/>
        <w:rPr>
          <w:rFonts w:ascii="Arial" w:hAnsi="Arial" w:cs="Arial"/>
          <w:sz w:val="24"/>
          <w:szCs w:val="24"/>
        </w:rPr>
      </w:pPr>
    </w:p>
    <w:p w14:paraId="45D0CCD7" w14:textId="77777777" w:rsidR="007D7B87" w:rsidRPr="00A84DDA" w:rsidRDefault="007D7B87" w:rsidP="00A84DDA">
      <w:pPr>
        <w:spacing w:line="480" w:lineRule="auto"/>
        <w:jc w:val="center"/>
        <w:rPr>
          <w:rFonts w:ascii="Arial" w:hAnsi="Arial" w:cs="Arial"/>
          <w:sz w:val="24"/>
          <w:szCs w:val="24"/>
        </w:rPr>
      </w:pPr>
    </w:p>
    <w:p w14:paraId="560A1570" w14:textId="77777777" w:rsidR="007D7B87" w:rsidRPr="00A84DDA" w:rsidRDefault="007D7B87" w:rsidP="00A84DDA">
      <w:pPr>
        <w:spacing w:line="480" w:lineRule="auto"/>
        <w:jc w:val="center"/>
        <w:rPr>
          <w:rFonts w:ascii="Arial" w:hAnsi="Arial" w:cs="Arial"/>
          <w:sz w:val="24"/>
          <w:szCs w:val="24"/>
        </w:rPr>
      </w:pPr>
    </w:p>
    <w:p w14:paraId="4BE0CAED" w14:textId="764F29F8" w:rsidR="007D1B64" w:rsidRPr="00A84DDA" w:rsidRDefault="00000000" w:rsidP="00A84DDA">
      <w:pPr>
        <w:spacing w:line="480" w:lineRule="auto"/>
        <w:jc w:val="center"/>
        <w:rPr>
          <w:rFonts w:ascii="Arial" w:hAnsi="Arial" w:cs="Arial"/>
          <w:sz w:val="24"/>
          <w:szCs w:val="24"/>
        </w:rPr>
      </w:pPr>
      <w:r w:rsidRPr="00A84DDA">
        <w:rPr>
          <w:rFonts w:ascii="Arial" w:hAnsi="Arial" w:cs="Arial"/>
          <w:sz w:val="24"/>
          <w:szCs w:val="24"/>
        </w:rPr>
        <w:t>LEGISLATION/STATUE</w:t>
      </w:r>
    </w:p>
    <w:p w14:paraId="71896A71" w14:textId="152C15A3" w:rsidR="006E66F6" w:rsidRPr="00A84DDA" w:rsidRDefault="006E66F6" w:rsidP="00A84DDA">
      <w:pPr>
        <w:spacing w:line="480" w:lineRule="auto"/>
        <w:rPr>
          <w:rFonts w:ascii="Arial" w:hAnsi="Arial" w:cs="Arial"/>
          <w:sz w:val="24"/>
          <w:szCs w:val="24"/>
        </w:rPr>
      </w:pPr>
      <w:r w:rsidRPr="00A84DDA">
        <w:rPr>
          <w:rFonts w:ascii="Arial" w:hAnsi="Arial" w:cs="Arial"/>
          <w:sz w:val="24"/>
          <w:szCs w:val="24"/>
        </w:rPr>
        <w:lastRenderedPageBreak/>
        <w:t>Commonhold and Leasehold Reform Act 2002 (Commencement No. 1, Savings and Transactional Provisions) England) Order (SI 2002/1912)</w:t>
      </w:r>
    </w:p>
    <w:p w14:paraId="02B858D2" w14:textId="6E32B205"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t>Consumer Protection (Amendment) Regulations (SI 2014/870)</w:t>
      </w:r>
    </w:p>
    <w:p w14:paraId="199B291F" w14:textId="27199D6C" w:rsidR="001D459E" w:rsidRPr="00A84DDA" w:rsidRDefault="00000000" w:rsidP="00A84DDA">
      <w:pPr>
        <w:spacing w:line="480" w:lineRule="auto"/>
        <w:rPr>
          <w:rFonts w:ascii="Arial" w:hAnsi="Arial" w:cs="Arial"/>
          <w:sz w:val="24"/>
          <w:szCs w:val="24"/>
        </w:rPr>
      </w:pPr>
      <w:r w:rsidRPr="00A84DDA">
        <w:rPr>
          <w:rFonts w:ascii="Arial" w:hAnsi="Arial" w:cs="Arial"/>
          <w:sz w:val="24"/>
          <w:szCs w:val="24"/>
        </w:rPr>
        <w:t>Consumer Protection (Distance Selling) Regulations (SI 2000/2334)</w:t>
      </w:r>
    </w:p>
    <w:p w14:paraId="1CB901F7" w14:textId="55C46D15" w:rsidR="006E66F6" w:rsidRPr="00A84DDA" w:rsidRDefault="006E66F6" w:rsidP="00A84DDA">
      <w:pPr>
        <w:spacing w:line="480" w:lineRule="auto"/>
        <w:rPr>
          <w:rFonts w:ascii="Arial" w:hAnsi="Arial" w:cs="Arial"/>
          <w:sz w:val="24"/>
          <w:szCs w:val="24"/>
        </w:rPr>
      </w:pPr>
      <w:r w:rsidRPr="00A84DDA">
        <w:rPr>
          <w:rFonts w:ascii="Arial" w:hAnsi="Arial" w:cs="Arial"/>
          <w:sz w:val="24"/>
          <w:szCs w:val="24"/>
        </w:rPr>
        <w:t>Economic Crime (Transparency and Enforcement) Act 2022</w:t>
      </w:r>
    </w:p>
    <w:p w14:paraId="7F8F8A3F"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Financial Services and Markets Act 2000 (Regulated Activities) Order (SI 2001/544)</w:t>
      </w:r>
    </w:p>
    <w:p w14:paraId="40B787A0"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Fraud Act, 2006)</w:t>
      </w:r>
    </w:p>
    <w:p w14:paraId="5BDADEF6"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Housing (Right to Buy) Limits on Discount) (Wales) Order (SI 1999/292)</w:t>
      </w:r>
    </w:p>
    <w:p w14:paraId="79398E7F"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Housing Act 2004 (Commencement No. 4) (Wales) Order (SI 2007/305)</w:t>
      </w:r>
    </w:p>
    <w:p w14:paraId="5DAEFB27" w14:textId="3D823288" w:rsidR="006E66F6" w:rsidRPr="00A84DDA" w:rsidRDefault="006E66F6" w:rsidP="00A84DDA">
      <w:pPr>
        <w:spacing w:line="480" w:lineRule="auto"/>
        <w:rPr>
          <w:rFonts w:ascii="Arial" w:hAnsi="Arial" w:cs="Arial"/>
          <w:sz w:val="24"/>
          <w:szCs w:val="24"/>
        </w:rPr>
      </w:pPr>
      <w:r w:rsidRPr="00A84DDA">
        <w:rPr>
          <w:rFonts w:ascii="Arial" w:hAnsi="Arial" w:cs="Arial"/>
          <w:sz w:val="24"/>
          <w:szCs w:val="24"/>
        </w:rPr>
        <w:t>Land Registration Act 2002 (Transitional Provisions) No.2) Order (SI) 2003/2431)</w:t>
      </w:r>
    </w:p>
    <w:p w14:paraId="447C6791" w14:textId="236B6761"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t>Land registration Rules (SI 1925/1093)</w:t>
      </w:r>
    </w:p>
    <w:p w14:paraId="6A69C4C9" w14:textId="27C868A7"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t>Legal Service Act 2011</w:t>
      </w:r>
    </w:p>
    <w:p w14:paraId="4E63A549" w14:textId="32A60BA6" w:rsidR="006E66F6" w:rsidRPr="00A84DDA" w:rsidRDefault="006E66F6" w:rsidP="00A84DDA">
      <w:pPr>
        <w:spacing w:line="480" w:lineRule="auto"/>
        <w:rPr>
          <w:rFonts w:ascii="Arial" w:hAnsi="Arial" w:cs="Arial"/>
          <w:sz w:val="24"/>
          <w:szCs w:val="24"/>
        </w:rPr>
      </w:pPr>
      <w:r w:rsidRPr="00A84DDA">
        <w:rPr>
          <w:rFonts w:ascii="Arial" w:hAnsi="Arial" w:cs="Arial"/>
          <w:sz w:val="24"/>
          <w:szCs w:val="24"/>
        </w:rPr>
        <w:t>Money Laundering Regulations (SI 2007/2157)</w:t>
      </w:r>
    </w:p>
    <w:p w14:paraId="7ED38808" w14:textId="1D4D30B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Money Laundering and Terrorist Financing (Amendment) Regulations (SI 2019/1511)</w:t>
      </w:r>
    </w:p>
    <w:p w14:paraId="3552A7EF" w14:textId="30BED240" w:rsidR="006E66F6" w:rsidRPr="00A84DDA" w:rsidRDefault="006E66F6" w:rsidP="00A84DDA">
      <w:pPr>
        <w:spacing w:line="480" w:lineRule="auto"/>
        <w:rPr>
          <w:rFonts w:ascii="Arial" w:hAnsi="Arial" w:cs="Arial"/>
          <w:sz w:val="24"/>
          <w:szCs w:val="24"/>
        </w:rPr>
      </w:pPr>
      <w:r w:rsidRPr="00A84DDA">
        <w:rPr>
          <w:rFonts w:ascii="Arial" w:hAnsi="Arial" w:cs="Arial"/>
          <w:sz w:val="24"/>
          <w:szCs w:val="24"/>
        </w:rPr>
        <w:t>Proceeds of Crime Act 2002</w:t>
      </w:r>
    </w:p>
    <w:p w14:paraId="1416A8AC" w14:textId="246F8A5B"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Solicitors Act 1974 s 31</w:t>
      </w:r>
    </w:p>
    <w:p w14:paraId="661B9E39" w14:textId="6ACFF750"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t>S</w:t>
      </w:r>
      <w:r w:rsidRPr="00A84DDA">
        <w:rPr>
          <w:rFonts w:ascii="Arial" w:hAnsi="Arial" w:cs="Arial"/>
          <w:sz w:val="24"/>
          <w:szCs w:val="24"/>
        </w:rPr>
        <w:t xml:space="preserve">olicitors </w:t>
      </w:r>
      <w:r w:rsidRPr="00A84DDA">
        <w:rPr>
          <w:rFonts w:ascii="Arial" w:hAnsi="Arial" w:cs="Arial"/>
          <w:sz w:val="24"/>
          <w:szCs w:val="24"/>
        </w:rPr>
        <w:t>R</w:t>
      </w:r>
      <w:r w:rsidRPr="00A84DDA">
        <w:rPr>
          <w:rFonts w:ascii="Arial" w:hAnsi="Arial" w:cs="Arial"/>
          <w:sz w:val="24"/>
          <w:szCs w:val="24"/>
        </w:rPr>
        <w:t xml:space="preserve">egulation </w:t>
      </w:r>
      <w:r w:rsidRPr="00A84DDA">
        <w:rPr>
          <w:rFonts w:ascii="Arial" w:hAnsi="Arial" w:cs="Arial"/>
          <w:sz w:val="24"/>
          <w:szCs w:val="24"/>
        </w:rPr>
        <w:t>A</w:t>
      </w:r>
      <w:r w:rsidRPr="00A84DDA">
        <w:rPr>
          <w:rFonts w:ascii="Arial" w:hAnsi="Arial" w:cs="Arial"/>
          <w:sz w:val="24"/>
          <w:szCs w:val="24"/>
        </w:rPr>
        <w:t>uthority (SRA)</w:t>
      </w:r>
      <w:r w:rsidRPr="00A84DDA">
        <w:rPr>
          <w:rFonts w:ascii="Arial" w:hAnsi="Arial" w:cs="Arial"/>
          <w:sz w:val="24"/>
          <w:szCs w:val="24"/>
        </w:rPr>
        <w:t xml:space="preserve"> Code of Conduct</w:t>
      </w:r>
    </w:p>
    <w:p w14:paraId="474FA828" w14:textId="71BF8483"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t xml:space="preserve">Solicitors Regulation Authority </w:t>
      </w:r>
      <w:r w:rsidRPr="00A84DDA">
        <w:rPr>
          <w:rFonts w:ascii="Arial" w:hAnsi="Arial" w:cs="Arial"/>
          <w:sz w:val="24"/>
          <w:szCs w:val="24"/>
        </w:rPr>
        <w:t>(</w:t>
      </w:r>
      <w:r w:rsidR="006E66F6" w:rsidRPr="00A84DDA">
        <w:rPr>
          <w:rFonts w:ascii="Arial" w:hAnsi="Arial" w:cs="Arial"/>
          <w:sz w:val="24"/>
          <w:szCs w:val="24"/>
        </w:rPr>
        <w:t>SRA) Transparency</w:t>
      </w:r>
      <w:r w:rsidRPr="00A84DDA">
        <w:rPr>
          <w:rFonts w:ascii="Arial" w:hAnsi="Arial" w:cs="Arial"/>
          <w:sz w:val="24"/>
          <w:szCs w:val="24"/>
        </w:rPr>
        <w:t xml:space="preserve"> Rules</w:t>
      </w:r>
    </w:p>
    <w:p w14:paraId="44519B70"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S9 Administration of Justice Act 1985</w:t>
      </w:r>
    </w:p>
    <w:p w14:paraId="79A8863E" w14:textId="77777777" w:rsidR="001D459E" w:rsidRPr="00A84DDA" w:rsidRDefault="001D459E" w:rsidP="00A84DDA">
      <w:pPr>
        <w:spacing w:line="480" w:lineRule="auto"/>
        <w:rPr>
          <w:rFonts w:ascii="Arial" w:hAnsi="Arial" w:cs="Arial"/>
          <w:sz w:val="24"/>
          <w:szCs w:val="24"/>
        </w:rPr>
      </w:pPr>
      <w:r w:rsidRPr="00A84DDA">
        <w:rPr>
          <w:rFonts w:ascii="Arial" w:hAnsi="Arial" w:cs="Arial"/>
          <w:sz w:val="24"/>
          <w:szCs w:val="24"/>
        </w:rPr>
        <w:lastRenderedPageBreak/>
        <w:t>Unfair Terms in Consumer Contracts Regulations (SI 1999/292)</w:t>
      </w:r>
    </w:p>
    <w:p w14:paraId="4EC5144C" w14:textId="77777777" w:rsidR="001D459E" w:rsidRPr="00A84DDA" w:rsidRDefault="001D459E" w:rsidP="00A84DDA">
      <w:pPr>
        <w:spacing w:line="480" w:lineRule="auto"/>
        <w:rPr>
          <w:rFonts w:ascii="Arial" w:hAnsi="Arial" w:cs="Arial"/>
          <w:sz w:val="24"/>
          <w:szCs w:val="24"/>
        </w:rPr>
      </w:pPr>
    </w:p>
    <w:p w14:paraId="60D4D7D9" w14:textId="77777777" w:rsidR="007D1B64" w:rsidRPr="00A84DDA" w:rsidRDefault="007D1B64" w:rsidP="00A84DDA">
      <w:pPr>
        <w:spacing w:line="480" w:lineRule="auto"/>
        <w:rPr>
          <w:rFonts w:ascii="Arial" w:hAnsi="Arial" w:cs="Arial"/>
          <w:sz w:val="24"/>
          <w:szCs w:val="24"/>
        </w:rPr>
      </w:pPr>
    </w:p>
    <w:p w14:paraId="60697A58" w14:textId="77777777" w:rsidR="007D1B64" w:rsidRPr="00A84DDA" w:rsidRDefault="007D1B64" w:rsidP="00A84DDA">
      <w:pPr>
        <w:spacing w:line="480" w:lineRule="auto"/>
        <w:rPr>
          <w:rFonts w:ascii="Arial" w:hAnsi="Arial" w:cs="Arial"/>
          <w:sz w:val="24"/>
          <w:szCs w:val="24"/>
        </w:rPr>
      </w:pPr>
    </w:p>
    <w:p w14:paraId="49876BFE" w14:textId="77777777" w:rsidR="007D1B64" w:rsidRPr="00A84DDA" w:rsidRDefault="007D1B64" w:rsidP="00A84DDA">
      <w:pPr>
        <w:spacing w:line="480" w:lineRule="auto"/>
        <w:rPr>
          <w:rFonts w:ascii="Arial" w:hAnsi="Arial" w:cs="Arial"/>
          <w:sz w:val="24"/>
          <w:szCs w:val="24"/>
        </w:rPr>
      </w:pPr>
    </w:p>
    <w:p w14:paraId="54425CF4" w14:textId="77777777" w:rsidR="002D2179" w:rsidRPr="00A84DDA" w:rsidRDefault="002D2179" w:rsidP="00A84DDA">
      <w:pPr>
        <w:spacing w:line="480" w:lineRule="auto"/>
        <w:rPr>
          <w:rFonts w:ascii="Arial" w:hAnsi="Arial" w:cs="Arial"/>
          <w:sz w:val="24"/>
          <w:szCs w:val="24"/>
        </w:rPr>
      </w:pPr>
    </w:p>
    <w:p w14:paraId="6B46C9EF" w14:textId="5ED609C9" w:rsidR="007D1B64" w:rsidRPr="00A84DDA" w:rsidRDefault="00000000" w:rsidP="00A84DDA">
      <w:pPr>
        <w:spacing w:line="480" w:lineRule="auto"/>
        <w:jc w:val="center"/>
        <w:rPr>
          <w:rFonts w:ascii="Arial" w:hAnsi="Arial" w:cs="Arial"/>
          <w:sz w:val="24"/>
          <w:szCs w:val="24"/>
        </w:rPr>
      </w:pPr>
      <w:r w:rsidRPr="00A84DDA">
        <w:rPr>
          <w:rFonts w:ascii="Arial" w:hAnsi="Arial" w:cs="Arial"/>
          <w:sz w:val="24"/>
          <w:szCs w:val="24"/>
        </w:rPr>
        <w:t>CASES</w:t>
      </w:r>
    </w:p>
    <w:p w14:paraId="15BDCDCA" w14:textId="77777777" w:rsidR="007D1B64" w:rsidRPr="00A84DDA" w:rsidRDefault="00000000" w:rsidP="00A84DDA">
      <w:pPr>
        <w:spacing w:line="480" w:lineRule="auto"/>
        <w:rPr>
          <w:rFonts w:ascii="Arial" w:hAnsi="Arial" w:cs="Arial"/>
          <w:sz w:val="24"/>
          <w:szCs w:val="24"/>
        </w:rPr>
      </w:pPr>
      <w:r w:rsidRPr="00A84DDA">
        <w:rPr>
          <w:rFonts w:ascii="Arial" w:hAnsi="Arial" w:cs="Arial"/>
          <w:sz w:val="24"/>
          <w:szCs w:val="24"/>
        </w:rPr>
        <w:t>Anderson Properties Ltd v Blyth Liggins [2017] EWHC 244 (Ch)</w:t>
      </w:r>
    </w:p>
    <w:p w14:paraId="2D8C6A84" w14:textId="77777777" w:rsidR="007D1B64" w:rsidRPr="00A84DDA" w:rsidRDefault="00000000" w:rsidP="00A84DDA">
      <w:pPr>
        <w:spacing w:line="480" w:lineRule="auto"/>
        <w:rPr>
          <w:rFonts w:ascii="Arial" w:hAnsi="Arial" w:cs="Arial"/>
          <w:sz w:val="24"/>
          <w:szCs w:val="24"/>
        </w:rPr>
      </w:pPr>
      <w:bookmarkStart w:id="14" w:name="_Hlk118724435"/>
      <w:r w:rsidRPr="00A84DDA">
        <w:rPr>
          <w:rFonts w:ascii="Arial" w:hAnsi="Arial" w:cs="Arial"/>
          <w:sz w:val="24"/>
          <w:szCs w:val="24"/>
        </w:rPr>
        <w:t xml:space="preserve">Dreamer (UK) Limited v Mishcon de </w:t>
      </w:r>
      <w:proofErr w:type="spellStart"/>
      <w:r w:rsidRPr="00A84DDA">
        <w:rPr>
          <w:rFonts w:ascii="Arial" w:hAnsi="Arial" w:cs="Arial"/>
          <w:sz w:val="24"/>
          <w:szCs w:val="24"/>
        </w:rPr>
        <w:t>Reya</w:t>
      </w:r>
      <w:proofErr w:type="spellEnd"/>
      <w:r w:rsidRPr="00A84DDA">
        <w:rPr>
          <w:rFonts w:ascii="Arial" w:hAnsi="Arial" w:cs="Arial"/>
          <w:sz w:val="24"/>
          <w:szCs w:val="24"/>
        </w:rPr>
        <w:t xml:space="preserve"> [2018] ECWA </w:t>
      </w:r>
      <w:proofErr w:type="spellStart"/>
      <w:r w:rsidRPr="00A84DDA">
        <w:rPr>
          <w:rFonts w:ascii="Arial" w:hAnsi="Arial" w:cs="Arial"/>
          <w:sz w:val="24"/>
          <w:szCs w:val="24"/>
        </w:rPr>
        <w:t>Civ</w:t>
      </w:r>
      <w:proofErr w:type="spellEnd"/>
      <w:r w:rsidRPr="00A84DDA">
        <w:rPr>
          <w:rFonts w:ascii="Arial" w:hAnsi="Arial" w:cs="Arial"/>
          <w:sz w:val="24"/>
          <w:szCs w:val="24"/>
        </w:rPr>
        <w:t xml:space="preserve"> 1082</w:t>
      </w:r>
    </w:p>
    <w:p w14:paraId="7EDF2344" w14:textId="77777777" w:rsidR="007D1B64" w:rsidRPr="00A84DDA" w:rsidRDefault="00000000" w:rsidP="00A84DDA">
      <w:pPr>
        <w:spacing w:line="480" w:lineRule="auto"/>
        <w:rPr>
          <w:rFonts w:ascii="Arial" w:hAnsi="Arial" w:cs="Arial"/>
          <w:sz w:val="24"/>
          <w:szCs w:val="24"/>
        </w:rPr>
      </w:pPr>
      <w:bookmarkStart w:id="15" w:name="_Hlk118724504"/>
      <w:bookmarkEnd w:id="14"/>
      <w:r w:rsidRPr="00A84DDA">
        <w:rPr>
          <w:rFonts w:ascii="Arial" w:hAnsi="Arial" w:cs="Arial"/>
          <w:sz w:val="24"/>
          <w:szCs w:val="24"/>
        </w:rPr>
        <w:t xml:space="preserve">P&amp;P Property Limited v Owen White &amp; Catlin LLP [2018] ECWA </w:t>
      </w:r>
      <w:proofErr w:type="spellStart"/>
      <w:r w:rsidRPr="00A84DDA">
        <w:rPr>
          <w:rFonts w:ascii="Arial" w:hAnsi="Arial" w:cs="Arial"/>
          <w:sz w:val="24"/>
          <w:szCs w:val="24"/>
        </w:rPr>
        <w:t>Civ</w:t>
      </w:r>
      <w:proofErr w:type="spellEnd"/>
      <w:r w:rsidRPr="00A84DDA">
        <w:rPr>
          <w:rFonts w:ascii="Arial" w:hAnsi="Arial" w:cs="Arial"/>
          <w:sz w:val="24"/>
          <w:szCs w:val="24"/>
        </w:rPr>
        <w:t xml:space="preserve"> 1082</w:t>
      </w:r>
    </w:p>
    <w:bookmarkEnd w:id="15"/>
    <w:p w14:paraId="5158D553" w14:textId="77777777" w:rsidR="007D1B64" w:rsidRPr="00A84DDA" w:rsidRDefault="00000000" w:rsidP="00A84DDA">
      <w:pPr>
        <w:spacing w:line="480" w:lineRule="auto"/>
        <w:rPr>
          <w:rFonts w:ascii="Arial" w:hAnsi="Arial" w:cs="Arial"/>
          <w:sz w:val="24"/>
          <w:szCs w:val="24"/>
        </w:rPr>
      </w:pPr>
      <w:proofErr w:type="spellStart"/>
      <w:r w:rsidRPr="00A84DDA">
        <w:rPr>
          <w:rFonts w:ascii="Arial" w:hAnsi="Arial" w:cs="Arial"/>
          <w:sz w:val="24"/>
          <w:szCs w:val="24"/>
        </w:rPr>
        <w:t>Purrunsing</w:t>
      </w:r>
      <w:proofErr w:type="spellEnd"/>
      <w:r w:rsidRPr="00A84DDA">
        <w:rPr>
          <w:rFonts w:ascii="Arial" w:hAnsi="Arial" w:cs="Arial"/>
          <w:sz w:val="24"/>
          <w:szCs w:val="24"/>
        </w:rPr>
        <w:t xml:space="preserve"> v </w:t>
      </w:r>
      <w:proofErr w:type="spellStart"/>
      <w:r w:rsidRPr="00A84DDA">
        <w:rPr>
          <w:rFonts w:ascii="Arial" w:hAnsi="Arial" w:cs="Arial"/>
          <w:sz w:val="24"/>
          <w:szCs w:val="24"/>
        </w:rPr>
        <w:t>A’Court</w:t>
      </w:r>
      <w:proofErr w:type="spellEnd"/>
      <w:r w:rsidRPr="00A84DDA">
        <w:rPr>
          <w:rFonts w:ascii="Arial" w:hAnsi="Arial" w:cs="Arial"/>
          <w:sz w:val="24"/>
          <w:szCs w:val="24"/>
        </w:rPr>
        <w:t xml:space="preserve"> &amp; Co v Anor [2016] EWCH 789 (Ch)</w:t>
      </w:r>
    </w:p>
    <w:p w14:paraId="57FCA11A" w14:textId="77777777" w:rsidR="007D1B64" w:rsidRPr="00A84DDA" w:rsidRDefault="007D1B64" w:rsidP="00A84DDA">
      <w:pPr>
        <w:spacing w:line="480" w:lineRule="auto"/>
        <w:jc w:val="both"/>
        <w:rPr>
          <w:rFonts w:ascii="Arial" w:hAnsi="Arial" w:cs="Arial"/>
          <w:sz w:val="24"/>
          <w:szCs w:val="24"/>
        </w:rPr>
      </w:pPr>
    </w:p>
    <w:p w14:paraId="11BD3505" w14:textId="77777777" w:rsidR="007D1B64" w:rsidRPr="00A84DDA" w:rsidRDefault="007D1B64" w:rsidP="00A84DDA">
      <w:pPr>
        <w:spacing w:line="480" w:lineRule="auto"/>
        <w:jc w:val="both"/>
        <w:rPr>
          <w:rFonts w:ascii="Arial" w:hAnsi="Arial" w:cs="Arial"/>
          <w:sz w:val="24"/>
          <w:szCs w:val="24"/>
        </w:rPr>
      </w:pPr>
    </w:p>
    <w:bookmarkEnd w:id="0"/>
    <w:p w14:paraId="62390D5B" w14:textId="77777777" w:rsidR="007D1B64" w:rsidRPr="00A84DDA" w:rsidRDefault="007D1B64" w:rsidP="00A84DDA">
      <w:pPr>
        <w:spacing w:line="480" w:lineRule="auto"/>
        <w:jc w:val="both"/>
        <w:rPr>
          <w:rFonts w:ascii="Arial" w:hAnsi="Arial" w:cs="Arial"/>
          <w:color w:val="26282A"/>
          <w:sz w:val="24"/>
          <w:szCs w:val="24"/>
          <w:shd w:val="clear" w:color="auto" w:fill="FFFFFF"/>
        </w:rPr>
      </w:pPr>
    </w:p>
    <w:sectPr w:rsidR="007D1B64" w:rsidRPr="00A84DDA">
      <w:footerReference w:type="default" r:id="rId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7F5A0" w14:textId="77777777" w:rsidR="00A3072F" w:rsidRDefault="00A3072F">
      <w:pPr>
        <w:spacing w:after="0"/>
      </w:pPr>
      <w:r>
        <w:separator/>
      </w:r>
    </w:p>
  </w:endnote>
  <w:endnote w:type="continuationSeparator" w:id="0">
    <w:p w14:paraId="34F1976C" w14:textId="77777777" w:rsidR="00A3072F" w:rsidRDefault="00A3072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16336"/>
      <w:docPartObj>
        <w:docPartGallery w:val="Page Numbers (Bottom of Page)"/>
        <w:docPartUnique/>
      </w:docPartObj>
    </w:sdtPr>
    <w:sdtEndPr>
      <w:rPr>
        <w:noProof/>
      </w:rPr>
    </w:sdtEndPr>
    <w:sdtContent>
      <w:p w14:paraId="2B252234" w14:textId="2A0E5FEF" w:rsidR="00A84DDA" w:rsidRDefault="00A84D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0BC9C" w14:textId="77777777" w:rsidR="00A84DDA" w:rsidRDefault="00A84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88658" w14:textId="77777777" w:rsidR="00A3072F" w:rsidRDefault="00A3072F">
      <w:pPr>
        <w:spacing w:after="0"/>
      </w:pPr>
      <w:r>
        <w:rPr>
          <w:color w:val="000000"/>
        </w:rPr>
        <w:separator/>
      </w:r>
    </w:p>
  </w:footnote>
  <w:footnote w:type="continuationSeparator" w:id="0">
    <w:p w14:paraId="0F27B675" w14:textId="77777777" w:rsidR="00A3072F" w:rsidRDefault="00A3072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B64"/>
    <w:rsid w:val="00093717"/>
    <w:rsid w:val="001D1253"/>
    <w:rsid w:val="001D459E"/>
    <w:rsid w:val="00203498"/>
    <w:rsid w:val="00261AFA"/>
    <w:rsid w:val="002D2179"/>
    <w:rsid w:val="00302E2B"/>
    <w:rsid w:val="005B4331"/>
    <w:rsid w:val="005D0CA1"/>
    <w:rsid w:val="005F1E0A"/>
    <w:rsid w:val="005F4A9F"/>
    <w:rsid w:val="006E66F6"/>
    <w:rsid w:val="007D1B64"/>
    <w:rsid w:val="007D7B87"/>
    <w:rsid w:val="00847086"/>
    <w:rsid w:val="00A3072F"/>
    <w:rsid w:val="00A84DDA"/>
    <w:rsid w:val="00AC66D3"/>
    <w:rsid w:val="00AD732F"/>
    <w:rsid w:val="00AF252D"/>
    <w:rsid w:val="00BF6FAC"/>
    <w:rsid w:val="00C74A31"/>
    <w:rsid w:val="00E93906"/>
    <w:rsid w:val="00FA675F"/>
    <w:rsid w:val="00FF5F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D54DD"/>
  <w15:docId w15:val="{6C2A4FB8-4D93-4365-8B7D-E480F9DD9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awgazette.co.uk/news/no-more-tolerance-for-paper-based-conveyancing/5105067.article" TargetMode="External"/><Relationship Id="rId13" Type="http://schemas.openxmlformats.org/officeDocument/2006/relationships/hyperlink" Target="https://www.gov.uk/government/news/new-vision-for-a-world-leading-digital-property-market" TargetMode="External"/><Relationship Id="rId18" Type="http://schemas.openxmlformats.org/officeDocument/2006/relationships/hyperlink" Target="https://assets.publishing.service.gov.uk/government/uploads/system/uploads/attachment_data/file/929903/HMLR_ARAC_2020_REPORT_WEB.pdf" TargetMode="External"/><Relationship Id="rId26" Type="http://schemas.openxmlformats.org/officeDocument/2006/relationships/hyperlink" Target="https://communities,lawsociety.org.uk/property-news/new-conveyancing-protocols-published/6000146.article" TargetMode="External"/><Relationship Id="rId3" Type="http://schemas.openxmlformats.org/officeDocument/2006/relationships/webSettings" Target="webSettings.xml"/><Relationship Id="rId21" Type="http://schemas.openxmlformats.org/officeDocument/2006/relationships/hyperlink" Target="https://www.sra.org.uk/solicitors/standards-regulations/transparency-rules/" TargetMode="External"/><Relationship Id="rId34" Type="http://schemas.openxmlformats.org/officeDocument/2006/relationships/hyperlink" Target="https://www.lawsociety.org.uk/topics/firm-accreditations/conveyancing-quality-scheme" TargetMode="External"/><Relationship Id="rId7" Type="http://schemas.openxmlformats.org/officeDocument/2006/relationships/hyperlink" Target="https://communities.lawsociety.org.uk/september-2016/sailing-through/5057402.article" TargetMode="External"/><Relationship Id="rId12" Type="http://schemas.openxmlformats.org/officeDocument/2006/relationships/hyperlink" Target="https://www.gov.uk/guidance/hm-land-registry-registration-services-fees" TargetMode="External"/><Relationship Id="rId17" Type="http://schemas.openxmlformats.org/officeDocument/2006/relationships/hyperlink" Target="https://assets.publishing.service.gov.uk/government/uploads/system/uploads/attachment_data/file/697939/Improving_the_home_buying_and_selling_process_response.pdf" TargetMode="External"/><Relationship Id="rId25" Type="http://schemas.openxmlformats.org/officeDocument/2006/relationships/hyperlink" Target="https://www.lawsociety.org.uk/topics/property/code-for-completion-by-post" TargetMode="External"/><Relationship Id="rId33" Type="http://schemas.openxmlformats.org/officeDocument/2006/relationships/hyperlink" Target="https://www.lawsociety.org.uk/topics/property/transaction-forms"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v.uk/government/consultations/improving-the-home-buying-and-selling-process-call-for-evidence" TargetMode="External"/><Relationship Id="rId20" Type="http://schemas.openxmlformats.org/officeDocument/2006/relationships/hyperlink" Target="https://www.sra.org.uk/solicitors/standards-regulations/code-conduct-solicitors/" TargetMode="External"/><Relationship Id="rId29" Type="http://schemas.openxmlformats.org/officeDocument/2006/relationships/hyperlink" Target="https://www.lawsociety.org.uk/topics/property/formulae-for-exchanging-contracts-by-telephone" TargetMode="External"/><Relationship Id="rId1" Type="http://schemas.openxmlformats.org/officeDocument/2006/relationships/styles" Target="styles.xml"/><Relationship Id="rId6" Type="http://schemas.openxmlformats.org/officeDocument/2006/relationships/hyperlink" Target="https://communities.lawsociety.org.uk/property-commentary/the-revised-code-for-completion-by-post-whats-changed/5067772.article" TargetMode="External"/><Relationship Id="rId11" Type="http://schemas.openxmlformats.org/officeDocument/2006/relationships/hyperlink" Target="https://www.gov.uk/buy-sell-your-home" TargetMode="External"/><Relationship Id="rId24" Type="http://schemas.openxmlformats.org/officeDocument/2006/relationships/hyperlink" Target="file:///C:\Users\2018882\Downloads\conveyancing-protocol-2019%20(1).pdf" TargetMode="External"/><Relationship Id="rId32" Type="http://schemas.openxmlformats.org/officeDocument/2006/relationships/hyperlink" Target="https://www.lawsociety.org.uk/topics/property/standard-conditions-of-sale"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lexisnexis.co.uk/legal/guidance/the-law-societys-conveyancing-protocol" TargetMode="External"/><Relationship Id="rId23" Type="http://schemas.openxmlformats.org/officeDocument/2006/relationships/hyperlink" Target="https://no-flies.co.uk/wp-content/uploads/2013/04/cqs-protocol.pdf" TargetMode="External"/><Relationship Id="rId28" Type="http://schemas.openxmlformats.org/officeDocument/2006/relationships/hyperlink" Target="https://www.lawsociety.org.uk/topics/property/code-for-completion-by-post" TargetMode="External"/><Relationship Id="rId36" Type="http://schemas.openxmlformats.org/officeDocument/2006/relationships/footer" Target="footer1.xml"/><Relationship Id="rId10" Type="http://schemas.openxmlformats.org/officeDocument/2006/relationships/hyperlink" Target="https://www.lawgazette.co.uk/news/personal-data-compromised-in-conveyancing-it-crash/5113811.article" TargetMode="External"/><Relationship Id="rId19" Type="http://schemas.openxmlformats.org/officeDocument/2006/relationships/hyperlink" Target="https://www.lawgazette.co.uk/features/law-society-spotlight-cqs-arrives-on-a-new-platform/5114039.article" TargetMode="External"/><Relationship Id="rId31" Type="http://schemas.openxmlformats.org/officeDocument/2006/relationships/hyperlink" Target="https://www.lawsociety.org.uk/topics/property/improving-home-buying-selling-process" TargetMode="External"/><Relationship Id="rId4" Type="http://schemas.openxmlformats.org/officeDocument/2006/relationships/footnotes" Target="footnotes.xml"/><Relationship Id="rId9" Type="http://schemas.openxmlformats.org/officeDocument/2006/relationships/hyperlink" Target="https://www.lawgazette.co.uk/practice/conveyancing-giant-suffers-it-security-incident/5110499.article" TargetMode="External"/><Relationship Id="rId14" Type="http://schemas.openxmlformats.org/officeDocument/2006/relationships/hyperlink" Target="https://commonslibrary.parliament.uk/leasehold-reform-in-england-and-wales/" TargetMode="External"/><Relationship Id="rId22" Type="http://schemas.openxmlformats.org/officeDocument/2006/relationships/hyperlink" Target="https://www.clc.uk.org/wp-content/uploads/2018/06/180511-CLC-response-TLS-National-Protocol.pdf" TargetMode="External"/><Relationship Id="rId27" Type="http://schemas.openxmlformats.org/officeDocument/2006/relationships/hyperlink" Target="https://www.lawsociety.org.uk/topics/property/standard-conditions-of-sale" TargetMode="External"/><Relationship Id="rId30" Type="http://schemas.openxmlformats.org/officeDocument/2006/relationships/hyperlink" Target="https://www.lawsociety.org.uk/about-us/legal/standard-conditions-of-contract" TargetMode="External"/><Relationship Id="rId35" Type="http://schemas.openxmlformats.org/officeDocument/2006/relationships/hyperlink" Target="https://events.lawsociety.org.uk/uploads/files/1b32675b-9a4a-4a10-a1a4-0ba714dc704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20</Pages>
  <Words>4473</Words>
  <Characters>25498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Olaniyan (2018882)</dc:creator>
  <dc:description/>
  <cp:lastModifiedBy>Funmilayo Olaniyan (2018882)</cp:lastModifiedBy>
  <cp:revision>11</cp:revision>
  <dcterms:created xsi:type="dcterms:W3CDTF">2022-11-08T11:39:00Z</dcterms:created>
  <dcterms:modified xsi:type="dcterms:W3CDTF">2022-11-25T23:14:00Z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737d2013-9fe9-4f7c-965f-5958b46b0c27</vt:lpwstr>
  </property>
</Properties>
</file>