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eastAsiaTheme="minorHAnsi"/>
          <w:color w:val="4472C4" w:themeColor="accent1"/>
          <w:lang w:val="en-GB"/>
        </w:rPr>
        <w:id w:val="786154815"/>
        <w:docPartObj>
          <w:docPartGallery w:val="Cover Pages"/>
          <w:docPartUnique/>
        </w:docPartObj>
      </w:sdtPr>
      <w:sdtEndPr>
        <w:rPr>
          <w:color w:val="auto"/>
        </w:rPr>
      </w:sdtEndPr>
      <w:sdtContent>
        <w:p w14:paraId="1BA6DD1D" w14:textId="08A0AF31" w:rsidR="000E671C" w:rsidRDefault="000E671C">
          <w:pPr>
            <w:pStyle w:val="NoSpacing"/>
            <w:spacing w:before="1540" w:after="240"/>
            <w:jc w:val="center"/>
            <w:rPr>
              <w:color w:val="4472C4" w:themeColor="accent1"/>
            </w:rPr>
          </w:pPr>
          <w:r>
            <w:rPr>
              <w:noProof/>
              <w:color w:val="4472C4" w:themeColor="accent1"/>
              <w:lang w:val="en-GB" w:eastAsia="en-GB"/>
            </w:rPr>
            <w:drawing>
              <wp:inline distT="0" distB="0" distL="0" distR="0" wp14:anchorId="5E7F88DC" wp14:editId="5DB2519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D95EFA0C877453D9F42178D6DBBBE8A"/>
            </w:placeholder>
            <w:dataBinding w:prefixMappings="xmlns:ns0='http://purl.org/dc/elements/1.1/' xmlns:ns1='http://schemas.openxmlformats.org/package/2006/metadata/core-properties' " w:xpath="/ns1:coreProperties[1]/ns0:title[1]" w:storeItemID="{6C3C8BC8-F283-45AE-878A-BAB7291924A1}"/>
            <w:text/>
          </w:sdtPr>
          <w:sdtEndPr/>
          <w:sdtContent>
            <w:p w14:paraId="44A5C992" w14:textId="3C76FAA2" w:rsidR="000E671C" w:rsidRPr="00BC3373" w:rsidRDefault="00BC3373" w:rsidP="00BC337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BC3373">
                <w:rPr>
                  <w:rFonts w:asciiTheme="majorHAnsi" w:eastAsiaTheme="majorEastAsia" w:hAnsiTheme="majorHAnsi" w:cstheme="majorBidi"/>
                  <w:caps/>
                  <w:color w:val="4472C4" w:themeColor="accent1"/>
                  <w:sz w:val="72"/>
                  <w:szCs w:val="72"/>
                </w:rPr>
                <w:t xml:space="preserve">REFORM OF NON-FATAL OFFENCES AGAINST THE </w:t>
              </w:r>
              <w:r w:rsidR="007444DA">
                <w:rPr>
                  <w:rFonts w:asciiTheme="majorHAnsi" w:eastAsiaTheme="majorEastAsia" w:hAnsiTheme="majorHAnsi" w:cstheme="majorBidi"/>
                  <w:caps/>
                  <w:color w:val="4472C4" w:themeColor="accent1"/>
                  <w:sz w:val="72"/>
                  <w:szCs w:val="72"/>
                </w:rPr>
                <w:t>person</w:t>
              </w:r>
            </w:p>
          </w:sdtContent>
        </w:sdt>
        <w:p w14:paraId="2732AF65" w14:textId="77777777" w:rsidR="000E671C" w:rsidRDefault="000E671C">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1CF0D663" wp14:editId="5E5D673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04T00:00:00Z">
                                    <w:dateFormat w:val="MMMM d, yyyy"/>
                                    <w:lid w:val="en-US"/>
                                    <w:storeMappedDataAs w:val="dateTime"/>
                                    <w:calendar w:val="gregorian"/>
                                  </w:date>
                                </w:sdtPr>
                                <w:sdtEndPr/>
                                <w:sdtContent>
                                  <w:p w14:paraId="1C639781" w14:textId="5238B162" w:rsidR="000E671C" w:rsidRDefault="0087290D">
                                    <w:pPr>
                                      <w:pStyle w:val="NoSpacing"/>
                                      <w:spacing w:after="40"/>
                                      <w:jc w:val="center"/>
                                      <w:rPr>
                                        <w:caps/>
                                        <w:color w:val="4472C4" w:themeColor="accent1"/>
                                        <w:sz w:val="28"/>
                                        <w:szCs w:val="28"/>
                                      </w:rPr>
                                    </w:pPr>
                                    <w:r>
                                      <w:rPr>
                                        <w:caps/>
                                        <w:color w:val="4472C4" w:themeColor="accent1"/>
                                        <w:sz w:val="28"/>
                                        <w:szCs w:val="28"/>
                                      </w:rPr>
                                      <w:t>April 4, 2021</w:t>
                                    </w:r>
                                  </w:p>
                                </w:sdtContent>
                              </w:sdt>
                              <w:p w14:paraId="33B80429" w14:textId="0FCF52AE" w:rsidR="000E671C" w:rsidRDefault="00434F7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7290D">
                                      <w:rPr>
                                        <w:caps/>
                                        <w:color w:val="4472C4" w:themeColor="accent1"/>
                                      </w:rPr>
                                      <w:t>sophie clARE EVANS</w:t>
                                    </w:r>
                                  </w:sdtContent>
                                </w:sdt>
                              </w:p>
                              <w:p w14:paraId="358459A2" w14:textId="506321D8" w:rsidR="000E671C" w:rsidRDefault="00434F7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444D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w14:anchorId="1CF0D663">
                    <v:stroke joinstyle="miter"/>
                    <v:path gradientshapeok="t" o:connecttype="rect"/>
                  </v:shapetype>
                  <v:shape id="Text Box 14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04T00:00:00Z">
                              <w:dateFormat w:val="MMMM d, yyyy"/>
                              <w:lid w:val="en-US"/>
                              <w:storeMappedDataAs w:val="dateTime"/>
                              <w:calendar w:val="gregorian"/>
                            </w:date>
                          </w:sdtPr>
                          <w:sdtContent>
                            <w:p w:rsidR="000E671C" w:rsidRDefault="0087290D" w14:paraId="1C639781" w14:textId="5238B162">
                              <w:pPr>
                                <w:pStyle w:val="NoSpacing"/>
                                <w:spacing w:after="40"/>
                                <w:jc w:val="center"/>
                                <w:rPr>
                                  <w:caps/>
                                  <w:color w:val="4472C4" w:themeColor="accent1"/>
                                  <w:sz w:val="28"/>
                                  <w:szCs w:val="28"/>
                                </w:rPr>
                              </w:pPr>
                              <w:r>
                                <w:rPr>
                                  <w:caps/>
                                  <w:color w:val="4472C4" w:themeColor="accent1"/>
                                  <w:sz w:val="28"/>
                                  <w:szCs w:val="28"/>
                                </w:rPr>
                                <w:t>April 4, 2021</w:t>
                              </w:r>
                            </w:p>
                          </w:sdtContent>
                        </w:sdt>
                        <w:p w:rsidR="000E671C" w:rsidRDefault="000E671C" w14:paraId="33B80429" w14:textId="0FCF52A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7290D">
                                <w:rPr>
                                  <w:caps/>
                                  <w:color w:val="4472C4" w:themeColor="accent1"/>
                                </w:rPr>
                                <w:t>sophie clARE EVANS</w:t>
                              </w:r>
                            </w:sdtContent>
                          </w:sdt>
                        </w:p>
                        <w:p w:rsidR="000E671C" w:rsidRDefault="000E671C" w14:paraId="358459A2" w14:textId="506321D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444DA">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404D54E4" wp14:editId="71BE733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423482" w14:textId="0CE430CD" w:rsidR="000E671C" w:rsidRDefault="000E671C">
          <w:r>
            <w:br w:type="page"/>
          </w:r>
        </w:p>
      </w:sdtContent>
    </w:sdt>
    <w:p w14:paraId="236D6112" w14:textId="459618CC" w:rsidR="00E77635" w:rsidRDefault="0098408A" w:rsidP="001E560A">
      <w:r>
        <w:lastRenderedPageBreak/>
        <w:t>The aim of the re</w:t>
      </w:r>
      <w:r w:rsidR="00851312">
        <w:t xml:space="preserve">searcher is to find out if </w:t>
      </w:r>
      <w:r w:rsidR="00FB021F">
        <w:t>non-fatal</w:t>
      </w:r>
      <w:r w:rsidR="00851312">
        <w:t xml:space="preserve"> </w:t>
      </w:r>
      <w:r w:rsidR="00FB021F">
        <w:t>offences against</w:t>
      </w:r>
      <w:r w:rsidR="00715D22">
        <w:t xml:space="preserve"> the person is still fit for purpose or in need of </w:t>
      </w:r>
      <w:r w:rsidR="009022B4">
        <w:t>reform</w:t>
      </w:r>
      <w:r w:rsidR="00385D8A">
        <w:t xml:space="preserve">. </w:t>
      </w:r>
      <w:r w:rsidR="00F31340" w:rsidRPr="00F31340">
        <w:t xml:space="preserve">The Law Commission and the Home Office have attempted to discuss </w:t>
      </w:r>
      <w:r w:rsidR="00D24A8B">
        <w:t>(</w:t>
      </w:r>
      <w:r w:rsidR="00F31340" w:rsidRPr="00F31340">
        <w:t>OAPA</w:t>
      </w:r>
      <w:r w:rsidR="005077AC">
        <w:t xml:space="preserve">) </w:t>
      </w:r>
      <w:r w:rsidR="00F31340" w:rsidRPr="00F31340">
        <w:t xml:space="preserve">reform for over a decade. However, there has been relative silence on this issue from the Ministry of Justice. There is political difficulty which </w:t>
      </w:r>
      <w:r w:rsidR="005077AC" w:rsidRPr="00F31340">
        <w:t>certainly</w:t>
      </w:r>
      <w:r w:rsidR="00F31340" w:rsidRPr="00F31340">
        <w:t xml:space="preserve"> surrounds any reform of the Criminal Law and others less </w:t>
      </w:r>
      <w:r w:rsidR="003D4137" w:rsidRPr="00F31340">
        <w:t>excited</w:t>
      </w:r>
      <w:r w:rsidR="00F31340" w:rsidRPr="00F31340">
        <w:t xml:space="preserve"> by reform are discussed. However, it is in the public interest that the piece of legislation affecting the lives of many is efficient and does not </w:t>
      </w:r>
      <w:r w:rsidR="00852FAB" w:rsidRPr="00F31340">
        <w:t>isolate</w:t>
      </w:r>
      <w:r w:rsidR="00F31340" w:rsidRPr="00F31340">
        <w:t xml:space="preserve"> anyone to whom it is </w:t>
      </w:r>
      <w:r w:rsidR="00734D8B" w:rsidRPr="00F31340">
        <w:t>relevant</w:t>
      </w:r>
      <w:r w:rsidR="00F31340" w:rsidRPr="00F31340">
        <w:t xml:space="preserve">. </w:t>
      </w:r>
      <w:r w:rsidR="007B707B" w:rsidRPr="007B707B">
        <w:t xml:space="preserve">The police, judiciary and practitioners all believe that urgent reform would </w:t>
      </w:r>
      <w:r w:rsidR="00734D8B" w:rsidRPr="007B707B">
        <w:t>boost</w:t>
      </w:r>
      <w:r w:rsidR="007B707B" w:rsidRPr="007B707B">
        <w:t xml:space="preserve"> much-needed </w:t>
      </w:r>
      <w:r w:rsidR="00852FAB" w:rsidRPr="007B707B">
        <w:t>effectiveness</w:t>
      </w:r>
      <w:r w:rsidR="007B707B" w:rsidRPr="007B707B">
        <w:t xml:space="preserve">. The Law Commission consulted with a </w:t>
      </w:r>
      <w:r w:rsidR="001F3D5E" w:rsidRPr="007B707B">
        <w:t>range</w:t>
      </w:r>
      <w:r w:rsidR="007B707B" w:rsidRPr="007B707B">
        <w:t xml:space="preserve"> of </w:t>
      </w:r>
      <w:r w:rsidR="001F3D5E" w:rsidRPr="007B707B">
        <w:t>people</w:t>
      </w:r>
      <w:r w:rsidR="007B707B" w:rsidRPr="007B707B">
        <w:t xml:space="preserve"> involved in the criminal justice system to assess the general support for change. Eighty-eight per cent agreed that the</w:t>
      </w:r>
      <w:r w:rsidR="0092660B">
        <w:t xml:space="preserve"> (</w:t>
      </w:r>
      <w:r w:rsidR="007B707B" w:rsidRPr="007B707B">
        <w:t>OAPA</w:t>
      </w:r>
      <w:r w:rsidR="001F3D5E">
        <w:t>)</w:t>
      </w:r>
      <w:r w:rsidR="007B707B" w:rsidRPr="007B707B">
        <w:t xml:space="preserve"> is in urgent need of reform</w:t>
      </w:r>
      <w:r w:rsidR="001C55C7">
        <w:t>.</w:t>
      </w:r>
      <w:r w:rsidR="007B707B">
        <w:t xml:space="preserve"> </w:t>
      </w:r>
      <w:r w:rsidR="002E10B7">
        <w:t xml:space="preserve">The most important issue with the OAPA is the unclear and </w:t>
      </w:r>
      <w:r w:rsidR="00DB5DA3">
        <w:t>inaccurate</w:t>
      </w:r>
      <w:r w:rsidR="002E10B7">
        <w:t xml:space="preserve"> </w:t>
      </w:r>
      <w:r w:rsidR="0092660B">
        <w:t>order</w:t>
      </w:r>
      <w:r w:rsidR="002E10B7">
        <w:t xml:space="preserve"> of offences.</w:t>
      </w:r>
      <w:r w:rsidR="00E77635">
        <w:t xml:space="preserve"> </w:t>
      </w:r>
    </w:p>
    <w:p w14:paraId="11ABB438" w14:textId="05A7BF83" w:rsidR="005A09C2" w:rsidRDefault="00E77635" w:rsidP="001E560A">
      <w:r>
        <w:t>The main law in dealing with violent offences is the Offences Against the Person Act 1861. It forms the basis of over 26,000 prosecutions every year. In addition, the offences of assault and battery generate over 100,000 prosecutions a year. The law has attracted a great deal of criticism, namely: the offences are not clearly classified in order of seriousness some offences relate to narrowly specialised situations, or include complex lists of situations, rather than setting out a clear principle</w:t>
      </w:r>
      <w:r w:rsidR="00993566">
        <w:t xml:space="preserve"> </w:t>
      </w:r>
      <w:r>
        <w:t>the mental element of some offences is not clearly expressed, and does not reflect the external elements of those offences</w:t>
      </w:r>
      <w:r w:rsidR="00993566">
        <w:t xml:space="preserve"> </w:t>
      </w:r>
      <w:r>
        <w:t>the language is often archaic and obscure</w:t>
      </w:r>
      <w:r w:rsidR="00993566">
        <w:t xml:space="preserve"> </w:t>
      </w:r>
      <w:r>
        <w:t>there are references to obsolete legal concepts and procedures, which are only resolved by interpretation provisions in other statutes.</w:t>
      </w:r>
      <w:r w:rsidR="00993566">
        <w:t xml:space="preserve"> </w:t>
      </w:r>
      <w:r w:rsidR="00043923">
        <w:t>Most of the law concerning offences of violence is set out in the 1861 Act. This is in</w:t>
      </w:r>
      <w:r w:rsidR="00526D2C">
        <w:t xml:space="preserve"> </w:t>
      </w:r>
      <w:r w:rsidR="00043923">
        <w:t>very old-fashioned language and hard to understand</w:t>
      </w:r>
      <w:r w:rsidR="00FF0E21">
        <w:t xml:space="preserve"> and use words th</w:t>
      </w:r>
      <w:r w:rsidR="00A30519">
        <w:t xml:space="preserve">at are no longer used in modern </w:t>
      </w:r>
      <w:r w:rsidR="00D24A8B">
        <w:t>language</w:t>
      </w:r>
      <w:r w:rsidR="00A30519">
        <w:t>.</w:t>
      </w:r>
      <w:r w:rsidR="00043923">
        <w:t xml:space="preserve"> </w:t>
      </w:r>
      <w:commentRangeStart w:id="1"/>
      <w:r w:rsidR="00043923">
        <w:t>Particular</w:t>
      </w:r>
      <w:commentRangeEnd w:id="1"/>
      <w:r w:rsidR="00A30519">
        <w:rPr>
          <w:rStyle w:val="CommentReference"/>
        </w:rPr>
        <w:commentReference w:id="1"/>
      </w:r>
      <w:r w:rsidR="00043923">
        <w:t xml:space="preserve"> points are as follows:</w:t>
      </w:r>
      <w:r w:rsidR="00C43638">
        <w:t xml:space="preserve"> </w:t>
      </w:r>
      <w:r w:rsidR="00043923">
        <w:t>the grading of the offences is not clear and is not always reflected in</w:t>
      </w:r>
      <w:r w:rsidR="00C43638">
        <w:t xml:space="preserve"> </w:t>
      </w:r>
      <w:r w:rsidR="00043923">
        <w:t>sentencing powers; for example, the offence under s 20 (“GBH”) is meant to be</w:t>
      </w:r>
      <w:r w:rsidR="00C43638">
        <w:t xml:space="preserve"> </w:t>
      </w:r>
      <w:r w:rsidR="00043923">
        <w:t>more serious than that under s 47 (“ABH”), but both have the same maximum</w:t>
      </w:r>
      <w:r w:rsidR="00C43638">
        <w:t xml:space="preserve"> </w:t>
      </w:r>
      <w:r w:rsidR="00043923">
        <w:t>sentence, 5 years</w:t>
      </w:r>
      <w:r w:rsidR="00C43638">
        <w:t>. T</w:t>
      </w:r>
      <w:r w:rsidR="00043923">
        <w:t>here are too many narrowly specialised offences, involving factual scenarios</w:t>
      </w:r>
      <w:r w:rsidR="00C43638">
        <w:t xml:space="preserve"> </w:t>
      </w:r>
      <w:r w:rsidR="00043923">
        <w:t xml:space="preserve">described in </w:t>
      </w:r>
      <w:r w:rsidR="00993566">
        <w:t>detail some</w:t>
      </w:r>
      <w:r w:rsidR="00043923">
        <w:t xml:space="preserve"> of these are of rare occurrence and almost all</w:t>
      </w:r>
      <w:r w:rsidR="00C43638">
        <w:t xml:space="preserve"> </w:t>
      </w:r>
      <w:r w:rsidR="00043923">
        <w:t>are covered by more general offences in any case</w:t>
      </w:r>
      <w:r w:rsidR="00C43638">
        <w:t>. T</w:t>
      </w:r>
      <w:r w:rsidR="00043923">
        <w:t>he same section often describes many alternative ways of committing an</w:t>
      </w:r>
      <w:r w:rsidR="00C43638">
        <w:t xml:space="preserve"> </w:t>
      </w:r>
      <w:r w:rsidR="00043923">
        <w:t>offence, and it is not clear whether these are meant to be one offence or</w:t>
      </w:r>
      <w:r w:rsidR="00C644D6">
        <w:t xml:space="preserve"> </w:t>
      </w:r>
      <w:r w:rsidR="00043923">
        <w:t>several</w:t>
      </w:r>
      <w:r w:rsidR="00C644D6">
        <w:t xml:space="preserve">. </w:t>
      </w:r>
      <w:r w:rsidR="00043923">
        <w:t xml:space="preserve"> </w:t>
      </w:r>
      <w:r w:rsidR="00C644D6">
        <w:t>T</w:t>
      </w:r>
      <w:r w:rsidR="00043923">
        <w:t>here are references to concepts that no longer exist, such as “felony” and</w:t>
      </w:r>
      <w:r w:rsidR="00526D2C">
        <w:t xml:space="preserve"> </w:t>
      </w:r>
      <w:r w:rsidR="00043923">
        <w:t>“penal servitude”, and some of the offences do not even state the penalty for</w:t>
      </w:r>
      <w:r w:rsidR="00526D2C">
        <w:t xml:space="preserve"> </w:t>
      </w:r>
      <w:r w:rsidR="00043923">
        <w:t>the offence.</w:t>
      </w:r>
      <w:r w:rsidR="001E560A" w:rsidRPr="001E560A">
        <w:t xml:space="preserve"> </w:t>
      </w:r>
      <w:r w:rsidR="001E560A">
        <w:t>As a result of the highly positive response to our provisional proposals, the Law Commission recommended:</w:t>
      </w:r>
      <w:r w:rsidR="00F8675B">
        <w:t xml:space="preserve"> </w:t>
      </w:r>
      <w:r w:rsidR="001E560A">
        <w:t>the adoption of a modified version of the Home Office’s 1998 draft Bill to replace the outdated Offences Against the Person Act 1861.</w:t>
      </w:r>
      <w:r w:rsidR="00F8675B">
        <w:t xml:space="preserve"> </w:t>
      </w:r>
      <w:r w:rsidR="001E560A">
        <w:t>modifications to the draft Bill to preserve the present position on disease transmission pending a wider review involving more input from healthcare professionals and bodies.</w:t>
      </w:r>
      <w:r w:rsidR="00F8675B">
        <w:t xml:space="preserve"> A</w:t>
      </w:r>
      <w:r w:rsidR="001E560A">
        <w:t xml:space="preserve">dding in a new summary-only offence of aggravated assault. This would be triable only in a magistrates’ </w:t>
      </w:r>
      <w:r w:rsidR="00D73CF6">
        <w:t>court and</w:t>
      </w:r>
      <w:r w:rsidR="001E560A">
        <w:t xml:space="preserve"> carry a maximum sentence of 12 months. The new offence would appropriately label those who do more than mere assault, since they cause injury, but who </w:t>
      </w:r>
      <w:r w:rsidR="00D73CF6">
        <w:t>do not</w:t>
      </w:r>
      <w:r w:rsidR="001E560A">
        <w:t xml:space="preserve"> deserve a sentence of more than 12 months.</w:t>
      </w:r>
      <w:r w:rsidR="0035715A">
        <w:t xml:space="preserve"> </w:t>
      </w:r>
      <w:r w:rsidR="00F8675B">
        <w:t>E</w:t>
      </w:r>
      <w:r w:rsidR="001E560A">
        <w:t>xpanding the offence of threats to kill to also include threats to cause serious injure and threats to rape. All three would be punishable by up to 10 years in prison. The repeal of 25 offences to be replaced with 15 new ones</w:t>
      </w:r>
      <w:r w:rsidR="0035715A">
        <w:t xml:space="preserve"> </w:t>
      </w:r>
      <w:r w:rsidR="001E560A">
        <w:t>many more minor changes to things like maximum sentence and definitions as shown in a table published in the report.</w:t>
      </w:r>
      <w:r w:rsidR="00F8675B">
        <w:t xml:space="preserve"> (</w:t>
      </w:r>
      <w:r w:rsidR="00C97D9D">
        <w:t xml:space="preserve">Law </w:t>
      </w:r>
      <w:r w:rsidR="00D24A8B">
        <w:t>Commission</w:t>
      </w:r>
      <w:r w:rsidR="00993566">
        <w:t xml:space="preserve"> 2015</w:t>
      </w:r>
      <w:r w:rsidR="00D24A8B">
        <w:t>)</w:t>
      </w:r>
    </w:p>
    <w:p w14:paraId="5D1C0182" w14:textId="1672B0B8" w:rsidR="00D50BA2" w:rsidRDefault="00D50BA2" w:rsidP="00043923"/>
    <w:p w14:paraId="46F754B1" w14:textId="302D7DCC" w:rsidR="007A0A22" w:rsidRDefault="00D50BA2" w:rsidP="00D335D8">
      <w:r>
        <w:t>The most important offences as recommended by us are about causing injury. This can</w:t>
      </w:r>
      <w:r w:rsidR="00FF0E21">
        <w:t xml:space="preserve"> </w:t>
      </w:r>
      <w:r>
        <w:t>mean injury of any kind (including disease), caused by any means. In general, when an</w:t>
      </w:r>
      <w:r w:rsidR="00FF0E21">
        <w:t xml:space="preserve"> </w:t>
      </w:r>
      <w:r>
        <w:t xml:space="preserve">offence in the draft Bill consists of causing “serious injury” or “injury”, </w:t>
      </w:r>
      <w:r w:rsidR="0078529E">
        <w:t>defended</w:t>
      </w:r>
      <w:r>
        <w:t xml:space="preserve"> must also</w:t>
      </w:r>
      <w:r w:rsidR="00FF0E21">
        <w:t xml:space="preserve"> </w:t>
      </w:r>
      <w:r>
        <w:t xml:space="preserve">intend or foresee serious injury or </w:t>
      </w:r>
      <w:r w:rsidR="00D73CF6">
        <w:t>injury</w:t>
      </w:r>
      <w:r>
        <w:t>. This is significantly</w:t>
      </w:r>
      <w:r w:rsidR="00FF0E21">
        <w:t xml:space="preserve"> </w:t>
      </w:r>
      <w:r>
        <w:t xml:space="preserve">different from the present law, where there is often a mismatch </w:t>
      </w:r>
      <w:r>
        <w:lastRenderedPageBreak/>
        <w:t>between what must</w:t>
      </w:r>
      <w:r w:rsidR="00FF0E21">
        <w:t xml:space="preserve"> </w:t>
      </w:r>
      <w:r>
        <w:t xml:space="preserve">happen and what must be foreseen by </w:t>
      </w:r>
      <w:r w:rsidR="003D1854">
        <w:t>the defendant</w:t>
      </w:r>
      <w:r>
        <w:t>.</w:t>
      </w:r>
      <w:r w:rsidR="00FF0E21">
        <w:t xml:space="preserve"> </w:t>
      </w:r>
      <w:r>
        <w:t>The new offence of “aggravated assault” is intended to bridge the gap between the</w:t>
      </w:r>
      <w:r w:rsidR="00FF0E21">
        <w:t xml:space="preserve"> </w:t>
      </w:r>
      <w:r>
        <w:t>existing offences of common assault and ABH. There are many cases involving low</w:t>
      </w:r>
      <w:r w:rsidR="00FF0E21">
        <w:t xml:space="preserve"> </w:t>
      </w:r>
      <w:r>
        <w:t>level injuries which do not fit conveniently into either offence:</w:t>
      </w:r>
      <w:r w:rsidR="00FF0E21">
        <w:t xml:space="preserve"> </w:t>
      </w:r>
      <w:r>
        <w:t>(1) If charged as ABH, they may be tried in the Crown Court and receive a</w:t>
      </w:r>
      <w:r w:rsidR="00FF0E21">
        <w:t xml:space="preserve"> </w:t>
      </w:r>
      <w:r>
        <w:t>sentence of up to 5 years. In practice, however, over a third of all sentences</w:t>
      </w:r>
      <w:r w:rsidR="00FF0E21">
        <w:t xml:space="preserve"> </w:t>
      </w:r>
      <w:r>
        <w:t>passed by the Crown Court for this offence are for 6 months or less. We</w:t>
      </w:r>
      <w:r w:rsidR="00FF0E21">
        <w:t xml:space="preserve"> </w:t>
      </w:r>
      <w:r>
        <w:t xml:space="preserve">believe that the Crown Court should not be dealing with cases of this </w:t>
      </w:r>
      <w:r w:rsidR="00D73CF6">
        <w:t>kind. (</w:t>
      </w:r>
      <w:r>
        <w:t>2) If charged as common assault, these cases remain in the magistrates’ court</w:t>
      </w:r>
      <w:r w:rsidR="00FF0E21">
        <w:t xml:space="preserve"> </w:t>
      </w:r>
      <w:r>
        <w:t>and the maximum sentence is 6 months. Victims will rightly feel aggrieved that</w:t>
      </w:r>
      <w:r w:rsidR="00FF0E21">
        <w:t xml:space="preserve"> </w:t>
      </w:r>
      <w:r>
        <w:t>their injuries are not</w:t>
      </w:r>
      <w:r w:rsidR="00C60213">
        <w:t xml:space="preserve"> </w:t>
      </w:r>
      <w:r>
        <w:t>reflected in the charge.</w:t>
      </w:r>
      <w:r w:rsidR="00FF0E21">
        <w:t xml:space="preserve"> </w:t>
      </w:r>
      <w:r>
        <w:t xml:space="preserve">The new offence of aggravated assault is designed to cover these </w:t>
      </w:r>
      <w:r w:rsidR="00D73CF6">
        <w:t>low-level</w:t>
      </w:r>
      <w:r>
        <w:t xml:space="preserve"> injury</w:t>
      </w:r>
      <w:r w:rsidR="00FF0E21">
        <w:t xml:space="preserve"> </w:t>
      </w:r>
      <w:r>
        <w:t>cases, in a way that reflects and acknowledges the fact that an injury has been caused.</w:t>
      </w:r>
      <w:r w:rsidR="00FF0E21">
        <w:t xml:space="preserve"> </w:t>
      </w:r>
      <w:r>
        <w:t>At the same time, these cases will remain in the magistrates’ court and the sentence is</w:t>
      </w:r>
      <w:r w:rsidR="00FF0E21">
        <w:t xml:space="preserve"> </w:t>
      </w:r>
      <w:r>
        <w:t>limited to 12 months. This ensures that cases are tried in a court of the appropriate</w:t>
      </w:r>
      <w:r w:rsidR="00FF0E21">
        <w:t xml:space="preserve"> </w:t>
      </w:r>
      <w:r w:rsidR="00D73CF6">
        <w:t>level and</w:t>
      </w:r>
      <w:r>
        <w:t xml:space="preserve"> avoids incurring the expensive and time-consuming procedures of the Crown</w:t>
      </w:r>
      <w:r w:rsidR="00FF0E21">
        <w:t xml:space="preserve"> </w:t>
      </w:r>
      <w:r>
        <w:t>Court when they are not necessary.</w:t>
      </w:r>
      <w:r w:rsidR="005A4263">
        <w:t xml:space="preserve"> </w:t>
      </w:r>
      <w:r w:rsidR="00D73CF6">
        <w:t>(</w:t>
      </w:r>
      <w:r w:rsidR="001C11BF" w:rsidRPr="001C11BF">
        <w:t>Overview of Reform of Offences Against the Person 2015)</w:t>
      </w:r>
    </w:p>
    <w:p w14:paraId="6B7C6325" w14:textId="125469CE" w:rsidR="007A0A22" w:rsidRDefault="001A2191" w:rsidP="00D335D8">
      <w:r>
        <w:t>For example:</w:t>
      </w:r>
      <w:r w:rsidR="009D7428">
        <w:t xml:space="preserve"> </w:t>
      </w:r>
      <w:r w:rsidR="0057574A" w:rsidRPr="0057574A">
        <w:t>A policeman tried to stop the defendant from driving off with stolen goods by jumping on to the bonnet of the car. The defendant drove off at speed and zigzagged in order to get the police office off the car. The defendant argued he did not intend to harm the policeman. The policeman was knocked onto the path of an oncoming car and killed. The defendant was convicted of murder.</w:t>
      </w:r>
      <w:r w:rsidR="0057574A">
        <w:t xml:space="preserve"> </w:t>
      </w:r>
      <w:r w:rsidR="000E7156">
        <w:t>The judge directed the jury by stating that if</w:t>
      </w:r>
      <w:r w:rsidR="00321015">
        <w:t xml:space="preserve"> </w:t>
      </w:r>
      <w:r w:rsidR="00EA1052">
        <w:t xml:space="preserve">they </w:t>
      </w:r>
      <w:r w:rsidR="000C1F39">
        <w:t>believe</w:t>
      </w:r>
      <w:r w:rsidR="00EA1052">
        <w:t xml:space="preserve"> that </w:t>
      </w:r>
      <w:r w:rsidR="00DD67C5">
        <w:t>the man had reasonabl</w:t>
      </w:r>
      <w:r w:rsidR="00FC6A8F">
        <w:t xml:space="preserve">y contemplated that </w:t>
      </w:r>
      <w:r w:rsidR="000C1F39">
        <w:t>grievous</w:t>
      </w:r>
      <w:r w:rsidR="00FC6A8F">
        <w:t xml:space="preserve"> bodily harm</w:t>
      </w:r>
      <w:r w:rsidR="00182A3E">
        <w:t xml:space="preserve"> </w:t>
      </w:r>
      <w:r w:rsidR="00FC6A8F">
        <w:t xml:space="preserve">was </w:t>
      </w:r>
      <w:r w:rsidR="000C1F39">
        <w:t>likely</w:t>
      </w:r>
      <w:r w:rsidR="00182A3E">
        <w:t xml:space="preserve"> </w:t>
      </w:r>
      <w:r w:rsidR="00FC6A8F">
        <w:t xml:space="preserve">to </w:t>
      </w:r>
      <w:r w:rsidR="00182A3E">
        <w:t>happen to that officer and that</w:t>
      </w:r>
      <w:r w:rsidR="000C1F39">
        <w:t xml:space="preserve"> </w:t>
      </w:r>
      <w:r w:rsidR="00182A3E">
        <w:t xml:space="preserve">such harm </w:t>
      </w:r>
      <w:r w:rsidR="00B21E8F">
        <w:t>did,</w:t>
      </w:r>
      <w:r w:rsidR="000C1F39">
        <w:t xml:space="preserve"> and the officer died as a result of that.</w:t>
      </w:r>
      <w:r w:rsidR="00011C67">
        <w:t xml:space="preserve"> Then the accused is guilt of capital </w:t>
      </w:r>
      <w:r w:rsidR="00D73CF6">
        <w:t>murder,</w:t>
      </w:r>
      <w:r w:rsidR="006A3AF2">
        <w:t xml:space="preserve"> but he also stated on the other hand if you are not happy that he intended to cause grievous bodily harm </w:t>
      </w:r>
      <w:r w:rsidR="00B21E8F">
        <w:t>upon</w:t>
      </w:r>
      <w:r w:rsidR="006A3AF2">
        <w:t xml:space="preserve"> the officer or </w:t>
      </w:r>
      <w:r w:rsidR="00B21E8F">
        <w:t>as reasonable</w:t>
      </w:r>
      <w:r w:rsidR="006A3AF2">
        <w:t xml:space="preserve"> </w:t>
      </w:r>
      <w:r w:rsidR="00B21E8F">
        <w:t>man could</w:t>
      </w:r>
      <w:r w:rsidR="00494279">
        <w:t xml:space="preserve"> not have contemplated</w:t>
      </w:r>
      <w:r w:rsidR="007B4F85">
        <w:t xml:space="preserve"> </w:t>
      </w:r>
      <w:r w:rsidR="007B4F85" w:rsidRPr="007B4F85">
        <w:t>that grievous bodily harm would result to the officer in consequence of his actions - well, then, the verdict would be guilty of manslaughter.</w:t>
      </w:r>
      <w:r w:rsidR="007B4F85">
        <w:t xml:space="preserve"> </w:t>
      </w:r>
      <w:r w:rsidR="00B21E8F" w:rsidRPr="00B21E8F">
        <w:t>The jury convicted of murder and the defendant appealed on the grounds that this was a misdirection and that a subjective test should apply. The Court of Appeal quashed his conviction for murder and substituted a manslaughter conviction applying a subjective test. The prosecution appealed to the House of Lords who re-instated the murder conviction and held that there was no misdirection thereby holding an objective test was applicable.</w:t>
      </w:r>
      <w:r w:rsidR="00B21E8F">
        <w:t xml:space="preserve">  (</w:t>
      </w:r>
      <w:r w:rsidR="000E1EB5">
        <w:t>DPP V SMITH 1961)</w:t>
      </w:r>
      <w:r w:rsidR="007A0A22">
        <w:t xml:space="preserve">. </w:t>
      </w:r>
    </w:p>
    <w:p w14:paraId="4FDE83B3" w14:textId="77777777" w:rsidR="0078529E" w:rsidRDefault="007A0A22" w:rsidP="00D335D8">
      <w:r>
        <w:t xml:space="preserve"> The </w:t>
      </w:r>
      <w:r w:rsidR="00D335D8">
        <w:t xml:space="preserve">defendant threw a pint of beer over the victim in a pub. The glass slipped out of her hand and smashed and cut the victim's wrist. The victim was her husband's </w:t>
      </w:r>
      <w:r w:rsidR="009B699F">
        <w:t>ex-girlfriend</w:t>
      </w:r>
      <w:r w:rsidR="00D335D8">
        <w:t xml:space="preserve"> and there had been bad feeling between the two. The defendant maintained that it was never her intention to throw the glass just to humiliate her by throwing the beer. The trial judge directed the jury that malicious meant that an unlawful act was deliberate and aimed against the victim and resulted in the wound. The jury convicted and the appellant appealed. The Court of Appeal held this was a </w:t>
      </w:r>
      <w:r w:rsidR="009B699F">
        <w:t>misdirection</w:t>
      </w:r>
      <w:r w:rsidR="00D335D8">
        <w:t xml:space="preserve"> as it did not correctly state that malicious included recklessness and this is decided subjectively. The Court of Appeal substituted a conviction of ABH under s.47 OAPA 1861 and certified a point of law to the House of Lords as to whether it was necessary under s.20 to establish that the defendant intended or was reckless as to the infliction of GBH or whether it was sufficient that the defendant foresaw some harm.</w:t>
      </w:r>
      <w:r w:rsidR="00914C70" w:rsidRPr="00914C70">
        <w:t xml:space="preserve"> </w:t>
      </w:r>
      <w:r w:rsidR="00914C70">
        <w:t>R v Savage [1991]</w:t>
      </w:r>
      <w:r w:rsidR="001A2191">
        <w:t>.</w:t>
      </w:r>
    </w:p>
    <w:p w14:paraId="23D82807" w14:textId="0FDAC3C2" w:rsidR="00E9366A" w:rsidRDefault="001A2191" w:rsidP="00D50BA2">
      <w:r>
        <w:t xml:space="preserve"> </w:t>
      </w:r>
      <w:r w:rsidRPr="001A2191">
        <w:t xml:space="preserve">There have been a minority of bodies and individuals that have disagreed with reforming the OAPA. The Bar Council and Criminal Bar Association think the defects in the Act are </w:t>
      </w:r>
      <w:r w:rsidR="00A1022B" w:rsidRPr="001A2191">
        <w:t>purely</w:t>
      </w:r>
      <w:r w:rsidRPr="001A2191">
        <w:t xml:space="preserve"> theoretical and legal meaning has already been successfully established in case law. They believe further repeals of unnecessary offences and piecemeal changes would be sufficient. Yet, others have argued that entire replacement of the current law is necessary to limit further confusion and redundant complexities. </w:t>
      </w:r>
      <w:r w:rsidR="00F52273">
        <w:t>(Sage jour</w:t>
      </w:r>
      <w:r w:rsidR="00FA5662">
        <w:t>nal</w:t>
      </w:r>
      <w:r w:rsidR="0078529E">
        <w:t>s 2021</w:t>
      </w:r>
      <w:r w:rsidR="002D1818">
        <w:t xml:space="preserve">) </w:t>
      </w:r>
      <w:r w:rsidR="00D73CF6">
        <w:t>According</w:t>
      </w:r>
      <w:r w:rsidR="0003086D">
        <w:t xml:space="preserve"> </w:t>
      </w:r>
      <w:r w:rsidR="00E40BBF">
        <w:t xml:space="preserve">to </w:t>
      </w:r>
      <w:r w:rsidR="00D72C4A">
        <w:t>L</w:t>
      </w:r>
      <w:r w:rsidR="0003086D">
        <w:t>aw Commission (2015</w:t>
      </w:r>
      <w:r w:rsidR="003D4F2A">
        <w:t>) there</w:t>
      </w:r>
      <w:r w:rsidR="00E40BBF">
        <w:t xml:space="preserve"> is no need </w:t>
      </w:r>
      <w:r w:rsidR="00C134EE">
        <w:t xml:space="preserve">for such </w:t>
      </w:r>
      <w:r w:rsidR="003D4F2A">
        <w:t>definition</w:t>
      </w:r>
      <w:r w:rsidR="00C134EE">
        <w:t xml:space="preserve"> in a new statue </w:t>
      </w:r>
      <w:r w:rsidR="00FF66D0">
        <w:t xml:space="preserve">on offences of </w:t>
      </w:r>
      <w:r w:rsidR="003D4F2A">
        <w:t>violence</w:t>
      </w:r>
      <w:r w:rsidR="00FE1EEB">
        <w:t xml:space="preserve">. It would </w:t>
      </w:r>
      <w:r w:rsidR="000003BF">
        <w:t xml:space="preserve">be better to leave these </w:t>
      </w:r>
      <w:r w:rsidR="003D4F2A">
        <w:t>terms</w:t>
      </w:r>
      <w:r w:rsidR="000003BF">
        <w:t xml:space="preserve"> to be understood in accor</w:t>
      </w:r>
      <w:r w:rsidR="003908BA">
        <w:t xml:space="preserve">dance with the general law, </w:t>
      </w:r>
      <w:r w:rsidR="009D5213">
        <w:t xml:space="preserve">rather than put separate </w:t>
      </w:r>
      <w:r w:rsidR="003D4F2A">
        <w:t>definitions</w:t>
      </w:r>
      <w:r w:rsidR="009D5213">
        <w:t xml:space="preserve"> in each </w:t>
      </w:r>
      <w:r w:rsidR="00FB4D13">
        <w:t xml:space="preserve">area of the criminal law. </w:t>
      </w:r>
      <w:r w:rsidR="00C94531">
        <w:t>Specifically, a statutory definition of oblique</w:t>
      </w:r>
      <w:r w:rsidR="00EB68DB">
        <w:t xml:space="preserve"> intent would cause</w:t>
      </w:r>
      <w:r w:rsidR="00E715EA">
        <w:t xml:space="preserve"> </w:t>
      </w:r>
      <w:r w:rsidR="00EB68DB">
        <w:t>confusion</w:t>
      </w:r>
      <w:r w:rsidR="00F9484E">
        <w:t>, a</w:t>
      </w:r>
      <w:r w:rsidR="00EB68DB">
        <w:t xml:space="preserve">s it might suggest that </w:t>
      </w:r>
      <w:r w:rsidR="00C8006A">
        <w:t>juries must be directed about it in every case</w:t>
      </w:r>
      <w:r w:rsidR="00E715EA">
        <w:t xml:space="preserve">. </w:t>
      </w:r>
      <w:r w:rsidR="003D4F2A">
        <w:t>Currently, this</w:t>
      </w:r>
      <w:r w:rsidR="007D366B">
        <w:t xml:space="preserve"> direction </w:t>
      </w:r>
      <w:r w:rsidR="002E0E7B">
        <w:t>is rarely needed in trails for non-fatal</w:t>
      </w:r>
      <w:r w:rsidR="00E85B4C">
        <w:t xml:space="preserve"> crimes of violence, as in practice the issue </w:t>
      </w:r>
      <w:r w:rsidR="007E2B0A">
        <w:t>mostly arises in murder cases</w:t>
      </w:r>
      <w:r w:rsidR="00DC6E47">
        <w:t xml:space="preserve"> </w:t>
      </w:r>
      <w:r w:rsidR="007E2B0A">
        <w:t>and is rare even then</w:t>
      </w:r>
      <w:r w:rsidR="00DC6E47">
        <w:t>.</w:t>
      </w:r>
      <w:r w:rsidR="00867346">
        <w:t xml:space="preserve"> </w:t>
      </w:r>
    </w:p>
    <w:p w14:paraId="0D52449F" w14:textId="41CEBF25" w:rsidR="006F647D" w:rsidRDefault="006F647D" w:rsidP="00D50BA2">
      <w:r>
        <w:t xml:space="preserve">Lord </w:t>
      </w:r>
      <w:r w:rsidR="004E2E5D">
        <w:t>Lowry gained support for this view</w:t>
      </w:r>
      <w:r w:rsidR="001F2F92">
        <w:t xml:space="preserve"> from the structure of the 1861 Act </w:t>
      </w:r>
      <w:r w:rsidR="009B68ED">
        <w:t xml:space="preserve">as well as from the cases. He </w:t>
      </w:r>
      <w:r w:rsidR="003D4F2A">
        <w:t>acknowledged</w:t>
      </w:r>
      <w:r w:rsidR="00FE12CE">
        <w:t xml:space="preserve"> that the Act </w:t>
      </w:r>
      <w:r w:rsidR="00807494">
        <w:t xml:space="preserve">was </w:t>
      </w:r>
      <w:r w:rsidR="006D094C">
        <w:t>an</w:t>
      </w:r>
      <w:r w:rsidR="00807494">
        <w:t xml:space="preserve"> untidy attempt </w:t>
      </w:r>
      <w:r w:rsidR="0018164A">
        <w:t xml:space="preserve">at codifying the law which could be </w:t>
      </w:r>
      <w:r w:rsidR="003D4F2A">
        <w:t>described as</w:t>
      </w:r>
      <w:r w:rsidR="002331C3">
        <w:t xml:space="preserve"> ‘piece</w:t>
      </w:r>
      <w:r w:rsidR="00BC3B59">
        <w:t xml:space="preserve">meal legislation’ a </w:t>
      </w:r>
      <w:r w:rsidR="001C5A32">
        <w:t>‘rag-bag of offences brough</w:t>
      </w:r>
      <w:r w:rsidR="001A568E">
        <w:t xml:space="preserve"> </w:t>
      </w:r>
      <w:r w:rsidR="003D4F2A">
        <w:t>together</w:t>
      </w:r>
      <w:r w:rsidR="001A568E">
        <w:t xml:space="preserve"> from a wide variety of </w:t>
      </w:r>
      <w:r w:rsidR="003D4F2A">
        <w:t>sources with</w:t>
      </w:r>
      <w:r w:rsidR="00645D14">
        <w:t xml:space="preserve"> no attempt to introduce consiste</w:t>
      </w:r>
      <w:r w:rsidR="001145D1">
        <w:t>ncy as to substance or as to form</w:t>
      </w:r>
      <w:r w:rsidR="0065378D">
        <w:t xml:space="preserve">’. However, while admitting that any </w:t>
      </w:r>
      <w:r w:rsidR="00B72180">
        <w:t xml:space="preserve">indications to be </w:t>
      </w:r>
      <w:r w:rsidR="003D4F2A">
        <w:t>gathered from</w:t>
      </w:r>
      <w:r w:rsidR="00B72180">
        <w:t xml:space="preserve"> the Act of 1861 </w:t>
      </w:r>
      <w:r w:rsidR="004B50D5">
        <w:t>are not precise.</w:t>
      </w:r>
    </w:p>
    <w:p w14:paraId="62ACE200" w14:textId="5BCB419C" w:rsidR="00AC355B" w:rsidRDefault="002B5DB4" w:rsidP="00D50BA2">
      <w:r>
        <w:t xml:space="preserve">Lord Slynn concluded that it was possible </w:t>
      </w:r>
      <w:r w:rsidR="002F547B">
        <w:t xml:space="preserve">to draw the line, and that the line should be </w:t>
      </w:r>
      <w:r w:rsidR="007D2F00">
        <w:t>drawn between</w:t>
      </w:r>
      <w:r w:rsidR="00EA1316">
        <w:t xml:space="preserve"> really serious injury on the one hand </w:t>
      </w:r>
      <w:r w:rsidR="00EA0408">
        <w:t xml:space="preserve">and less serious injuries on the other. The range </w:t>
      </w:r>
      <w:r w:rsidR="00A90626">
        <w:t xml:space="preserve">of injuries encompassed by actual </w:t>
      </w:r>
      <w:r w:rsidR="003F24D2">
        <w:t>bodily harm and wounding was wide, a</w:t>
      </w:r>
      <w:r w:rsidR="00685D29">
        <w:t xml:space="preserve">nd there was no significant reason </w:t>
      </w:r>
      <w:r w:rsidR="00CC6228">
        <w:t>for refusing consent as a defence for the lesser of these cases</w:t>
      </w:r>
      <w:r w:rsidR="001104F8">
        <w:t>.</w:t>
      </w:r>
      <w:r w:rsidR="002D1818">
        <w:t xml:space="preserve"> </w:t>
      </w:r>
      <w:r w:rsidR="00AC355B" w:rsidRPr="00AC355B">
        <w:t>New legislation should avoid overlap with more recent legislation, make better use of the magistrates’ court and avoid unnecessary degrees of complexity and specificity of offences to ensure that the law is unrestricted by modern and evolving methods of crime. It is a paramount objective that we make the law more accessible and strive for a transparent and effective process. Archaic language, such as ‘penal servitude’, harms the accessibility of the law. Even practitioners have felt disengaged with the OAPA. Furthermore, an increasing number of defendants are self-represented and inappropriate technical and obsolete language only further alienates the public from our system. which damages the profession. Therefore, we can conclude that reform of the OAPA is essential and urgent.</w:t>
      </w:r>
      <w:r w:rsidR="006D094C">
        <w:t xml:space="preserve"> </w:t>
      </w:r>
      <w:r w:rsidR="008B0FB1">
        <w:t>(Sage journals</w:t>
      </w:r>
      <w:r w:rsidR="006D094C">
        <w:t xml:space="preserve"> 2021).</w:t>
      </w:r>
    </w:p>
    <w:p w14:paraId="1FA0EFF1" w14:textId="7C21A419" w:rsidR="005D2937" w:rsidRDefault="005D2937" w:rsidP="00D50BA2"/>
    <w:p w14:paraId="31A15216" w14:textId="14D6EB57" w:rsidR="005D2937" w:rsidRDefault="005D2937" w:rsidP="00D50BA2"/>
    <w:p w14:paraId="140F17D0" w14:textId="65BC1785" w:rsidR="005D2937" w:rsidRDefault="005D2937" w:rsidP="00D50BA2">
      <w:r>
        <w:t>REFRENCES</w:t>
      </w:r>
      <w:r w:rsidR="00BA57AA">
        <w:t xml:space="preserve"> </w:t>
      </w:r>
    </w:p>
    <w:p w14:paraId="7BDF3CED" w14:textId="1FE5C52C" w:rsidR="00AB77EF" w:rsidRDefault="00F22619" w:rsidP="00D50BA2">
      <w:r>
        <w:t>e-lawres</w:t>
      </w:r>
      <w:r w:rsidR="00AB2FDD">
        <w:t>our</w:t>
      </w:r>
      <w:r w:rsidR="00684B08">
        <w:t>c</w:t>
      </w:r>
      <w:r>
        <w:t>es</w:t>
      </w:r>
      <w:r w:rsidR="00145519">
        <w:t xml:space="preserve"> </w:t>
      </w:r>
      <w:r w:rsidR="00215648">
        <w:t>‘</w:t>
      </w:r>
      <w:r w:rsidR="00205F50">
        <w:t>R v Savage</w:t>
      </w:r>
      <w:r w:rsidR="00215648">
        <w:t>’ Available at:</w:t>
      </w:r>
      <w:r w:rsidR="00494E7F" w:rsidRPr="00494E7F">
        <w:t xml:space="preserve"> </w:t>
      </w:r>
      <w:hyperlink r:id="rId12" w:history="1">
        <w:r w:rsidR="00494E7F" w:rsidRPr="00093DAA">
          <w:rPr>
            <w:rStyle w:val="Hyperlink"/>
          </w:rPr>
          <w:t>https://www.e-lawresources.co.uk/R-v-Savage.php</w:t>
        </w:r>
      </w:hyperlink>
      <w:r w:rsidR="00494E7F">
        <w:t xml:space="preserve"> [</w:t>
      </w:r>
      <w:r w:rsidR="00AB2FDD">
        <w:t>Accessed</w:t>
      </w:r>
      <w:r w:rsidR="00494E7F">
        <w:t xml:space="preserve"> on the </w:t>
      </w:r>
      <w:r w:rsidR="00091752">
        <w:t>3/042021]</w:t>
      </w:r>
    </w:p>
    <w:p w14:paraId="33F7CC13" w14:textId="5C527E65" w:rsidR="00091752" w:rsidRDefault="00091752" w:rsidP="00D50BA2">
      <w:r w:rsidRPr="00091752">
        <w:t>e-lawreso</w:t>
      </w:r>
      <w:r w:rsidR="00684B08">
        <w:t>u</w:t>
      </w:r>
      <w:r w:rsidRPr="00091752">
        <w:t>r</w:t>
      </w:r>
      <w:r w:rsidR="00E74DFB">
        <w:t>c</w:t>
      </w:r>
      <w:r w:rsidRPr="00091752">
        <w:t>es</w:t>
      </w:r>
      <w:r>
        <w:t xml:space="preserve"> </w:t>
      </w:r>
      <w:r w:rsidR="00ED18B5">
        <w:t>‘</w:t>
      </w:r>
      <w:r w:rsidRPr="00091752">
        <w:t>DPP V SMITH</w:t>
      </w:r>
      <w:r w:rsidR="00ED18B5">
        <w:t>(</w:t>
      </w:r>
      <w:r w:rsidRPr="00091752">
        <w:t>1961</w:t>
      </w:r>
      <w:r w:rsidR="00ED18B5">
        <w:t>) Available at:’</w:t>
      </w:r>
      <w:r w:rsidR="0025334D" w:rsidRPr="0025334D">
        <w:t xml:space="preserve"> </w:t>
      </w:r>
      <w:hyperlink r:id="rId13" w:anchor=":~:text=DPP%20v%20Smith&amp;text=A%20policeman%20tried%20to%20stop,the%20bonnet%20of%20the%20car.&amp;text=The%20policem" w:history="1">
        <w:r w:rsidR="0025334D" w:rsidRPr="00093DAA">
          <w:rPr>
            <w:rStyle w:val="Hyperlink"/>
          </w:rPr>
          <w:t>https://www.e-lawresources.co.uk/DPP-v-Smith.php#:~:text=DPP%20v%20Smith&amp;text=A%20policeman%20tried%20to%20stop,the%20bonnet%20of%20the%20car.&amp;text=The%20policem</w:t>
        </w:r>
      </w:hyperlink>
      <w:r w:rsidR="0025334D">
        <w:t xml:space="preserve"> [</w:t>
      </w:r>
      <w:r w:rsidR="00AB2FDD">
        <w:t>Accessed on the 3/04/2021]</w:t>
      </w:r>
    </w:p>
    <w:p w14:paraId="6E69FF98" w14:textId="77777777" w:rsidR="001A490F" w:rsidRDefault="001A490F" w:rsidP="001A490F">
      <w:r>
        <w:t>Law Commissions ‘offences against the person’ Available at:</w:t>
      </w:r>
      <w:r w:rsidRPr="00905862">
        <w:t xml:space="preserve"> </w:t>
      </w:r>
      <w:hyperlink r:id="rId14" w:history="1">
        <w:r w:rsidRPr="0098458E">
          <w:rPr>
            <w:rStyle w:val="Hyperlink"/>
          </w:rPr>
          <w:t>https://www.lawcom.gov.uk/project/offences-against-the-person/</w:t>
        </w:r>
      </w:hyperlink>
      <w:r>
        <w:t xml:space="preserve"> [Accessed on 20/02/2021]</w:t>
      </w:r>
    </w:p>
    <w:p w14:paraId="42344D59" w14:textId="77777777" w:rsidR="001A490F" w:rsidRDefault="001A490F" w:rsidP="001A490F">
      <w:r w:rsidRPr="00140D35">
        <w:t>Overview of Reform of Offences Against the Person (2015)</w:t>
      </w:r>
      <w:r>
        <w:t xml:space="preserve"> ‘offences against the person: overview’ Available at:</w:t>
      </w:r>
      <w:r w:rsidRPr="00443DD9">
        <w:t xml:space="preserve"> </w:t>
      </w:r>
      <w:hyperlink r:id="rId15" w:history="1">
        <w:r w:rsidRPr="0098458E">
          <w:rPr>
            <w:rStyle w:val="Hyperlink"/>
          </w:rPr>
          <w:t>https://s3-eu-west-2.amazonaws.com/lawcom-prod-storage-11jsxou24uy7q/uploads/2015/11/lc361_offences_against_the_person_overview_new-1.pdf</w:t>
        </w:r>
      </w:hyperlink>
      <w:r>
        <w:t xml:space="preserve"> [Accessed on 20/02/2021]</w:t>
      </w:r>
    </w:p>
    <w:p w14:paraId="4F843132" w14:textId="6ACA9211" w:rsidR="00BA57AA" w:rsidRDefault="00BA57AA" w:rsidP="00D50BA2">
      <w:r>
        <w:t>Sage journals (2021)</w:t>
      </w:r>
      <w:r w:rsidR="00D8304D">
        <w:t xml:space="preserve"> ‘should we reform </w:t>
      </w:r>
      <w:r w:rsidR="00A12986">
        <w:t xml:space="preserve">the offences </w:t>
      </w:r>
      <w:r w:rsidR="008846B8">
        <w:t>against a person act 1861’ Available at:</w:t>
      </w:r>
      <w:r w:rsidR="00C14A9B" w:rsidRPr="00C14A9B">
        <w:t xml:space="preserve"> </w:t>
      </w:r>
      <w:hyperlink r:id="rId16" w:history="1">
        <w:r w:rsidR="00C14A9B" w:rsidRPr="0098458E">
          <w:rPr>
            <w:rStyle w:val="Hyperlink"/>
          </w:rPr>
          <w:t>https://journals-sagepub-com.ezproxy.uwtsd.ac.uk/doi/full/10.1177/0022018316685478</w:t>
        </w:r>
      </w:hyperlink>
      <w:r w:rsidR="00F94204">
        <w:t xml:space="preserve"> </w:t>
      </w:r>
      <w:r w:rsidR="00595747">
        <w:t xml:space="preserve">[Accessed on the </w:t>
      </w:r>
      <w:r w:rsidR="00512ED9">
        <w:t>08/02/2021</w:t>
      </w:r>
      <w:r w:rsidR="00F94204">
        <w:t>]</w:t>
      </w:r>
    </w:p>
    <w:p w14:paraId="2FB9E6A9" w14:textId="77777777" w:rsidR="00B30878" w:rsidRDefault="00B30878" w:rsidP="00D50BA2"/>
    <w:sectPr w:rsidR="00B30878" w:rsidSect="000E671C">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ophie Clare Evans (2016050)" w:date="2021-03-02T12:29:00Z" w:initials="SCE(">
    <w:p w14:paraId="6B1F7B42" w14:textId="31C88611" w:rsidR="00A30519" w:rsidRDefault="00A30519">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B1F7B4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8AE34" w16cex:dateUtc="2021-03-02T12: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B1F7B42" w16cid:durableId="23E8AE3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ophie Clare Evans (2016050)">
    <w15:presenceInfo w15:providerId="None" w15:userId="Sophie Clare Evans (20160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9C2"/>
    <w:rsid w:val="000003BF"/>
    <w:rsid w:val="00002732"/>
    <w:rsid w:val="00011C67"/>
    <w:rsid w:val="0003086D"/>
    <w:rsid w:val="00043923"/>
    <w:rsid w:val="00045A06"/>
    <w:rsid w:val="00091752"/>
    <w:rsid w:val="000A1CD4"/>
    <w:rsid w:val="000B15CC"/>
    <w:rsid w:val="000C1F39"/>
    <w:rsid w:val="000E1EB5"/>
    <w:rsid w:val="000E671C"/>
    <w:rsid w:val="000E7156"/>
    <w:rsid w:val="0010250E"/>
    <w:rsid w:val="001029FE"/>
    <w:rsid w:val="001104F8"/>
    <w:rsid w:val="001145D1"/>
    <w:rsid w:val="00140D35"/>
    <w:rsid w:val="00145519"/>
    <w:rsid w:val="0018164A"/>
    <w:rsid w:val="00182A3E"/>
    <w:rsid w:val="001A2191"/>
    <w:rsid w:val="001A490F"/>
    <w:rsid w:val="001A568E"/>
    <w:rsid w:val="001C11BF"/>
    <w:rsid w:val="001C55C7"/>
    <w:rsid w:val="001C5A32"/>
    <w:rsid w:val="001D23E9"/>
    <w:rsid w:val="001E560A"/>
    <w:rsid w:val="001F2F92"/>
    <w:rsid w:val="001F3D5E"/>
    <w:rsid w:val="00205F50"/>
    <w:rsid w:val="00215648"/>
    <w:rsid w:val="00222FC2"/>
    <w:rsid w:val="002331C3"/>
    <w:rsid w:val="0025334D"/>
    <w:rsid w:val="00295057"/>
    <w:rsid w:val="002B5DB4"/>
    <w:rsid w:val="002D1818"/>
    <w:rsid w:val="002E0E7B"/>
    <w:rsid w:val="002E10B7"/>
    <w:rsid w:val="002F4FE1"/>
    <w:rsid w:val="002F547B"/>
    <w:rsid w:val="00321015"/>
    <w:rsid w:val="00334660"/>
    <w:rsid w:val="0035715A"/>
    <w:rsid w:val="00385D8A"/>
    <w:rsid w:val="00387FD2"/>
    <w:rsid w:val="003908BA"/>
    <w:rsid w:val="003D1854"/>
    <w:rsid w:val="003D4137"/>
    <w:rsid w:val="003D4F2A"/>
    <w:rsid w:val="003F24D2"/>
    <w:rsid w:val="004012AD"/>
    <w:rsid w:val="00434F7E"/>
    <w:rsid w:val="00443DD9"/>
    <w:rsid w:val="0045134B"/>
    <w:rsid w:val="004856D7"/>
    <w:rsid w:val="00494279"/>
    <w:rsid w:val="00494E7F"/>
    <w:rsid w:val="004B50D5"/>
    <w:rsid w:val="004E2E5D"/>
    <w:rsid w:val="005077AC"/>
    <w:rsid w:val="00512ED9"/>
    <w:rsid w:val="00526D2C"/>
    <w:rsid w:val="005373D7"/>
    <w:rsid w:val="00544A9B"/>
    <w:rsid w:val="005554EB"/>
    <w:rsid w:val="0057574A"/>
    <w:rsid w:val="00595747"/>
    <w:rsid w:val="005A09C2"/>
    <w:rsid w:val="005A4263"/>
    <w:rsid w:val="005D2937"/>
    <w:rsid w:val="005D660D"/>
    <w:rsid w:val="00600C6D"/>
    <w:rsid w:val="00645D14"/>
    <w:rsid w:val="0065378D"/>
    <w:rsid w:val="00684B08"/>
    <w:rsid w:val="00685D29"/>
    <w:rsid w:val="0069779C"/>
    <w:rsid w:val="006A2DF9"/>
    <w:rsid w:val="006A3AF2"/>
    <w:rsid w:val="006D094C"/>
    <w:rsid w:val="006F647D"/>
    <w:rsid w:val="00715D22"/>
    <w:rsid w:val="00734D8B"/>
    <w:rsid w:val="007444DA"/>
    <w:rsid w:val="0078529E"/>
    <w:rsid w:val="007A0A22"/>
    <w:rsid w:val="007B4F85"/>
    <w:rsid w:val="007B707B"/>
    <w:rsid w:val="007D2F00"/>
    <w:rsid w:val="007D366B"/>
    <w:rsid w:val="007E2B0A"/>
    <w:rsid w:val="00807494"/>
    <w:rsid w:val="008244B9"/>
    <w:rsid w:val="00841871"/>
    <w:rsid w:val="00851312"/>
    <w:rsid w:val="00852FAB"/>
    <w:rsid w:val="00867346"/>
    <w:rsid w:val="0087290D"/>
    <w:rsid w:val="008846B8"/>
    <w:rsid w:val="0089450A"/>
    <w:rsid w:val="008B0FB1"/>
    <w:rsid w:val="009022B4"/>
    <w:rsid w:val="00905862"/>
    <w:rsid w:val="00914C70"/>
    <w:rsid w:val="0092660B"/>
    <w:rsid w:val="009506B5"/>
    <w:rsid w:val="0098408A"/>
    <w:rsid w:val="00993566"/>
    <w:rsid w:val="009A3D7F"/>
    <w:rsid w:val="009A6E2D"/>
    <w:rsid w:val="009B4DEC"/>
    <w:rsid w:val="009B68ED"/>
    <w:rsid w:val="009B699F"/>
    <w:rsid w:val="009D5213"/>
    <w:rsid w:val="009D7428"/>
    <w:rsid w:val="00A1022B"/>
    <w:rsid w:val="00A12986"/>
    <w:rsid w:val="00A30519"/>
    <w:rsid w:val="00A90626"/>
    <w:rsid w:val="00A90DF5"/>
    <w:rsid w:val="00AA1C1F"/>
    <w:rsid w:val="00AB2FDD"/>
    <w:rsid w:val="00AB5B2F"/>
    <w:rsid w:val="00AB77EF"/>
    <w:rsid w:val="00AC1E97"/>
    <w:rsid w:val="00AC355B"/>
    <w:rsid w:val="00AE56AD"/>
    <w:rsid w:val="00AE5E52"/>
    <w:rsid w:val="00B21E8F"/>
    <w:rsid w:val="00B30878"/>
    <w:rsid w:val="00B36D9F"/>
    <w:rsid w:val="00B67A40"/>
    <w:rsid w:val="00B72180"/>
    <w:rsid w:val="00B97E75"/>
    <w:rsid w:val="00BA3CCA"/>
    <w:rsid w:val="00BA57AA"/>
    <w:rsid w:val="00BC3373"/>
    <w:rsid w:val="00BC3B59"/>
    <w:rsid w:val="00BF635E"/>
    <w:rsid w:val="00C134EE"/>
    <w:rsid w:val="00C14A9B"/>
    <w:rsid w:val="00C43638"/>
    <w:rsid w:val="00C47B01"/>
    <w:rsid w:val="00C51131"/>
    <w:rsid w:val="00C60213"/>
    <w:rsid w:val="00C644D6"/>
    <w:rsid w:val="00C8006A"/>
    <w:rsid w:val="00C8758A"/>
    <w:rsid w:val="00C94531"/>
    <w:rsid w:val="00C97D9D"/>
    <w:rsid w:val="00CC5F00"/>
    <w:rsid w:val="00CC6228"/>
    <w:rsid w:val="00D24A8B"/>
    <w:rsid w:val="00D335D8"/>
    <w:rsid w:val="00D4299B"/>
    <w:rsid w:val="00D50BA2"/>
    <w:rsid w:val="00D72C4A"/>
    <w:rsid w:val="00D73CF6"/>
    <w:rsid w:val="00D8304D"/>
    <w:rsid w:val="00DB5DA3"/>
    <w:rsid w:val="00DC6E47"/>
    <w:rsid w:val="00DD67C5"/>
    <w:rsid w:val="00E40BBF"/>
    <w:rsid w:val="00E51F2E"/>
    <w:rsid w:val="00E715EA"/>
    <w:rsid w:val="00E74DFB"/>
    <w:rsid w:val="00E77635"/>
    <w:rsid w:val="00E85B4C"/>
    <w:rsid w:val="00E9366A"/>
    <w:rsid w:val="00EA0408"/>
    <w:rsid w:val="00EA1052"/>
    <w:rsid w:val="00EA1316"/>
    <w:rsid w:val="00EB68DB"/>
    <w:rsid w:val="00ED18B5"/>
    <w:rsid w:val="00ED5ED6"/>
    <w:rsid w:val="00F22619"/>
    <w:rsid w:val="00F27B4B"/>
    <w:rsid w:val="00F31340"/>
    <w:rsid w:val="00F52273"/>
    <w:rsid w:val="00F8675B"/>
    <w:rsid w:val="00F94204"/>
    <w:rsid w:val="00F9484E"/>
    <w:rsid w:val="00FA5662"/>
    <w:rsid w:val="00FB021F"/>
    <w:rsid w:val="00FB4D13"/>
    <w:rsid w:val="00FC6A8F"/>
    <w:rsid w:val="00FE12CE"/>
    <w:rsid w:val="00FE1EEB"/>
    <w:rsid w:val="00FF0E21"/>
    <w:rsid w:val="00FF66D0"/>
    <w:rsid w:val="3D587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5B491"/>
  <w15:chartTrackingRefBased/>
  <w15:docId w15:val="{2182C398-EC00-46A2-9986-BF4B6134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30519"/>
    <w:rPr>
      <w:sz w:val="16"/>
      <w:szCs w:val="16"/>
    </w:rPr>
  </w:style>
  <w:style w:type="paragraph" w:styleId="CommentText">
    <w:name w:val="annotation text"/>
    <w:basedOn w:val="Normal"/>
    <w:link w:val="CommentTextChar"/>
    <w:uiPriority w:val="99"/>
    <w:semiHidden/>
    <w:unhideWhenUsed/>
    <w:rsid w:val="00A30519"/>
    <w:pPr>
      <w:spacing w:line="240" w:lineRule="auto"/>
    </w:pPr>
    <w:rPr>
      <w:sz w:val="20"/>
      <w:szCs w:val="20"/>
    </w:rPr>
  </w:style>
  <w:style w:type="character" w:customStyle="1" w:styleId="CommentTextChar">
    <w:name w:val="Comment Text Char"/>
    <w:basedOn w:val="DefaultParagraphFont"/>
    <w:link w:val="CommentText"/>
    <w:uiPriority w:val="99"/>
    <w:semiHidden/>
    <w:rsid w:val="00A30519"/>
    <w:rPr>
      <w:sz w:val="20"/>
      <w:szCs w:val="20"/>
    </w:rPr>
  </w:style>
  <w:style w:type="paragraph" w:styleId="CommentSubject">
    <w:name w:val="annotation subject"/>
    <w:basedOn w:val="CommentText"/>
    <w:next w:val="CommentText"/>
    <w:link w:val="CommentSubjectChar"/>
    <w:uiPriority w:val="99"/>
    <w:semiHidden/>
    <w:unhideWhenUsed/>
    <w:rsid w:val="00A30519"/>
    <w:rPr>
      <w:b/>
      <w:bCs/>
    </w:rPr>
  </w:style>
  <w:style w:type="character" w:customStyle="1" w:styleId="CommentSubjectChar">
    <w:name w:val="Comment Subject Char"/>
    <w:basedOn w:val="CommentTextChar"/>
    <w:link w:val="CommentSubject"/>
    <w:uiPriority w:val="99"/>
    <w:semiHidden/>
    <w:rsid w:val="00A30519"/>
    <w:rPr>
      <w:b/>
      <w:bCs/>
      <w:sz w:val="20"/>
      <w:szCs w:val="20"/>
    </w:rPr>
  </w:style>
  <w:style w:type="character" w:styleId="Hyperlink">
    <w:name w:val="Hyperlink"/>
    <w:basedOn w:val="DefaultParagraphFont"/>
    <w:uiPriority w:val="99"/>
    <w:unhideWhenUsed/>
    <w:rsid w:val="00C14A9B"/>
    <w:rPr>
      <w:color w:val="0563C1" w:themeColor="hyperlink"/>
      <w:u w:val="single"/>
    </w:rPr>
  </w:style>
  <w:style w:type="character" w:customStyle="1" w:styleId="UnresolvedMention">
    <w:name w:val="Unresolved Mention"/>
    <w:basedOn w:val="DefaultParagraphFont"/>
    <w:uiPriority w:val="99"/>
    <w:semiHidden/>
    <w:unhideWhenUsed/>
    <w:rsid w:val="00C14A9B"/>
    <w:rPr>
      <w:color w:val="605E5C"/>
      <w:shd w:val="clear" w:color="auto" w:fill="E1DFDD"/>
    </w:rPr>
  </w:style>
  <w:style w:type="paragraph" w:styleId="NoSpacing">
    <w:name w:val="No Spacing"/>
    <w:link w:val="NoSpacingChar"/>
    <w:uiPriority w:val="1"/>
    <w:qFormat/>
    <w:rsid w:val="008244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44B9"/>
    <w:rPr>
      <w:rFonts w:eastAsiaTheme="minorEastAsia"/>
      <w:lang w:val="en-US"/>
    </w:rPr>
  </w:style>
  <w:style w:type="paragraph" w:styleId="BalloonText">
    <w:name w:val="Balloon Text"/>
    <w:basedOn w:val="Normal"/>
    <w:link w:val="BalloonTextChar"/>
    <w:uiPriority w:val="99"/>
    <w:semiHidden/>
    <w:unhideWhenUsed/>
    <w:rsid w:val="00434F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4F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lawresources.co.uk/DPP-v-Smith.php" TargetMode="External"/><Relationship Id="rId18" Type="http://schemas.microsoft.com/office/2011/relationships/people" Target="people.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hyperlink" Target="https://www.e-lawresources.co.uk/R-v-Savage.ph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journals-sagepub-com.ezproxy.uwtsd.ac.uk/doi/full/10.1177/002201831668547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yperlink" Target="https://s3-eu-west-2.amazonaws.com/lawcom-prod-storage-11jsxou24uy7q/uploads/2015/11/lc361_offences_against_the_person_overview_new-1.pdf" TargetMode="External"/><Relationship Id="rId10" Type="http://schemas.openxmlformats.org/officeDocument/2006/relationships/comments" Target="comment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lawcom.gov.uk/project/offences-against-the-person/" TargetMode="External"/><Relationship Id="rId22" Type="http://schemas.microsoft.com/office/2016/09/relationships/commentsIds" Target="commentsId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D95EFA0C877453D9F42178D6DBBBE8A"/>
        <w:category>
          <w:name w:val="General"/>
          <w:gallery w:val="placeholder"/>
        </w:category>
        <w:types>
          <w:type w:val="bbPlcHdr"/>
        </w:types>
        <w:behaviors>
          <w:behavior w:val="content"/>
        </w:behaviors>
        <w:guid w:val="{2360BF22-2BA5-47CF-9440-FA549AA27530}"/>
      </w:docPartPr>
      <w:docPartBody>
        <w:p w:rsidR="008275FB" w:rsidRDefault="00AE5E52" w:rsidP="00AE5E52">
          <w:pPr>
            <w:pStyle w:val="3D95EFA0C877453D9F42178D6DBBBE8A"/>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E52"/>
    <w:rsid w:val="008275FB"/>
    <w:rsid w:val="00AE5E52"/>
    <w:rsid w:val="00F45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95EFA0C877453D9F42178D6DBBBE8A">
    <w:name w:val="3D95EFA0C877453D9F42178D6DBBBE8A"/>
    <w:rsid w:val="00AE5E52"/>
  </w:style>
  <w:style w:type="paragraph" w:customStyle="1" w:styleId="06AE4FBC4A494C59BCE2B81DAF467F81">
    <w:name w:val="06AE4FBC4A494C59BCE2B81DAF467F81"/>
    <w:rsid w:val="00AE5E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2021-04-04T00:00:00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6A3E62-D9BE-49F5-9591-241ACB93D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A6F14B-7EA8-4575-BC0A-80A1B37B78C0}">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1b88a2b3-a887-4da5-bc58-1cd6fd79184b"/>
    <ds:schemaRef ds:uri="http://www.w3.org/XML/1998/namespace"/>
    <ds:schemaRef ds:uri="http://purl.org/dc/elements/1.1/"/>
  </ds:schemaRefs>
</ds:datastoreItem>
</file>

<file path=customXml/itemProps4.xml><?xml version="1.0" encoding="utf-8"?>
<ds:datastoreItem xmlns:ds="http://schemas.openxmlformats.org/officeDocument/2006/customXml" ds:itemID="{2712AE40-BC77-4A3C-A2E9-1BC3E12122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1865</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REFORM OF NON-FATAL OFFENCES AGAINST THE person</vt:lpstr>
    </vt:vector>
  </TitlesOfParts>
  <Company>sophie clARE EVANS</Company>
  <LinksUpToDate>false</LinksUpToDate>
  <CharactersWithSpaces>12472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REFORM OF NON-FATAL OFFENCES AGAINST THE person</dc:title>
  <dc:subject/>
  <dc:creator>Sophie Clare Evans (2016050)</dc:creator>
  <cp:keywords/>
  <dc:description/>
  <cp:lastModifiedBy>Laura Knight</cp:lastModifiedBy>
  <cp:revision>2</cp:revision>
  <dcterms:created xsi:type="dcterms:W3CDTF">2021-03-08T12:47:00Z</dcterms:created>
  <dcterms:modified xsi:type="dcterms:W3CDTF">2021-03-08T12:47:00Z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