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38FF" w14:textId="54ABC6A0" w:rsidR="00200FFF" w:rsidRDefault="00D70E22" w:rsidP="00D70E22">
      <w:pPr>
        <w:spacing w:before="1000"/>
        <w:rPr>
          <w:b/>
          <w:bCs/>
          <w:color w:val="1F3864"/>
          <w:sz w:val="56"/>
          <w:szCs w:val="56"/>
        </w:rPr>
      </w:pPr>
      <w:r w:rsidRPr="00ED79AA">
        <w:rPr>
          <w:rFonts w:asciiTheme="majorHAnsi" w:hAnsiTheme="majorHAnsi" w:cstheme="majorHAnsi"/>
          <w:b/>
          <w:bCs/>
          <w:i/>
          <w:iCs/>
          <w:noProof/>
          <w:color w:val="888888"/>
        </w:rPr>
        <w:drawing>
          <wp:inline distT="0" distB="0" distL="0" distR="0" wp14:anchorId="1B14F615" wp14:editId="68CF891F">
            <wp:extent cx="2332736" cy="1514475"/>
            <wp:effectExtent l="0" t="0" r="0" b="0"/>
            <wp:docPr id="91128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5669" cy="1568317"/>
                    </a:xfrm>
                    <a:prstGeom prst="rect">
                      <a:avLst/>
                    </a:prstGeom>
                    <a:noFill/>
                    <a:ln>
                      <a:noFill/>
                    </a:ln>
                  </pic:spPr>
                </pic:pic>
              </a:graphicData>
            </a:graphic>
          </wp:inline>
        </w:drawing>
      </w:r>
    </w:p>
    <w:p w14:paraId="57F489AB" w14:textId="237B5785" w:rsidR="00200FFF" w:rsidRPr="00200FFF" w:rsidRDefault="00200FFF" w:rsidP="00D70E22">
      <w:pPr>
        <w:spacing w:before="1000"/>
        <w:rPr>
          <w:b/>
          <w:bCs/>
          <w:color w:val="1F3864"/>
          <w:sz w:val="56"/>
          <w:szCs w:val="56"/>
        </w:rPr>
      </w:pPr>
      <w:r>
        <w:rPr>
          <w:b/>
          <w:bCs/>
          <w:color w:val="1F3864"/>
          <w:sz w:val="56"/>
          <w:szCs w:val="56"/>
        </w:rPr>
        <w:t xml:space="preserve">                    </w:t>
      </w:r>
      <w:r w:rsidRPr="00C4646E">
        <w:rPr>
          <w:b/>
          <w:bCs/>
          <w:color w:val="1F3864"/>
          <w:sz w:val="56"/>
          <w:szCs w:val="56"/>
        </w:rPr>
        <w:t>CarerCircle</w:t>
      </w:r>
    </w:p>
    <w:p w14:paraId="2EBEE23F" w14:textId="77777777" w:rsidR="00361164" w:rsidRPr="00A328BC" w:rsidRDefault="003D2C49" w:rsidP="00C4646E">
      <w:pPr>
        <w:jc w:val="center"/>
        <w:rPr>
          <w:sz w:val="24"/>
          <w:szCs w:val="24"/>
        </w:rPr>
      </w:pPr>
      <w:r w:rsidRPr="00A328BC">
        <w:rPr>
          <w:b/>
          <w:bCs/>
          <w:sz w:val="32"/>
          <w:szCs w:val="32"/>
        </w:rPr>
        <w:t>Confidential Digital Wellbeing Support for the UK's Unpaid Carers</w:t>
      </w:r>
    </w:p>
    <w:p w14:paraId="6BFA609A" w14:textId="2223A963" w:rsidR="00361164" w:rsidRDefault="00361164" w:rsidP="00C4646E">
      <w:pPr>
        <w:jc w:val="center"/>
      </w:pPr>
    </w:p>
    <w:p w14:paraId="7F58EC5A" w14:textId="77777777" w:rsidR="00361164" w:rsidRDefault="00361164">
      <w:pPr>
        <w:spacing w:before="900"/>
      </w:pPr>
    </w:p>
    <w:p w14:paraId="11703501" w14:textId="3108A4C9" w:rsidR="00361164" w:rsidRPr="00696BDA" w:rsidRDefault="003D2C49" w:rsidP="00D15EE3">
      <w:pPr>
        <w:spacing w:after="80"/>
        <w:rPr>
          <w:sz w:val="28"/>
          <w:szCs w:val="28"/>
        </w:rPr>
      </w:pPr>
      <w:r w:rsidRPr="00696BDA">
        <w:rPr>
          <w:sz w:val="28"/>
          <w:szCs w:val="28"/>
        </w:rPr>
        <w:t xml:space="preserve">Student Name: </w:t>
      </w:r>
      <w:r w:rsidR="00696BDA" w:rsidRPr="00696BDA">
        <w:rPr>
          <w:sz w:val="28"/>
          <w:szCs w:val="28"/>
        </w:rPr>
        <w:t xml:space="preserve">Anita Johnson </w:t>
      </w:r>
    </w:p>
    <w:p w14:paraId="18AE2807" w14:textId="5CEFDD89" w:rsidR="00361164" w:rsidRPr="00696BDA" w:rsidRDefault="003D2C49" w:rsidP="00D15EE3">
      <w:pPr>
        <w:spacing w:after="80"/>
        <w:rPr>
          <w:sz w:val="28"/>
          <w:szCs w:val="28"/>
        </w:rPr>
      </w:pPr>
      <w:r w:rsidRPr="00696BDA">
        <w:rPr>
          <w:sz w:val="28"/>
          <w:szCs w:val="28"/>
        </w:rPr>
        <w:t>Student Number</w:t>
      </w:r>
      <w:r w:rsidRPr="00696BDA">
        <w:rPr>
          <w:sz w:val="28"/>
          <w:szCs w:val="28"/>
        </w:rPr>
        <w:t>:</w:t>
      </w:r>
      <w:r w:rsidR="00200FFF">
        <w:rPr>
          <w:sz w:val="28"/>
          <w:szCs w:val="28"/>
        </w:rPr>
        <w:t xml:space="preserve"> </w:t>
      </w:r>
      <w:r w:rsidR="00696BDA" w:rsidRPr="00696BDA">
        <w:rPr>
          <w:sz w:val="28"/>
          <w:szCs w:val="28"/>
        </w:rPr>
        <w:t>2422551</w:t>
      </w:r>
      <w:r w:rsidRPr="00696BDA">
        <w:rPr>
          <w:sz w:val="28"/>
          <w:szCs w:val="28"/>
        </w:rPr>
        <w:t xml:space="preserve"> </w:t>
      </w:r>
    </w:p>
    <w:p w14:paraId="6C426503" w14:textId="5FC86A92" w:rsidR="00361164" w:rsidRPr="00696BDA" w:rsidRDefault="003D2C49" w:rsidP="00D15EE3">
      <w:pPr>
        <w:spacing w:after="80"/>
        <w:rPr>
          <w:sz w:val="28"/>
          <w:szCs w:val="28"/>
        </w:rPr>
      </w:pPr>
      <w:r w:rsidRPr="00696BDA">
        <w:rPr>
          <w:sz w:val="28"/>
          <w:szCs w:val="28"/>
        </w:rPr>
        <w:t xml:space="preserve">Module Code and </w:t>
      </w:r>
      <w:r w:rsidR="009B1962" w:rsidRPr="00696BDA">
        <w:rPr>
          <w:sz w:val="28"/>
          <w:szCs w:val="28"/>
        </w:rPr>
        <w:t>Title:</w:t>
      </w:r>
      <w:r w:rsidR="009B1962" w:rsidRPr="009B1962">
        <w:rPr>
          <w:rFonts w:asciiTheme="majorHAnsi" w:hAnsiTheme="majorHAnsi" w:cstheme="majorHAnsi"/>
          <w:b/>
          <w:bCs/>
          <w:sz w:val="28"/>
          <w:szCs w:val="28"/>
        </w:rPr>
        <w:t xml:space="preserve"> Changemakers</w:t>
      </w:r>
      <w:r w:rsidR="009B1962" w:rsidRPr="009B1962">
        <w:rPr>
          <w:rFonts w:asciiTheme="majorHAnsi" w:hAnsiTheme="majorHAnsi" w:cstheme="majorHAnsi"/>
          <w:b/>
          <w:bCs/>
          <w:sz w:val="28"/>
          <w:szCs w:val="28"/>
        </w:rPr>
        <w:t>: Creativity and Value Creation</w:t>
      </w:r>
    </w:p>
    <w:p w14:paraId="4A2A2770" w14:textId="7163C11B" w:rsidR="00361164" w:rsidRPr="00696BDA" w:rsidRDefault="003D2C49" w:rsidP="00D15EE3">
      <w:pPr>
        <w:spacing w:after="80"/>
        <w:rPr>
          <w:sz w:val="28"/>
          <w:szCs w:val="28"/>
        </w:rPr>
      </w:pPr>
      <w:r w:rsidRPr="00696BDA">
        <w:rPr>
          <w:sz w:val="28"/>
          <w:szCs w:val="28"/>
        </w:rPr>
        <w:t>Lecturer's Name:</w:t>
      </w:r>
      <w:r w:rsidR="009B1962">
        <w:rPr>
          <w:sz w:val="28"/>
          <w:szCs w:val="28"/>
        </w:rPr>
        <w:t xml:space="preserve"> </w:t>
      </w:r>
      <w:r w:rsidR="00D21B53">
        <w:rPr>
          <w:sz w:val="28"/>
          <w:szCs w:val="28"/>
        </w:rPr>
        <w:t>Laila</w:t>
      </w:r>
      <w:r w:rsidR="009B1962">
        <w:rPr>
          <w:sz w:val="28"/>
          <w:szCs w:val="28"/>
        </w:rPr>
        <w:t xml:space="preserve"> Surani</w:t>
      </w:r>
    </w:p>
    <w:p w14:paraId="611A77DC" w14:textId="77777777" w:rsidR="00D70E22" w:rsidRDefault="003D2C49" w:rsidP="00D15EE3">
      <w:pPr>
        <w:spacing w:after="80"/>
        <w:rPr>
          <w:sz w:val="28"/>
          <w:szCs w:val="28"/>
        </w:rPr>
      </w:pPr>
      <w:r w:rsidRPr="00696BDA">
        <w:rPr>
          <w:sz w:val="28"/>
          <w:szCs w:val="28"/>
        </w:rPr>
        <w:t>Assignment Title: Component 2 — Poster and Pitch</w:t>
      </w:r>
    </w:p>
    <w:p w14:paraId="5C0C5D41" w14:textId="77777777" w:rsidR="00D70E22" w:rsidRDefault="00D70E22" w:rsidP="00D15EE3">
      <w:pPr>
        <w:spacing w:after="80"/>
        <w:rPr>
          <w:sz w:val="28"/>
          <w:szCs w:val="28"/>
        </w:rPr>
      </w:pPr>
    </w:p>
    <w:p w14:paraId="1A3FC418" w14:textId="77777777" w:rsidR="00D70E22" w:rsidRDefault="00D70E22" w:rsidP="00D15EE3">
      <w:pPr>
        <w:spacing w:after="80"/>
        <w:rPr>
          <w:sz w:val="28"/>
          <w:szCs w:val="28"/>
        </w:rPr>
      </w:pPr>
    </w:p>
    <w:p w14:paraId="490F58B0" w14:textId="77777777" w:rsidR="00D70E22" w:rsidRDefault="00D70E22" w:rsidP="00D15EE3">
      <w:pPr>
        <w:spacing w:after="80"/>
        <w:rPr>
          <w:sz w:val="28"/>
          <w:szCs w:val="28"/>
        </w:rPr>
      </w:pPr>
    </w:p>
    <w:p w14:paraId="2282E0E0" w14:textId="77777777" w:rsidR="00D70E22" w:rsidRDefault="00D70E22" w:rsidP="00D15EE3">
      <w:pPr>
        <w:spacing w:after="80"/>
        <w:rPr>
          <w:sz w:val="28"/>
          <w:szCs w:val="28"/>
        </w:rPr>
      </w:pPr>
    </w:p>
    <w:p w14:paraId="3261036B" w14:textId="77777777" w:rsidR="00D70E22" w:rsidRDefault="00D70E22" w:rsidP="00D15EE3">
      <w:pPr>
        <w:spacing w:after="80"/>
        <w:rPr>
          <w:sz w:val="28"/>
          <w:szCs w:val="28"/>
        </w:rPr>
      </w:pPr>
    </w:p>
    <w:p w14:paraId="278658F3" w14:textId="77777777" w:rsidR="00D70E22" w:rsidRDefault="00D70E22" w:rsidP="00D15EE3">
      <w:pPr>
        <w:spacing w:after="80"/>
        <w:rPr>
          <w:sz w:val="28"/>
          <w:szCs w:val="28"/>
        </w:rPr>
      </w:pPr>
    </w:p>
    <w:p w14:paraId="2640D919" w14:textId="77777777" w:rsidR="00D70E22" w:rsidRDefault="00D70E22" w:rsidP="00D15EE3">
      <w:pPr>
        <w:spacing w:after="80"/>
        <w:rPr>
          <w:sz w:val="28"/>
          <w:szCs w:val="28"/>
        </w:rPr>
      </w:pPr>
    </w:p>
    <w:p w14:paraId="32A8394B" w14:textId="77777777" w:rsidR="00D70E22" w:rsidRDefault="00D70E22" w:rsidP="00D15EE3">
      <w:pPr>
        <w:spacing w:after="80"/>
        <w:rPr>
          <w:sz w:val="28"/>
          <w:szCs w:val="28"/>
        </w:rPr>
      </w:pPr>
    </w:p>
    <w:p w14:paraId="030E5491" w14:textId="77777777" w:rsidR="00D70E22" w:rsidRDefault="00D70E22" w:rsidP="00D15EE3">
      <w:pPr>
        <w:spacing w:after="80"/>
        <w:rPr>
          <w:sz w:val="28"/>
          <w:szCs w:val="28"/>
        </w:rPr>
      </w:pPr>
    </w:p>
    <w:p w14:paraId="3B1AFD99" w14:textId="77777777" w:rsidR="00D70E22" w:rsidRDefault="00D70E22" w:rsidP="00D15EE3">
      <w:pPr>
        <w:spacing w:after="80"/>
        <w:rPr>
          <w:sz w:val="28"/>
          <w:szCs w:val="28"/>
        </w:rPr>
      </w:pPr>
    </w:p>
    <w:p w14:paraId="5F43C988" w14:textId="77777777" w:rsidR="00D70E22" w:rsidRDefault="00D70E22" w:rsidP="00D15EE3">
      <w:pPr>
        <w:spacing w:after="80"/>
        <w:rPr>
          <w:sz w:val="28"/>
          <w:szCs w:val="28"/>
        </w:rPr>
      </w:pPr>
    </w:p>
    <w:p w14:paraId="1BF71B79" w14:textId="6FA6C14D" w:rsidR="00361164" w:rsidRPr="00696BDA" w:rsidRDefault="00200FFF" w:rsidP="00D15EE3">
      <w:pPr>
        <w:spacing w:after="80"/>
        <w:rPr>
          <w:sz w:val="28"/>
          <w:szCs w:val="28"/>
        </w:rPr>
      </w:pPr>
      <w:r>
        <w:rPr>
          <w:sz w:val="28"/>
          <w:szCs w:val="28"/>
        </w:rPr>
        <w:t xml:space="preserve">                                  </w:t>
      </w:r>
      <w:r w:rsidR="003D2C49" w:rsidRPr="00696BDA">
        <w:rPr>
          <w:sz w:val="28"/>
          <w:szCs w:val="28"/>
        </w:rPr>
        <w:t xml:space="preserve">Date of Submission: </w:t>
      </w:r>
      <w:r>
        <w:rPr>
          <w:sz w:val="28"/>
          <w:szCs w:val="28"/>
        </w:rPr>
        <w:t>24/ 07/26</w:t>
      </w:r>
    </w:p>
    <w:p w14:paraId="71E5C2A0" w14:textId="77777777" w:rsidR="00361164" w:rsidRDefault="003D2C49">
      <w:r>
        <w:br w:type="page"/>
      </w:r>
    </w:p>
    <w:p w14:paraId="4A3785BE" w14:textId="11585392" w:rsidR="00621B69" w:rsidRDefault="00F24508">
      <w:r>
        <w:lastRenderedPageBreak/>
        <w:t xml:space="preserve"> </w:t>
      </w:r>
    </w:p>
    <w:p w14:paraId="1B2D6F8D" w14:textId="185105F8" w:rsidR="00621B69" w:rsidRPr="00F24508" w:rsidRDefault="00F24508">
      <w:pPr>
        <w:rPr>
          <w:sz w:val="32"/>
          <w:szCs w:val="32"/>
        </w:rPr>
      </w:pPr>
      <w:r>
        <w:rPr>
          <w:sz w:val="32"/>
          <w:szCs w:val="32"/>
        </w:rPr>
        <w:t xml:space="preserve">                                    </w:t>
      </w:r>
      <w:r w:rsidR="00621B69" w:rsidRPr="00F24508">
        <w:rPr>
          <w:sz w:val="32"/>
          <w:szCs w:val="32"/>
        </w:rPr>
        <w:t>Table of content</w:t>
      </w:r>
      <w:r w:rsidRPr="00F24508">
        <w:rPr>
          <w:sz w:val="32"/>
          <w:szCs w:val="32"/>
        </w:rPr>
        <w:t>s</w:t>
      </w:r>
    </w:p>
    <w:p w14:paraId="31AACB9E" w14:textId="77777777" w:rsidR="00621B69" w:rsidRDefault="00621B69"/>
    <w:p w14:paraId="6F7742AA" w14:textId="77777777" w:rsidR="00621B69" w:rsidRDefault="00621B69"/>
    <w:p w14:paraId="7C9E2300" w14:textId="77777777" w:rsidR="00621B69" w:rsidRDefault="00621B69"/>
    <w:p w14:paraId="0FF98CA5" w14:textId="77777777" w:rsidR="00621B69" w:rsidRDefault="00621B69"/>
    <w:sdt>
      <w:sdtPr>
        <w:id w:val="-63341269"/>
        <w:docPartObj>
          <w:docPartGallery w:val="Table of Contents"/>
          <w:docPartUnique/>
        </w:docPartObj>
      </w:sdtPr>
      <w:sdtEndPr>
        <w:rPr>
          <w:rFonts w:ascii="Arial" w:eastAsia="Arial" w:hAnsi="Arial" w:cs="Arial"/>
          <w:b/>
          <w:bCs/>
          <w:color w:val="auto"/>
          <w:sz w:val="22"/>
          <w:szCs w:val="22"/>
          <w:lang w:val="en-US" w:eastAsia="en-US"/>
        </w:rPr>
      </w:sdtEndPr>
      <w:sdtContent>
        <w:p w14:paraId="77C79D1A" w14:textId="6A2DE7A9" w:rsidR="004131E8" w:rsidRDefault="004131E8">
          <w:pPr>
            <w:pStyle w:val="TOCHeading"/>
          </w:pPr>
          <w:r>
            <w:t>Contents</w:t>
          </w:r>
        </w:p>
        <w:p w14:paraId="569AB29E" w14:textId="2C27A442" w:rsidR="004131E8" w:rsidRDefault="004131E8">
          <w:pPr>
            <w:pStyle w:val="TOC1"/>
            <w:rPr>
              <w:rFonts w:asciiTheme="minorHAnsi" w:eastAsiaTheme="minorEastAsia" w:hAnsiTheme="minorHAnsi" w:cstheme="minorBidi"/>
              <w:b w:val="0"/>
              <w:bCs w:val="0"/>
              <w:kern w:val="2"/>
              <w:sz w:val="24"/>
              <w:szCs w:val="24"/>
              <w:lang w:val="en-GB" w:eastAsia="en-GB"/>
              <w14:ligatures w14:val="standardContextual"/>
            </w:rPr>
          </w:pPr>
          <w:r>
            <w:fldChar w:fldCharType="begin"/>
          </w:r>
          <w:r>
            <w:instrText xml:space="preserve"> TOC \o "1-3" \h \z \u </w:instrText>
          </w:r>
          <w:r>
            <w:fldChar w:fldCharType="separate"/>
          </w:r>
          <w:hyperlink w:anchor="_Toc237373254" w:history="1">
            <w:r w:rsidRPr="006B3854">
              <w:rPr>
                <w:rStyle w:val="Hyperlink"/>
              </w:rPr>
              <w:t>CarerCircle</w:t>
            </w:r>
            <w:r>
              <w:rPr>
                <w:webHidden/>
              </w:rPr>
              <w:tab/>
            </w:r>
            <w:r>
              <w:rPr>
                <w:webHidden/>
              </w:rPr>
              <w:fldChar w:fldCharType="begin"/>
            </w:r>
            <w:r>
              <w:rPr>
                <w:webHidden/>
              </w:rPr>
              <w:instrText xml:space="preserve"> PAGEREF _Toc237373254 \h </w:instrText>
            </w:r>
            <w:r>
              <w:rPr>
                <w:webHidden/>
              </w:rPr>
            </w:r>
            <w:r>
              <w:rPr>
                <w:webHidden/>
              </w:rPr>
              <w:fldChar w:fldCharType="separate"/>
            </w:r>
            <w:r>
              <w:rPr>
                <w:webHidden/>
              </w:rPr>
              <w:t>3</w:t>
            </w:r>
            <w:r>
              <w:rPr>
                <w:webHidden/>
              </w:rPr>
              <w:fldChar w:fldCharType="end"/>
            </w:r>
          </w:hyperlink>
        </w:p>
        <w:p w14:paraId="07C329C0" w14:textId="1BCAC675" w:rsidR="004131E8" w:rsidRDefault="004131E8">
          <w:pPr>
            <w:pStyle w:val="TOC1"/>
            <w:rPr>
              <w:rFonts w:asciiTheme="minorHAnsi" w:eastAsiaTheme="minorEastAsia" w:hAnsiTheme="minorHAnsi" w:cstheme="minorBidi"/>
              <w:b w:val="0"/>
              <w:bCs w:val="0"/>
              <w:kern w:val="2"/>
              <w:sz w:val="24"/>
              <w:szCs w:val="24"/>
              <w:lang w:val="en-GB" w:eastAsia="en-GB"/>
              <w14:ligatures w14:val="standardContextual"/>
            </w:rPr>
          </w:pPr>
          <w:hyperlink w:anchor="_Toc237373255" w:history="1">
            <w:r w:rsidRPr="006B3854">
              <w:rPr>
                <w:rStyle w:val="Hyperlink"/>
              </w:rPr>
              <w:t>poster</w:t>
            </w:r>
            <w:r>
              <w:rPr>
                <w:webHidden/>
              </w:rPr>
              <w:tab/>
            </w:r>
            <w:r>
              <w:rPr>
                <w:webHidden/>
              </w:rPr>
              <w:fldChar w:fldCharType="begin"/>
            </w:r>
            <w:r>
              <w:rPr>
                <w:webHidden/>
              </w:rPr>
              <w:instrText xml:space="preserve"> PAGEREF _Toc237373255 \h </w:instrText>
            </w:r>
            <w:r>
              <w:rPr>
                <w:webHidden/>
              </w:rPr>
            </w:r>
            <w:r>
              <w:rPr>
                <w:webHidden/>
              </w:rPr>
              <w:fldChar w:fldCharType="separate"/>
            </w:r>
            <w:r>
              <w:rPr>
                <w:webHidden/>
              </w:rPr>
              <w:t>4</w:t>
            </w:r>
            <w:r>
              <w:rPr>
                <w:webHidden/>
              </w:rPr>
              <w:fldChar w:fldCharType="end"/>
            </w:r>
          </w:hyperlink>
        </w:p>
        <w:p w14:paraId="65254FC3" w14:textId="33252A6A" w:rsidR="004131E8" w:rsidRDefault="004131E8" w:rsidP="004131E8">
          <w:pPr>
            <w:pStyle w:val="TOC2"/>
            <w:tabs>
              <w:tab w:val="right" w:leader="dot" w:pos="9628"/>
            </w:tabs>
            <w:ind w:left="0"/>
            <w:rPr>
              <w:rFonts w:asciiTheme="minorHAnsi" w:eastAsiaTheme="minorEastAsia" w:hAnsiTheme="minorHAnsi" w:cstheme="minorBidi"/>
              <w:noProof/>
              <w:kern w:val="2"/>
              <w:sz w:val="24"/>
              <w:szCs w:val="24"/>
              <w:lang w:val="en-GB" w:eastAsia="en-GB"/>
              <w14:ligatures w14:val="standardContextual"/>
            </w:rPr>
          </w:pPr>
          <w:hyperlink w:anchor="_Toc237373256" w:history="1">
            <w:r w:rsidRPr="006B3854">
              <w:rPr>
                <w:rStyle w:val="Hyperlink"/>
                <w:b/>
                <w:bCs/>
                <w:noProof/>
              </w:rPr>
              <w:t>Background</w:t>
            </w:r>
            <w:r>
              <w:rPr>
                <w:noProof/>
                <w:webHidden/>
              </w:rPr>
              <w:tab/>
            </w:r>
            <w:r>
              <w:rPr>
                <w:noProof/>
                <w:webHidden/>
              </w:rPr>
              <w:fldChar w:fldCharType="begin"/>
            </w:r>
            <w:r>
              <w:rPr>
                <w:noProof/>
                <w:webHidden/>
              </w:rPr>
              <w:instrText xml:space="preserve"> PAGEREF _Toc237373256 \h </w:instrText>
            </w:r>
            <w:r>
              <w:rPr>
                <w:noProof/>
                <w:webHidden/>
              </w:rPr>
            </w:r>
            <w:r>
              <w:rPr>
                <w:noProof/>
                <w:webHidden/>
              </w:rPr>
              <w:fldChar w:fldCharType="separate"/>
            </w:r>
            <w:r>
              <w:rPr>
                <w:noProof/>
                <w:webHidden/>
              </w:rPr>
              <w:t>5</w:t>
            </w:r>
            <w:r>
              <w:rPr>
                <w:noProof/>
                <w:webHidden/>
              </w:rPr>
              <w:fldChar w:fldCharType="end"/>
            </w:r>
          </w:hyperlink>
        </w:p>
        <w:p w14:paraId="6371E1B3" w14:textId="277A044E" w:rsidR="004131E8" w:rsidRDefault="004131E8" w:rsidP="004131E8">
          <w:pPr>
            <w:pStyle w:val="TOC2"/>
            <w:tabs>
              <w:tab w:val="right" w:leader="dot" w:pos="9628"/>
            </w:tabs>
            <w:ind w:left="0"/>
            <w:rPr>
              <w:rFonts w:asciiTheme="minorHAnsi" w:eastAsiaTheme="minorEastAsia" w:hAnsiTheme="minorHAnsi" w:cstheme="minorBidi"/>
              <w:noProof/>
              <w:kern w:val="2"/>
              <w:sz w:val="24"/>
              <w:szCs w:val="24"/>
              <w:lang w:val="en-GB" w:eastAsia="en-GB"/>
              <w14:ligatures w14:val="standardContextual"/>
            </w:rPr>
          </w:pPr>
          <w:hyperlink w:anchor="_Toc237373257" w:history="1">
            <w:r w:rsidRPr="006B3854">
              <w:rPr>
                <w:rStyle w:val="Hyperlink"/>
                <w:b/>
                <w:bCs/>
                <w:noProof/>
              </w:rPr>
              <w:t>Innovation Description</w:t>
            </w:r>
            <w:r>
              <w:rPr>
                <w:noProof/>
                <w:webHidden/>
              </w:rPr>
              <w:tab/>
            </w:r>
            <w:r>
              <w:rPr>
                <w:noProof/>
                <w:webHidden/>
              </w:rPr>
              <w:fldChar w:fldCharType="begin"/>
            </w:r>
            <w:r>
              <w:rPr>
                <w:noProof/>
                <w:webHidden/>
              </w:rPr>
              <w:instrText xml:space="preserve"> PAGEREF _Toc237373257 \h </w:instrText>
            </w:r>
            <w:r>
              <w:rPr>
                <w:noProof/>
                <w:webHidden/>
              </w:rPr>
            </w:r>
            <w:r>
              <w:rPr>
                <w:noProof/>
                <w:webHidden/>
              </w:rPr>
              <w:fldChar w:fldCharType="separate"/>
            </w:r>
            <w:r>
              <w:rPr>
                <w:noProof/>
                <w:webHidden/>
              </w:rPr>
              <w:t>5</w:t>
            </w:r>
            <w:r>
              <w:rPr>
                <w:noProof/>
                <w:webHidden/>
              </w:rPr>
              <w:fldChar w:fldCharType="end"/>
            </w:r>
          </w:hyperlink>
        </w:p>
        <w:p w14:paraId="22EC8584" w14:textId="26D63A8C" w:rsidR="004131E8" w:rsidRDefault="004131E8" w:rsidP="004131E8">
          <w:pPr>
            <w:pStyle w:val="TOC2"/>
            <w:tabs>
              <w:tab w:val="right" w:leader="dot" w:pos="9628"/>
            </w:tabs>
            <w:ind w:left="0"/>
            <w:rPr>
              <w:rFonts w:asciiTheme="minorHAnsi" w:eastAsiaTheme="minorEastAsia" w:hAnsiTheme="minorHAnsi" w:cstheme="minorBidi"/>
              <w:noProof/>
              <w:kern w:val="2"/>
              <w:sz w:val="24"/>
              <w:szCs w:val="24"/>
              <w:lang w:val="en-GB" w:eastAsia="en-GB"/>
              <w14:ligatures w14:val="standardContextual"/>
            </w:rPr>
          </w:pPr>
          <w:hyperlink w:anchor="_Toc237373258" w:history="1">
            <w:r w:rsidRPr="006B3854">
              <w:rPr>
                <w:rStyle w:val="Hyperlink"/>
                <w:b/>
                <w:bCs/>
                <w:noProof/>
              </w:rPr>
              <w:t>Impact on Health and Social Care</w:t>
            </w:r>
            <w:r>
              <w:rPr>
                <w:noProof/>
                <w:webHidden/>
              </w:rPr>
              <w:tab/>
            </w:r>
            <w:r>
              <w:rPr>
                <w:noProof/>
                <w:webHidden/>
              </w:rPr>
              <w:fldChar w:fldCharType="begin"/>
            </w:r>
            <w:r>
              <w:rPr>
                <w:noProof/>
                <w:webHidden/>
              </w:rPr>
              <w:instrText xml:space="preserve"> PAGEREF _Toc237373258 \h </w:instrText>
            </w:r>
            <w:r>
              <w:rPr>
                <w:noProof/>
                <w:webHidden/>
              </w:rPr>
            </w:r>
            <w:r>
              <w:rPr>
                <w:noProof/>
                <w:webHidden/>
              </w:rPr>
              <w:fldChar w:fldCharType="separate"/>
            </w:r>
            <w:r>
              <w:rPr>
                <w:noProof/>
                <w:webHidden/>
              </w:rPr>
              <w:t>6</w:t>
            </w:r>
            <w:r>
              <w:rPr>
                <w:noProof/>
                <w:webHidden/>
              </w:rPr>
              <w:fldChar w:fldCharType="end"/>
            </w:r>
          </w:hyperlink>
        </w:p>
        <w:p w14:paraId="66CAEB99" w14:textId="677C6361" w:rsidR="004131E8" w:rsidRDefault="004131E8" w:rsidP="004131E8">
          <w:pPr>
            <w:pStyle w:val="TOC2"/>
            <w:tabs>
              <w:tab w:val="right" w:leader="dot" w:pos="9628"/>
            </w:tabs>
            <w:ind w:left="0"/>
            <w:rPr>
              <w:rFonts w:asciiTheme="minorHAnsi" w:eastAsiaTheme="minorEastAsia" w:hAnsiTheme="minorHAnsi" w:cstheme="minorBidi"/>
              <w:noProof/>
              <w:kern w:val="2"/>
              <w:sz w:val="24"/>
              <w:szCs w:val="24"/>
              <w:lang w:val="en-GB" w:eastAsia="en-GB"/>
              <w14:ligatures w14:val="standardContextual"/>
            </w:rPr>
          </w:pPr>
          <w:hyperlink w:anchor="_Toc237373259" w:history="1">
            <w:r w:rsidRPr="006B3854">
              <w:rPr>
                <w:rStyle w:val="Hyperlink"/>
                <w:b/>
                <w:bCs/>
                <w:noProof/>
              </w:rPr>
              <w:t>Public and Stakeholder Involvement</w:t>
            </w:r>
            <w:r>
              <w:rPr>
                <w:noProof/>
                <w:webHidden/>
              </w:rPr>
              <w:tab/>
            </w:r>
            <w:r>
              <w:rPr>
                <w:noProof/>
                <w:webHidden/>
              </w:rPr>
              <w:fldChar w:fldCharType="begin"/>
            </w:r>
            <w:r>
              <w:rPr>
                <w:noProof/>
                <w:webHidden/>
              </w:rPr>
              <w:instrText xml:space="preserve"> PAGEREF _Toc237373259 \h </w:instrText>
            </w:r>
            <w:r>
              <w:rPr>
                <w:noProof/>
                <w:webHidden/>
              </w:rPr>
            </w:r>
            <w:r>
              <w:rPr>
                <w:noProof/>
                <w:webHidden/>
              </w:rPr>
              <w:fldChar w:fldCharType="separate"/>
            </w:r>
            <w:r>
              <w:rPr>
                <w:noProof/>
                <w:webHidden/>
              </w:rPr>
              <w:t>6</w:t>
            </w:r>
            <w:r>
              <w:rPr>
                <w:noProof/>
                <w:webHidden/>
              </w:rPr>
              <w:fldChar w:fldCharType="end"/>
            </w:r>
          </w:hyperlink>
        </w:p>
        <w:p w14:paraId="11BD33D6" w14:textId="7C522AF0" w:rsidR="004131E8" w:rsidRDefault="004131E8" w:rsidP="004131E8">
          <w:pPr>
            <w:pStyle w:val="TOC2"/>
            <w:tabs>
              <w:tab w:val="right" w:leader="dot" w:pos="9628"/>
            </w:tabs>
            <w:ind w:left="0"/>
            <w:rPr>
              <w:rFonts w:asciiTheme="minorHAnsi" w:eastAsiaTheme="minorEastAsia" w:hAnsiTheme="minorHAnsi" w:cstheme="minorBidi"/>
              <w:noProof/>
              <w:kern w:val="2"/>
              <w:sz w:val="24"/>
              <w:szCs w:val="24"/>
              <w:lang w:val="en-GB" w:eastAsia="en-GB"/>
              <w14:ligatures w14:val="standardContextual"/>
            </w:rPr>
          </w:pPr>
          <w:hyperlink w:anchor="_Toc237373260" w:history="1">
            <w:r w:rsidRPr="006B3854">
              <w:rPr>
                <w:rStyle w:val="Hyperlink"/>
                <w:b/>
                <w:bCs/>
                <w:noProof/>
              </w:rPr>
              <w:t>Policies, Services and Professional Links</w:t>
            </w:r>
            <w:r>
              <w:rPr>
                <w:noProof/>
                <w:webHidden/>
              </w:rPr>
              <w:tab/>
            </w:r>
            <w:r>
              <w:rPr>
                <w:noProof/>
                <w:webHidden/>
              </w:rPr>
              <w:fldChar w:fldCharType="begin"/>
            </w:r>
            <w:r>
              <w:rPr>
                <w:noProof/>
                <w:webHidden/>
              </w:rPr>
              <w:instrText xml:space="preserve"> PAGEREF _Toc237373260 \h </w:instrText>
            </w:r>
            <w:r>
              <w:rPr>
                <w:noProof/>
                <w:webHidden/>
              </w:rPr>
            </w:r>
            <w:r>
              <w:rPr>
                <w:noProof/>
                <w:webHidden/>
              </w:rPr>
              <w:fldChar w:fldCharType="separate"/>
            </w:r>
            <w:r>
              <w:rPr>
                <w:noProof/>
                <w:webHidden/>
              </w:rPr>
              <w:t>7</w:t>
            </w:r>
            <w:r>
              <w:rPr>
                <w:noProof/>
                <w:webHidden/>
              </w:rPr>
              <w:fldChar w:fldCharType="end"/>
            </w:r>
          </w:hyperlink>
        </w:p>
        <w:p w14:paraId="227A57C2" w14:textId="590F45F0" w:rsidR="004131E8" w:rsidRDefault="004131E8">
          <w:pPr>
            <w:pStyle w:val="TOC1"/>
            <w:rPr>
              <w:rFonts w:asciiTheme="minorHAnsi" w:eastAsiaTheme="minorEastAsia" w:hAnsiTheme="minorHAnsi" w:cstheme="minorBidi"/>
              <w:b w:val="0"/>
              <w:bCs w:val="0"/>
              <w:kern w:val="2"/>
              <w:sz w:val="24"/>
              <w:szCs w:val="24"/>
              <w:lang w:val="en-GB" w:eastAsia="en-GB"/>
              <w14:ligatures w14:val="standardContextual"/>
            </w:rPr>
          </w:pPr>
          <w:hyperlink w:anchor="_Toc237373261" w:history="1">
            <w:r w:rsidRPr="006B3854">
              <w:rPr>
                <w:rStyle w:val="Hyperlink"/>
              </w:rPr>
              <w:t>Conclusion</w:t>
            </w:r>
            <w:r>
              <w:rPr>
                <w:webHidden/>
              </w:rPr>
              <w:tab/>
            </w:r>
            <w:r>
              <w:rPr>
                <w:webHidden/>
              </w:rPr>
              <w:fldChar w:fldCharType="begin"/>
            </w:r>
            <w:r>
              <w:rPr>
                <w:webHidden/>
              </w:rPr>
              <w:instrText xml:space="preserve"> PAGEREF _Toc237373261 \h </w:instrText>
            </w:r>
            <w:r>
              <w:rPr>
                <w:webHidden/>
              </w:rPr>
            </w:r>
            <w:r>
              <w:rPr>
                <w:webHidden/>
              </w:rPr>
              <w:fldChar w:fldCharType="separate"/>
            </w:r>
            <w:r>
              <w:rPr>
                <w:webHidden/>
              </w:rPr>
              <w:t>7</w:t>
            </w:r>
            <w:r>
              <w:rPr>
                <w:webHidden/>
              </w:rPr>
              <w:fldChar w:fldCharType="end"/>
            </w:r>
          </w:hyperlink>
        </w:p>
        <w:p w14:paraId="3FE2D998" w14:textId="39FAEB9E" w:rsidR="004131E8" w:rsidRDefault="004131E8">
          <w:r>
            <w:rPr>
              <w:b/>
              <w:bCs/>
            </w:rPr>
            <w:fldChar w:fldCharType="end"/>
          </w:r>
        </w:p>
      </w:sdtContent>
    </w:sdt>
    <w:p w14:paraId="440B5E91" w14:textId="77777777" w:rsidR="00621B69" w:rsidRDefault="00621B69"/>
    <w:p w14:paraId="09AB0645" w14:textId="77777777" w:rsidR="00621B69" w:rsidRDefault="00621B69"/>
    <w:p w14:paraId="335E8D67" w14:textId="77777777" w:rsidR="00621B69" w:rsidRDefault="00621B69"/>
    <w:p w14:paraId="7D02F530" w14:textId="77777777" w:rsidR="00621B69" w:rsidRDefault="00621B69"/>
    <w:p w14:paraId="0E8216F5" w14:textId="77777777" w:rsidR="00621B69" w:rsidRDefault="00621B69"/>
    <w:p w14:paraId="2A020A6D" w14:textId="77777777" w:rsidR="00621B69" w:rsidRDefault="00621B69"/>
    <w:p w14:paraId="3AFE5AC2" w14:textId="77777777" w:rsidR="00621B69" w:rsidRDefault="00621B69"/>
    <w:p w14:paraId="7317D45F" w14:textId="77777777" w:rsidR="00621B69" w:rsidRDefault="00621B69"/>
    <w:p w14:paraId="1CBEE5CE" w14:textId="77777777" w:rsidR="00621B69" w:rsidRDefault="00621B69"/>
    <w:p w14:paraId="4DCAE2E3" w14:textId="77777777" w:rsidR="00621B69" w:rsidRDefault="00621B69"/>
    <w:p w14:paraId="6ED0709F" w14:textId="77777777" w:rsidR="00621B69" w:rsidRDefault="00621B69"/>
    <w:p w14:paraId="610905D3" w14:textId="77777777" w:rsidR="00621B69" w:rsidRDefault="00621B69"/>
    <w:p w14:paraId="2927C993" w14:textId="77777777" w:rsidR="00621B69" w:rsidRDefault="00621B69"/>
    <w:p w14:paraId="48B02261" w14:textId="77777777" w:rsidR="00621B69" w:rsidRDefault="00621B69"/>
    <w:p w14:paraId="7E8C74C3" w14:textId="77777777" w:rsidR="00621B69" w:rsidRDefault="00621B69"/>
    <w:p w14:paraId="5600152D" w14:textId="77777777" w:rsidR="00621B69" w:rsidRDefault="00621B69"/>
    <w:p w14:paraId="1B286E8B" w14:textId="77777777" w:rsidR="00621B69" w:rsidRDefault="00621B69"/>
    <w:p w14:paraId="2E98088B" w14:textId="77777777" w:rsidR="00621B69" w:rsidRDefault="00621B69"/>
    <w:p w14:paraId="408A3D43" w14:textId="77777777" w:rsidR="00621B69" w:rsidRDefault="00621B69"/>
    <w:p w14:paraId="14684B10" w14:textId="77777777" w:rsidR="00621B69" w:rsidRDefault="00621B69"/>
    <w:p w14:paraId="2769621C" w14:textId="77777777" w:rsidR="00621B69" w:rsidRDefault="00621B69"/>
    <w:p w14:paraId="50F71040" w14:textId="77777777" w:rsidR="00621B69" w:rsidRDefault="00621B69"/>
    <w:p w14:paraId="2E982EBD" w14:textId="77777777" w:rsidR="00621B69" w:rsidRDefault="00621B69"/>
    <w:p w14:paraId="5377438E" w14:textId="77777777" w:rsidR="00621B69" w:rsidRDefault="00621B69"/>
    <w:p w14:paraId="1B9A6738" w14:textId="77777777" w:rsidR="00621B69" w:rsidRDefault="00621B69"/>
    <w:p w14:paraId="34ED8926" w14:textId="77777777" w:rsidR="00412FDE" w:rsidRDefault="00412FDE"/>
    <w:p w14:paraId="5471A3E4" w14:textId="77777777" w:rsidR="00412FDE" w:rsidRDefault="00412FDE"/>
    <w:p w14:paraId="4499A9D9" w14:textId="77777777" w:rsidR="00412FDE" w:rsidRDefault="00412FDE"/>
    <w:p w14:paraId="192C0FC0" w14:textId="77777777" w:rsidR="00412FDE" w:rsidRDefault="00412FDE"/>
    <w:p w14:paraId="1D1D7ADD" w14:textId="77777777" w:rsidR="00412FDE" w:rsidRDefault="00412FDE"/>
    <w:p w14:paraId="71728ED0" w14:textId="77777777" w:rsidR="00412FDE" w:rsidRDefault="00412FDE"/>
    <w:p w14:paraId="1FAD15F8" w14:textId="77777777" w:rsidR="00412FDE" w:rsidRDefault="00412FDE"/>
    <w:p w14:paraId="3A3A21C0" w14:textId="77777777" w:rsidR="00412FDE" w:rsidRDefault="00412FDE"/>
    <w:p w14:paraId="6408EAA0" w14:textId="77777777" w:rsidR="00412FDE" w:rsidRDefault="00412FDE"/>
    <w:p w14:paraId="28356D68" w14:textId="77777777" w:rsidR="00412FDE" w:rsidRDefault="00412FDE"/>
    <w:p w14:paraId="02FFB1B5" w14:textId="77777777" w:rsidR="00412FDE" w:rsidRDefault="00412FDE"/>
    <w:p w14:paraId="0E9F4805" w14:textId="77777777" w:rsidR="00412FDE" w:rsidRDefault="00412FDE"/>
    <w:p w14:paraId="3AC58C97" w14:textId="77777777" w:rsidR="00412FDE" w:rsidRDefault="00412FDE"/>
    <w:p w14:paraId="2A47D73D" w14:textId="77777777" w:rsidR="00412FDE" w:rsidRDefault="00412FDE"/>
    <w:p w14:paraId="4A3F9341" w14:textId="77777777" w:rsidR="00412FDE" w:rsidRDefault="00412FDE"/>
    <w:p w14:paraId="3556B801" w14:textId="77777777" w:rsidR="00412FDE" w:rsidRDefault="00412FDE"/>
    <w:p w14:paraId="08C536B5" w14:textId="77777777" w:rsidR="00412FDE" w:rsidRDefault="00412FDE"/>
    <w:p w14:paraId="29945F16" w14:textId="77777777" w:rsidR="00412FDE" w:rsidRDefault="00412FDE"/>
    <w:p w14:paraId="65664DD8" w14:textId="77777777" w:rsidR="00412FDE" w:rsidRDefault="00412FDE"/>
    <w:p w14:paraId="467854E6" w14:textId="0D9C0715" w:rsidR="008409DC" w:rsidRDefault="001D48D9" w:rsidP="00C963BF">
      <w:pPr>
        <w:pStyle w:val="Heading1"/>
        <w:rPr>
          <w:b/>
          <w:bCs/>
          <w:color w:val="auto"/>
          <w:sz w:val="48"/>
          <w:szCs w:val="48"/>
        </w:rPr>
      </w:pPr>
      <w:r w:rsidRPr="00C963BF">
        <w:rPr>
          <w:b/>
          <w:bCs/>
          <w:color w:val="auto"/>
          <w:sz w:val="48"/>
          <w:szCs w:val="48"/>
        </w:rPr>
        <w:t xml:space="preserve">                   </w:t>
      </w:r>
      <w:r w:rsidR="00C963BF">
        <w:rPr>
          <w:b/>
          <w:bCs/>
          <w:color w:val="auto"/>
          <w:sz w:val="48"/>
          <w:szCs w:val="48"/>
        </w:rPr>
        <w:t xml:space="preserve">   </w:t>
      </w:r>
      <w:r w:rsidRPr="00C963BF">
        <w:rPr>
          <w:b/>
          <w:bCs/>
          <w:color w:val="auto"/>
          <w:sz w:val="48"/>
          <w:szCs w:val="48"/>
        </w:rPr>
        <w:t xml:space="preserve"> </w:t>
      </w:r>
      <w:bookmarkStart w:id="0" w:name="_Toc237373254"/>
      <w:r w:rsidRPr="00C963BF">
        <w:rPr>
          <w:b/>
          <w:bCs/>
          <w:color w:val="auto"/>
          <w:sz w:val="48"/>
          <w:szCs w:val="48"/>
        </w:rPr>
        <w:t>CarerCircle</w:t>
      </w:r>
      <w:bookmarkEnd w:id="0"/>
    </w:p>
    <w:p w14:paraId="65D1992A" w14:textId="77777777" w:rsidR="00C963BF" w:rsidRPr="00C963BF" w:rsidRDefault="00C963BF" w:rsidP="00C963BF">
      <w:pPr>
        <w:pStyle w:val="Heading1"/>
        <w:rPr>
          <w:b/>
          <w:bCs/>
          <w:color w:val="auto"/>
          <w:sz w:val="48"/>
          <w:szCs w:val="48"/>
        </w:rPr>
      </w:pPr>
    </w:p>
    <w:p w14:paraId="190F9623" w14:textId="77777777" w:rsidR="001D48D9" w:rsidRDefault="001D48D9" w:rsidP="001D48D9">
      <w:pPr>
        <w:jc w:val="center"/>
        <w:rPr>
          <w:b/>
          <w:bCs/>
          <w:sz w:val="32"/>
          <w:szCs w:val="32"/>
        </w:rPr>
      </w:pPr>
      <w:r w:rsidRPr="00A328BC">
        <w:rPr>
          <w:b/>
          <w:bCs/>
          <w:sz w:val="32"/>
          <w:szCs w:val="32"/>
        </w:rPr>
        <w:t>Confidential Digital Wellbeing Support for the UK's Unpaid Carers</w:t>
      </w:r>
    </w:p>
    <w:p w14:paraId="1FE5C17C" w14:textId="77777777" w:rsidR="008409DC" w:rsidRDefault="008409DC" w:rsidP="001D48D9">
      <w:pPr>
        <w:jc w:val="center"/>
        <w:rPr>
          <w:b/>
          <w:bCs/>
          <w:sz w:val="32"/>
          <w:szCs w:val="32"/>
        </w:rPr>
      </w:pPr>
    </w:p>
    <w:p w14:paraId="14121768" w14:textId="77777777" w:rsidR="00A95B1C" w:rsidRDefault="00A95B1C" w:rsidP="001D48D9">
      <w:pPr>
        <w:jc w:val="center"/>
        <w:rPr>
          <w:b/>
          <w:bCs/>
          <w:sz w:val="32"/>
          <w:szCs w:val="32"/>
        </w:rPr>
      </w:pPr>
    </w:p>
    <w:p w14:paraId="3AA6CD15" w14:textId="14E9C69C" w:rsidR="00412FDE" w:rsidRPr="00A95B1C" w:rsidRDefault="00A95B1C" w:rsidP="00A95B1C">
      <w:pPr>
        <w:jc w:val="center"/>
        <w:rPr>
          <w:sz w:val="24"/>
          <w:szCs w:val="24"/>
        </w:rPr>
      </w:pPr>
      <w:r>
        <w:rPr>
          <w:b/>
          <w:bCs/>
          <w:sz w:val="32"/>
          <w:szCs w:val="32"/>
        </w:rPr>
        <w:t xml:space="preserve"> </w:t>
      </w:r>
      <w:r w:rsidR="00412FDE" w:rsidRPr="00A95B1C">
        <w:rPr>
          <w:b/>
          <w:bCs/>
        </w:rPr>
        <w:t xml:space="preserve"> </w:t>
      </w:r>
      <w:r w:rsidRPr="00A95B1C">
        <w:rPr>
          <w:sz w:val="32"/>
          <w:szCs w:val="32"/>
        </w:rPr>
        <w:t>poster</w:t>
      </w:r>
      <w:r w:rsidR="00412FDE" w:rsidRPr="00A95B1C">
        <w:rPr>
          <w:sz w:val="32"/>
          <w:szCs w:val="32"/>
        </w:rPr>
        <w:t xml:space="preserve"> </w:t>
      </w:r>
      <w:r>
        <w:rPr>
          <w:noProof/>
          <w:sz w:val="32"/>
          <w:szCs w:val="32"/>
        </w:rPr>
        <w:t>and pitch</w:t>
      </w:r>
      <w:r w:rsidR="00412FDE" w:rsidRPr="00A95B1C">
        <w:rPr>
          <w:noProof/>
          <w:sz w:val="32"/>
          <w:szCs w:val="32"/>
        </w:rPr>
        <w:t xml:space="preserve">             </w:t>
      </w:r>
    </w:p>
    <w:p w14:paraId="1BB116E4" w14:textId="77777777" w:rsidR="00EB0AAC" w:rsidRDefault="00EB0AAC" w:rsidP="00EB0AAC">
      <w:pPr>
        <w:keepNext/>
        <w:spacing w:after="160"/>
      </w:pPr>
      <w:r>
        <w:rPr>
          <w:noProof/>
        </w:rPr>
        <w:lastRenderedPageBreak/>
        <w:drawing>
          <wp:inline distT="0" distB="0" distL="0" distR="0" wp14:anchorId="30BF3E9B" wp14:editId="75A9EC52">
            <wp:extent cx="5667356" cy="7672283"/>
            <wp:effectExtent l="0" t="0" r="0" b="0"/>
            <wp:docPr id="19874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356" cy="7672283"/>
                    </a:xfrm>
                    <a:prstGeom prst="rect">
                      <a:avLst/>
                    </a:prstGeom>
                    <a:noFill/>
                  </pic:spPr>
                </pic:pic>
              </a:graphicData>
            </a:graphic>
          </wp:inline>
        </w:drawing>
      </w:r>
    </w:p>
    <w:p w14:paraId="5A01286B" w14:textId="6205B11C" w:rsidR="00361164" w:rsidRDefault="00F168EF" w:rsidP="009B1962">
      <w:pPr>
        <w:pStyle w:val="Caption"/>
      </w:pPr>
      <w:r>
        <w:t xml:space="preserve">                       </w:t>
      </w:r>
      <w:r w:rsidR="00EB0AAC" w:rsidRPr="004A4C5C">
        <w:t xml:space="preserve"> The unpaid carer wellbeing gap (Carers UK, 2024)</w:t>
      </w:r>
    </w:p>
    <w:p w14:paraId="06A5FF10" w14:textId="77777777" w:rsidR="001968CE" w:rsidRDefault="001968CE" w:rsidP="001968CE"/>
    <w:p w14:paraId="4B05A1B4" w14:textId="77777777" w:rsidR="001968CE" w:rsidRDefault="001968CE" w:rsidP="001968CE"/>
    <w:p w14:paraId="0E926B58" w14:textId="45CACAA4" w:rsidR="001968CE" w:rsidRPr="001968CE" w:rsidRDefault="001968CE" w:rsidP="00EF7905">
      <w:pPr>
        <w:pStyle w:val="Heading1"/>
      </w:pPr>
      <w:r>
        <w:t xml:space="preserve">                                </w:t>
      </w:r>
      <w:r w:rsidRPr="001968CE">
        <w:t xml:space="preserve">  </w:t>
      </w:r>
      <w:bookmarkStart w:id="1" w:name="_Toc237373255"/>
      <w:r w:rsidRPr="008409DC">
        <w:rPr>
          <w:color w:val="auto"/>
        </w:rPr>
        <w:t>poster</w:t>
      </w:r>
      <w:bookmarkEnd w:id="1"/>
    </w:p>
    <w:p w14:paraId="2AF2B82A" w14:textId="77777777" w:rsidR="001968CE" w:rsidRDefault="001968CE" w:rsidP="001968CE"/>
    <w:p w14:paraId="787DB5D1" w14:textId="77777777" w:rsidR="001968CE" w:rsidRDefault="001968CE" w:rsidP="001968CE"/>
    <w:p w14:paraId="7EA3B916" w14:textId="77777777" w:rsidR="001968CE" w:rsidRDefault="001968CE" w:rsidP="001968CE"/>
    <w:p w14:paraId="2DD6EA9A" w14:textId="77777777" w:rsidR="001968CE" w:rsidRDefault="001968CE" w:rsidP="001968CE"/>
    <w:p w14:paraId="3294C38F" w14:textId="77777777" w:rsidR="001968CE" w:rsidRDefault="001968CE" w:rsidP="001968CE"/>
    <w:p w14:paraId="11C26187" w14:textId="77777777" w:rsidR="001968CE" w:rsidRPr="001968CE" w:rsidRDefault="001968CE" w:rsidP="001968CE"/>
    <w:p w14:paraId="71D39F57" w14:textId="7A85EE6B" w:rsidR="00C87AC6" w:rsidRPr="001968CE" w:rsidRDefault="00423EA6" w:rsidP="00EB0AAC">
      <w:pPr>
        <w:jc w:val="center"/>
      </w:pPr>
      <w:r w:rsidRPr="001968CE">
        <w:rPr>
          <w:b/>
          <w:bCs/>
          <w:sz w:val="24"/>
          <w:szCs w:val="24"/>
        </w:rPr>
        <w:t>The Pitch</w:t>
      </w:r>
    </w:p>
    <w:p w14:paraId="416A5E29" w14:textId="77777777" w:rsidR="00423EA6" w:rsidRPr="001968CE" w:rsidRDefault="00423EA6" w:rsidP="00423EA6">
      <w:pPr>
        <w:spacing w:line="360" w:lineRule="auto"/>
        <w:rPr>
          <w:b/>
          <w:bCs/>
        </w:rPr>
      </w:pPr>
      <w:r w:rsidRPr="001968CE">
        <w:rPr>
          <w:b/>
          <w:bCs/>
          <w:sz w:val="24"/>
          <w:szCs w:val="24"/>
        </w:rPr>
        <w:t>Introduction</w:t>
      </w:r>
    </w:p>
    <w:p w14:paraId="0A7F47A2" w14:textId="567D7B6D" w:rsidR="009D4634" w:rsidRPr="00706F68" w:rsidRDefault="009D4634" w:rsidP="00706F68">
      <w:pPr>
        <w:spacing w:line="360" w:lineRule="auto"/>
        <w:jc w:val="both"/>
      </w:pPr>
      <w:r w:rsidRPr="00706F68">
        <w:t xml:space="preserve">CarerCircle is a proposed digital wellbeing platform, specifically for the UK's 5.8 million unpaid carers (Carers UK, 2024). While the role of unpaid carers is now a key component of health and social care policy, there has been comparatively little investment in </w:t>
      </w:r>
      <w:r w:rsidR="00A73E47">
        <w:t>carers' mental health</w:t>
      </w:r>
      <w:r w:rsidRPr="00706F68">
        <w:t xml:space="preserve">. This pitch therefore outlines the rationale for CarerCircle, a confidential app that includes </w:t>
      </w:r>
      <w:r w:rsidR="00200FFF" w:rsidRPr="00706F68">
        <w:t>well-being</w:t>
      </w:r>
      <w:r w:rsidRPr="00706F68">
        <w:t xml:space="preserve"> check-ins, peer support, signposting to respite and a direct link to a statutory Carer's Assessment. It is particularly focused on </w:t>
      </w:r>
      <w:r w:rsidR="00200FFF">
        <w:t>the</w:t>
      </w:r>
      <w:r w:rsidRPr="00706F68">
        <w:t xml:space="preserve"> gap between what is legally required </w:t>
      </w:r>
      <w:r w:rsidR="00A73E47">
        <w:t xml:space="preserve">of carers under the Care Act 2014 and what </w:t>
      </w:r>
      <w:r w:rsidR="00200FFF">
        <w:t>carers experience, as</w:t>
      </w:r>
      <w:r w:rsidR="00A73E47">
        <w:t xml:space="preserve"> evidenced by</w:t>
      </w:r>
      <w:r w:rsidRPr="00706F68">
        <w:t xml:space="preserve"> isolation, exhaustion and unmet need. Undoubtedly, the primary beneficiaries are unpaid carers themselves, </w:t>
      </w:r>
      <w:r w:rsidR="00A73E47">
        <w:t>as well as the wider health and social care system</w:t>
      </w:r>
      <w:r w:rsidRPr="00706F68">
        <w:t xml:space="preserve"> and the people they care for, who stand to benefit from a healthier, better-supported carer workforce (Peytrignet, Grimm and Tallack, 2023).</w:t>
      </w:r>
    </w:p>
    <w:p w14:paraId="494E0ABA" w14:textId="7BD737A9" w:rsidR="00423EA6" w:rsidRPr="001968CE" w:rsidRDefault="00423EA6" w:rsidP="00423EA6">
      <w:pPr>
        <w:pStyle w:val="Heading2"/>
        <w:spacing w:before="240" w:after="120" w:line="360" w:lineRule="auto"/>
        <w:rPr>
          <w:color w:val="auto"/>
        </w:rPr>
      </w:pPr>
      <w:bookmarkStart w:id="2" w:name="_Toc237373256"/>
      <w:r w:rsidRPr="001968CE">
        <w:rPr>
          <w:b/>
          <w:bCs/>
          <w:color w:val="auto"/>
          <w:sz w:val="24"/>
          <w:szCs w:val="24"/>
        </w:rPr>
        <w:t>Background</w:t>
      </w:r>
      <w:bookmarkEnd w:id="2"/>
    </w:p>
    <w:p w14:paraId="1CA38164" w14:textId="7E35A729" w:rsidR="00706F68" w:rsidRDefault="00706F68" w:rsidP="00706F68">
      <w:pPr>
        <w:spacing w:line="360" w:lineRule="auto"/>
        <w:jc w:val="both"/>
      </w:pPr>
      <w:r w:rsidRPr="00706F68">
        <w:t xml:space="preserve">Unpaid carers are the backbone of the UK care system. Specifically, census and subsequent research place the number of unpaid carers at 5.8 million, with the economic value of their unpaid support estimated at £162 billion a year (Carers UK, 2024). Importantly, Carers UK's (2024) State of Caring survey, which received responses from more than 12,500 carers, revealed that 57% of carers </w:t>
      </w:r>
      <w:r w:rsidR="008004A9">
        <w:t>reported feeling overwhelmed often or always, and 35% reported their mental health as</w:t>
      </w:r>
      <w:r w:rsidRPr="00706F68">
        <w:t xml:space="preserve"> bad or very bad, compared to 27% the year before. In addition, the same survey revealed that </w:t>
      </w:r>
      <w:r w:rsidR="00A73E47">
        <w:t xml:space="preserve">two-thirds of carers require more support for their own health and wellbeing, yet only 23% have received a Carer's Assessment in the last 12 months, despite this </w:t>
      </w:r>
      <w:r>
        <w:t>being a</w:t>
      </w:r>
      <w:r w:rsidRPr="00706F68">
        <w:t xml:space="preserve"> legal right under Section 10 of the Care Act 2014 (Carers UK, 2024). Similarly, NICE's (2020) guideline on supporting adult carers highlights that carers are often 'hidden from view', with health and social care professionals missing opportunities to identify them and signpost appropriate support. In fact, the evidence from the real world is that carers often do not know that </w:t>
      </w:r>
      <w:r w:rsidR="00A73E47">
        <w:t>a Carer's Assessment is available or feel able to request assistance when they are also working, dealing with finances,</w:t>
      </w:r>
      <w:r w:rsidRPr="00706F68">
        <w:t xml:space="preserve"> and caring for others. This is a clear and pressing gap that CarerCircle aims to address, given the high emotional need and low awareness of entitlement. </w:t>
      </w:r>
    </w:p>
    <w:p w14:paraId="25DD5EA1" w14:textId="779B51F1" w:rsidR="00423EA6" w:rsidRPr="001968CE" w:rsidRDefault="00423EA6" w:rsidP="00423EA6">
      <w:pPr>
        <w:pStyle w:val="Heading2"/>
        <w:spacing w:before="240" w:after="120" w:line="360" w:lineRule="auto"/>
        <w:rPr>
          <w:color w:val="auto"/>
        </w:rPr>
      </w:pPr>
      <w:bookmarkStart w:id="3" w:name="_Toc237373257"/>
      <w:r w:rsidRPr="001968CE">
        <w:rPr>
          <w:b/>
          <w:bCs/>
          <w:color w:val="auto"/>
          <w:sz w:val="24"/>
          <w:szCs w:val="24"/>
        </w:rPr>
        <w:t>Innovation Description</w:t>
      </w:r>
      <w:bookmarkEnd w:id="3"/>
    </w:p>
    <w:p w14:paraId="14BE60D2" w14:textId="02E8359D" w:rsidR="00B60B2E" w:rsidRDefault="00B60B2E" w:rsidP="00B60B2E">
      <w:pPr>
        <w:spacing w:line="360" w:lineRule="auto"/>
        <w:jc w:val="both"/>
      </w:pPr>
      <w:r w:rsidRPr="00B60B2E">
        <w:t xml:space="preserve">CarerCircle is a free mobile application, with a light web version, designed around the carer's wellbeing, not the logistics of caring. Specifically, </w:t>
      </w:r>
      <w:r w:rsidR="005C3BD2">
        <w:t>when the app opens</w:t>
      </w:r>
      <w:r w:rsidRPr="00B60B2E">
        <w:t xml:space="preserve">, carers complete a short, private daily or weekly mood check-in. Depending on their responses, the app provides one of three options: self-help resources and breathing or grounding exercises; a moderated peer-support forum where carers can connect with others in similar situations; or a guided referral to request a statutory Carer's Assessment from their local authority, with key information pre-filled to reduce the barrier of </w:t>
      </w:r>
      <w:r w:rsidRPr="00B60B2E">
        <w:lastRenderedPageBreak/>
        <w:t>a lengthy form. In addition, an integrated directory signposts local respite services, carer support groups and helplines. Importantly, what makes CarerCircle new is not the individual features, which build on existing digital health approaches (Rogers, 2003), but rather the combination and framing: existing tools such as Carers UK's Jointly app focus primarily on coordinating the practical tasks of caregiving between family members, whereas CarerCircle is deliberately designed around the carer's own mental health and legal entitlements. Moreover, the Technology Acceptance Model suggests that carers, many of whom are time-poor and unfamiliar with health apps, will be more likely to engage if the tool is genuinely easy to use and clearly useful to them (Davis, 1989); consequently, CarerCircle is designed with a minimal number of steps between opening the app and receiving meaningful support.</w:t>
      </w:r>
    </w:p>
    <w:p w14:paraId="3CEDA9D0" w14:textId="52D01B91" w:rsidR="00423EA6" w:rsidRPr="001968CE" w:rsidRDefault="00423EA6" w:rsidP="00423EA6">
      <w:pPr>
        <w:pStyle w:val="Heading2"/>
        <w:spacing w:before="240" w:after="120" w:line="360" w:lineRule="auto"/>
        <w:rPr>
          <w:color w:val="auto"/>
        </w:rPr>
      </w:pPr>
      <w:bookmarkStart w:id="4" w:name="_Toc237373258"/>
      <w:r w:rsidRPr="001968CE">
        <w:rPr>
          <w:b/>
          <w:bCs/>
          <w:color w:val="auto"/>
          <w:sz w:val="24"/>
          <w:szCs w:val="24"/>
        </w:rPr>
        <w:t>Impact on Health and Social Care</w:t>
      </w:r>
      <w:bookmarkEnd w:id="4"/>
    </w:p>
    <w:p w14:paraId="7D0ED6C5" w14:textId="57A58AF8" w:rsidR="00524DC8" w:rsidRDefault="00524DC8" w:rsidP="00524DC8">
      <w:pPr>
        <w:spacing w:line="360" w:lineRule="auto"/>
        <w:jc w:val="both"/>
      </w:pPr>
      <w:r w:rsidRPr="00524DC8">
        <w:t xml:space="preserve">The main beneficiaries of CarerCircle are unpaid carers, including a diverse group of people, such as working-age adults balancing work and care, older spousal carers and parent carers of disabled children, many of whom report reducing their social contact and hobbies because of caring pressures (Carers UK, 2024). The app also makes it easier to request a Carer's Assessment, helping </w:t>
      </w:r>
      <w:r w:rsidR="005C3BD2">
        <w:t>ensure this entitlement is used more equitably, especially by carers who are less confident in navigating local authority systems, including some older, disabled,</w:t>
      </w:r>
      <w:r w:rsidRPr="00524DC8">
        <w:t xml:space="preserve"> and non-English-speaking carers. Better carer wellbeing has a positive impact on the person being cared for, as NICE (2020) has found that carer burnout is associated with a decrease in the capacity to care safely; it also has a positive impact on the wider system, as unsupported carers are more likely to reach crisis point and require more expensive statutory intervention. Likewise, for health and social care staff, an app that helps identify and signpost carers proactively also supports the identification duties set out in NICE's (2020) guideline, reducing the burden on GPs and social workers to remember to ask. Finally, CarerCircle serves the common good by safeguarding the </w:t>
      </w:r>
      <w:r w:rsidR="001968CE">
        <w:t>well-being</w:t>
      </w:r>
      <w:r w:rsidRPr="00524DC8">
        <w:t xml:space="preserve"> of the people whose unpaid work makes the care system possible, and ensuring that support is available fairly, irrespective of a carer's background, location or working hours.</w:t>
      </w:r>
    </w:p>
    <w:p w14:paraId="65BE0885" w14:textId="2430BEA7" w:rsidR="00423EA6" w:rsidRPr="001968CE" w:rsidRDefault="00423EA6" w:rsidP="00423EA6">
      <w:pPr>
        <w:pStyle w:val="Heading2"/>
        <w:spacing w:before="240" w:after="120" w:line="360" w:lineRule="auto"/>
        <w:rPr>
          <w:color w:val="auto"/>
        </w:rPr>
      </w:pPr>
      <w:bookmarkStart w:id="5" w:name="_Toc237373259"/>
      <w:r w:rsidRPr="001968CE">
        <w:rPr>
          <w:b/>
          <w:bCs/>
          <w:color w:val="auto"/>
          <w:sz w:val="24"/>
          <w:szCs w:val="24"/>
        </w:rPr>
        <w:t>Public and Stakeholder Involvement</w:t>
      </w:r>
      <w:bookmarkEnd w:id="5"/>
    </w:p>
    <w:p w14:paraId="33B44C27" w14:textId="059999C0" w:rsidR="00AD7341" w:rsidRDefault="00AD7341" w:rsidP="00AD7341">
      <w:pPr>
        <w:spacing w:line="360" w:lineRule="auto"/>
        <w:jc w:val="both"/>
      </w:pPr>
      <w:r w:rsidRPr="00AD7341">
        <w:t xml:space="preserve">CarerCircle would be co-produced from the beginning, in accordance with the Care Act's focus on carer involvement in decisions that impact on them (Care Act 2014). Specifically, a steering group of carers, representing a range of ages, caring relationships and backgrounds, would shape the app's design, language and features before launch. In addition, continued engagement would involve a feedback loop within the app, regular focus groups and working with Carers UK and local carer forums. In addition, public engagement would not be limited to carers but would also involve friends, neighbours and employers, who would be made aware of </w:t>
      </w:r>
      <w:r w:rsidR="00F76A89">
        <w:t xml:space="preserve">carers' needs and support the aims of the campaign, helping to normalise conversations about caring and reduce the isolation </w:t>
      </w:r>
      <w:r w:rsidRPr="00AD7341">
        <w:t>many carers report.</w:t>
      </w:r>
    </w:p>
    <w:p w14:paraId="7CA79F18" w14:textId="7F1069B5" w:rsidR="00423EA6" w:rsidRPr="001968CE" w:rsidRDefault="00423EA6" w:rsidP="00423EA6">
      <w:pPr>
        <w:pStyle w:val="Heading2"/>
        <w:spacing w:before="240" w:after="120" w:line="360" w:lineRule="auto"/>
        <w:rPr>
          <w:color w:val="auto"/>
        </w:rPr>
      </w:pPr>
      <w:bookmarkStart w:id="6" w:name="_Toc237373260"/>
      <w:r w:rsidRPr="001968CE">
        <w:rPr>
          <w:b/>
          <w:bCs/>
          <w:color w:val="auto"/>
          <w:sz w:val="24"/>
          <w:szCs w:val="24"/>
        </w:rPr>
        <w:lastRenderedPageBreak/>
        <w:t>Policies, Services and Professional Links</w:t>
      </w:r>
      <w:bookmarkEnd w:id="6"/>
    </w:p>
    <w:p w14:paraId="21874A69" w14:textId="79B7B94D" w:rsidR="00DE2B43" w:rsidRDefault="00DE2B43" w:rsidP="00DE2B43">
      <w:pPr>
        <w:spacing w:line="360" w:lineRule="auto"/>
        <w:jc w:val="both"/>
      </w:pPr>
      <w:r w:rsidRPr="00DE2B43">
        <w:t xml:space="preserve">CarerCircle is directly underpinned by the Care Act 2014, which gives carers a legal right to an assessment of their own needs (Care Act 2014), as well as by NICE's (2020) NG150 guideline on supporting adult carers. Similarly, the Equality Act 2010 provides information on the app's commitment to equality of access, including reasonable adjustments for carers with disabilities. Importantly, the app would not duplicate services, but would connect carers with existing services, including GPs, social workers and voluntary sector organisations like Carers UK and local carer centres, and would be designed to meet the NHS Digital Technology Assessment Criteria before being adopted by any NHS or local authority partner (NHS England, 2021). </w:t>
      </w:r>
      <w:r>
        <w:t>In practice</w:t>
      </w:r>
      <w:r w:rsidR="00BB7767">
        <w:t>,</w:t>
      </w:r>
      <w:r>
        <w:t xml:space="preserve"> t</w:t>
      </w:r>
      <w:r w:rsidRPr="00DE2B43">
        <w:t>he app would be used as a signposting tool by professionals in nursing, social work and primary care during their normal interactions with carers.</w:t>
      </w:r>
    </w:p>
    <w:p w14:paraId="24D5205E" w14:textId="4EC2C834" w:rsidR="00423EA6" w:rsidRPr="00C963BF" w:rsidRDefault="00423EA6" w:rsidP="009E0DBE">
      <w:pPr>
        <w:pStyle w:val="Heading1"/>
        <w:rPr>
          <w:b/>
          <w:bCs/>
          <w:color w:val="auto"/>
          <w:sz w:val="24"/>
          <w:szCs w:val="24"/>
        </w:rPr>
      </w:pPr>
      <w:bookmarkStart w:id="7" w:name="_Toc237373261"/>
      <w:r w:rsidRPr="00C963BF">
        <w:rPr>
          <w:b/>
          <w:bCs/>
          <w:color w:val="auto"/>
          <w:sz w:val="24"/>
          <w:szCs w:val="24"/>
        </w:rPr>
        <w:t>Conclusion</w:t>
      </w:r>
      <w:bookmarkEnd w:id="7"/>
    </w:p>
    <w:p w14:paraId="54617B78" w14:textId="19DE2DAF" w:rsidR="00BC539B" w:rsidRDefault="00AE66C0" w:rsidP="00AE66C0">
      <w:pPr>
        <w:spacing w:line="360" w:lineRule="auto"/>
        <w:jc w:val="both"/>
      </w:pPr>
      <w:r w:rsidRPr="00AE66C0">
        <w:t xml:space="preserve">The UK is estimated to save over £162 billion a year through unpaid carers, but over half </w:t>
      </w:r>
      <w:r w:rsidR="004718AB">
        <w:t>feel</w:t>
      </w:r>
      <w:r w:rsidRPr="00AE66C0">
        <w:t xml:space="preserve"> overwhelmed and only a small proportion receive statutory support to which they are entitled (Carers UK, 2024). However, CarerCircle provides a </w:t>
      </w:r>
      <w:r w:rsidR="005C3BD2">
        <w:t>low-cost</w:t>
      </w:r>
      <w:r w:rsidRPr="00AE66C0">
        <w:t>, scalable</w:t>
      </w:r>
      <w:r w:rsidR="005957A2">
        <w:t xml:space="preserve">, and evidence-based solution to this gap, offering carers </w:t>
      </w:r>
      <w:r w:rsidRPr="00AE66C0">
        <w:t>a confidential space to be heard and a clear pathway to the support they are entitled to. Investing in carers' wellbeing is not a luxury</w:t>
      </w:r>
      <w:r w:rsidR="00BB7767">
        <w:t>;</w:t>
      </w:r>
      <w:r w:rsidRPr="00AE66C0">
        <w:t xml:space="preserve"> it is a necessity for the sustainability of the care </w:t>
      </w:r>
      <w:r w:rsidR="00200FFF" w:rsidRPr="00AE66C0">
        <w:t>system</w:t>
      </w:r>
      <w:r w:rsidRPr="00AE66C0">
        <w:t>.</w:t>
      </w:r>
    </w:p>
    <w:p w14:paraId="0F5C9E9F" w14:textId="77777777" w:rsidR="00AE66C0" w:rsidRDefault="00AE66C0" w:rsidP="008933DB">
      <w:pPr>
        <w:rPr>
          <w:b/>
          <w:bCs/>
        </w:rPr>
      </w:pPr>
    </w:p>
    <w:p w14:paraId="0891CD9E" w14:textId="77777777" w:rsidR="00BC539B" w:rsidRDefault="00BC539B" w:rsidP="008933DB">
      <w:pPr>
        <w:rPr>
          <w:b/>
          <w:bCs/>
        </w:rPr>
      </w:pPr>
    </w:p>
    <w:p w14:paraId="2FE57322" w14:textId="77777777" w:rsidR="00BC539B" w:rsidRDefault="00BC539B" w:rsidP="008933DB">
      <w:pPr>
        <w:rPr>
          <w:b/>
          <w:bCs/>
        </w:rPr>
      </w:pPr>
    </w:p>
    <w:p w14:paraId="680964AE" w14:textId="77777777" w:rsidR="00BC539B" w:rsidRDefault="00BC539B" w:rsidP="008933DB">
      <w:pPr>
        <w:rPr>
          <w:b/>
          <w:bCs/>
        </w:rPr>
      </w:pPr>
    </w:p>
    <w:p w14:paraId="7A6917D2" w14:textId="77777777" w:rsidR="00BC539B" w:rsidRDefault="00BC539B" w:rsidP="008933DB">
      <w:pPr>
        <w:rPr>
          <w:b/>
          <w:bCs/>
        </w:rPr>
      </w:pPr>
    </w:p>
    <w:p w14:paraId="6FCED7EE" w14:textId="77777777" w:rsidR="00BC539B" w:rsidRDefault="00BC539B" w:rsidP="008933DB">
      <w:pPr>
        <w:rPr>
          <w:b/>
          <w:bCs/>
        </w:rPr>
      </w:pPr>
    </w:p>
    <w:p w14:paraId="1C517B29" w14:textId="77777777" w:rsidR="00BC539B" w:rsidRDefault="00BC539B" w:rsidP="008933DB">
      <w:pPr>
        <w:rPr>
          <w:b/>
          <w:bCs/>
        </w:rPr>
      </w:pPr>
    </w:p>
    <w:p w14:paraId="66C90DCD" w14:textId="77777777" w:rsidR="00BC539B" w:rsidRDefault="00BC539B" w:rsidP="008933DB">
      <w:pPr>
        <w:rPr>
          <w:b/>
          <w:bCs/>
        </w:rPr>
      </w:pPr>
    </w:p>
    <w:p w14:paraId="4A266A0A" w14:textId="77777777" w:rsidR="00BC539B" w:rsidRDefault="00BC539B" w:rsidP="008933DB">
      <w:pPr>
        <w:rPr>
          <w:b/>
          <w:bCs/>
        </w:rPr>
      </w:pPr>
    </w:p>
    <w:p w14:paraId="3CEAAC20" w14:textId="77777777" w:rsidR="00BC539B" w:rsidRDefault="00BC539B" w:rsidP="008933DB">
      <w:pPr>
        <w:rPr>
          <w:b/>
          <w:bCs/>
        </w:rPr>
      </w:pPr>
    </w:p>
    <w:p w14:paraId="79F7903E" w14:textId="77777777" w:rsidR="00BC539B" w:rsidRDefault="00BC539B" w:rsidP="008933DB">
      <w:pPr>
        <w:rPr>
          <w:b/>
          <w:bCs/>
        </w:rPr>
      </w:pPr>
    </w:p>
    <w:p w14:paraId="37F979D2" w14:textId="77777777" w:rsidR="00BC539B" w:rsidRDefault="00BC539B" w:rsidP="008933DB">
      <w:pPr>
        <w:rPr>
          <w:b/>
          <w:bCs/>
        </w:rPr>
      </w:pPr>
    </w:p>
    <w:p w14:paraId="75C077D7" w14:textId="77777777" w:rsidR="00BC539B" w:rsidRDefault="00BC539B" w:rsidP="008933DB">
      <w:pPr>
        <w:rPr>
          <w:b/>
          <w:bCs/>
        </w:rPr>
      </w:pPr>
    </w:p>
    <w:p w14:paraId="039B08CC" w14:textId="77777777" w:rsidR="00BC539B" w:rsidRDefault="00BC539B" w:rsidP="008933DB">
      <w:pPr>
        <w:rPr>
          <w:b/>
          <w:bCs/>
        </w:rPr>
      </w:pPr>
    </w:p>
    <w:p w14:paraId="2908162A" w14:textId="77777777" w:rsidR="00BC539B" w:rsidRDefault="00BC539B" w:rsidP="008933DB">
      <w:pPr>
        <w:rPr>
          <w:b/>
          <w:bCs/>
        </w:rPr>
      </w:pPr>
    </w:p>
    <w:p w14:paraId="5F6866CA" w14:textId="77777777" w:rsidR="00BC539B" w:rsidRDefault="00BC539B" w:rsidP="008933DB">
      <w:pPr>
        <w:rPr>
          <w:b/>
          <w:bCs/>
        </w:rPr>
      </w:pPr>
    </w:p>
    <w:p w14:paraId="7B0C426C" w14:textId="77777777" w:rsidR="00BC539B" w:rsidRDefault="00BC539B" w:rsidP="008933DB">
      <w:pPr>
        <w:rPr>
          <w:b/>
          <w:bCs/>
        </w:rPr>
      </w:pPr>
    </w:p>
    <w:p w14:paraId="2F1D15AE" w14:textId="77777777" w:rsidR="00BC539B" w:rsidRDefault="00BC539B" w:rsidP="008933DB">
      <w:pPr>
        <w:rPr>
          <w:b/>
          <w:bCs/>
        </w:rPr>
      </w:pPr>
    </w:p>
    <w:p w14:paraId="5EAF11CD" w14:textId="77777777" w:rsidR="00BC539B" w:rsidRDefault="00BC539B" w:rsidP="008933DB">
      <w:pPr>
        <w:rPr>
          <w:b/>
          <w:bCs/>
        </w:rPr>
      </w:pPr>
    </w:p>
    <w:p w14:paraId="3A157527" w14:textId="77777777" w:rsidR="00BC539B" w:rsidRDefault="00BC539B" w:rsidP="008933DB">
      <w:pPr>
        <w:rPr>
          <w:b/>
          <w:bCs/>
        </w:rPr>
      </w:pPr>
    </w:p>
    <w:p w14:paraId="75ED94D7" w14:textId="77777777" w:rsidR="00BC539B" w:rsidRDefault="00BC539B" w:rsidP="008933DB">
      <w:pPr>
        <w:rPr>
          <w:b/>
          <w:bCs/>
        </w:rPr>
      </w:pPr>
    </w:p>
    <w:p w14:paraId="1C01E4AC" w14:textId="77777777" w:rsidR="00BC539B" w:rsidRDefault="00BC539B" w:rsidP="008933DB">
      <w:pPr>
        <w:rPr>
          <w:b/>
          <w:bCs/>
        </w:rPr>
      </w:pPr>
    </w:p>
    <w:p w14:paraId="2D5083C6" w14:textId="77777777" w:rsidR="00BC539B" w:rsidRDefault="00BC539B" w:rsidP="008933DB">
      <w:pPr>
        <w:rPr>
          <w:b/>
          <w:bCs/>
        </w:rPr>
      </w:pPr>
    </w:p>
    <w:p w14:paraId="0815481A" w14:textId="77777777" w:rsidR="00BC539B" w:rsidRDefault="00BC539B" w:rsidP="008933DB">
      <w:pPr>
        <w:rPr>
          <w:b/>
          <w:bCs/>
        </w:rPr>
      </w:pPr>
    </w:p>
    <w:p w14:paraId="2B5D69A9" w14:textId="77777777" w:rsidR="00BC539B" w:rsidRDefault="00BC539B" w:rsidP="008933DB">
      <w:pPr>
        <w:rPr>
          <w:b/>
          <w:bCs/>
        </w:rPr>
      </w:pPr>
    </w:p>
    <w:p w14:paraId="7B50C70B" w14:textId="77777777" w:rsidR="00BC539B" w:rsidRDefault="00BC539B" w:rsidP="008933DB">
      <w:pPr>
        <w:rPr>
          <w:b/>
          <w:bCs/>
        </w:rPr>
      </w:pPr>
    </w:p>
    <w:p w14:paraId="0BEBD17C" w14:textId="77777777" w:rsidR="00BC539B" w:rsidRDefault="00BC539B" w:rsidP="008933DB">
      <w:pPr>
        <w:rPr>
          <w:b/>
          <w:bCs/>
        </w:rPr>
      </w:pPr>
    </w:p>
    <w:p w14:paraId="0031B561" w14:textId="77777777" w:rsidR="00BC539B" w:rsidRDefault="00BC539B" w:rsidP="008933DB">
      <w:pPr>
        <w:rPr>
          <w:b/>
          <w:bCs/>
        </w:rPr>
      </w:pPr>
    </w:p>
    <w:p w14:paraId="63F36346" w14:textId="77777777" w:rsidR="00BC539B" w:rsidRDefault="00BC539B" w:rsidP="008933DB">
      <w:pPr>
        <w:rPr>
          <w:b/>
          <w:bCs/>
        </w:rPr>
      </w:pPr>
    </w:p>
    <w:p w14:paraId="3D3BBB7B" w14:textId="77777777" w:rsidR="00BC539B" w:rsidRDefault="00BC539B" w:rsidP="008933DB">
      <w:pPr>
        <w:rPr>
          <w:b/>
          <w:bCs/>
        </w:rPr>
      </w:pPr>
    </w:p>
    <w:p w14:paraId="36E74BD1" w14:textId="2E3B837E" w:rsidR="00361164" w:rsidRPr="00F24508" w:rsidRDefault="006240D4" w:rsidP="00BC539B">
      <w:pPr>
        <w:spacing w:line="360" w:lineRule="auto"/>
        <w:rPr>
          <w:b/>
          <w:bCs/>
          <w:sz w:val="32"/>
          <w:szCs w:val="32"/>
        </w:rPr>
      </w:pPr>
      <w:r>
        <w:rPr>
          <w:b/>
          <w:bCs/>
          <w:sz w:val="32"/>
          <w:szCs w:val="32"/>
        </w:rPr>
        <w:lastRenderedPageBreak/>
        <w:t xml:space="preserve">                                        </w:t>
      </w:r>
      <w:r w:rsidR="003D2C49" w:rsidRPr="00F24508">
        <w:rPr>
          <w:b/>
          <w:bCs/>
          <w:sz w:val="32"/>
          <w:szCs w:val="32"/>
        </w:rPr>
        <w:t>Reference</w:t>
      </w:r>
      <w:r>
        <w:rPr>
          <w:b/>
          <w:bCs/>
          <w:sz w:val="32"/>
          <w:szCs w:val="32"/>
        </w:rPr>
        <w:t xml:space="preserve"> list</w:t>
      </w:r>
      <w:r w:rsidR="003D2C49" w:rsidRPr="00F24508">
        <w:rPr>
          <w:b/>
          <w:bCs/>
          <w:sz w:val="32"/>
          <w:szCs w:val="32"/>
        </w:rPr>
        <w:t xml:space="preserve"> </w:t>
      </w:r>
    </w:p>
    <w:p w14:paraId="4668376E"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Care Act 2014, c. 23. London: The Stationery Office. Available at: </w:t>
      </w:r>
      <w:hyperlink r:id="rId10" w:history="1">
        <w:r w:rsidRPr="006240D4">
          <w:rPr>
            <w:rFonts w:ascii="Times New Roman" w:eastAsia="Times New Roman" w:hAnsi="Times New Roman" w:cs="Times New Roman"/>
            <w:color w:val="0000FF"/>
            <w:sz w:val="24"/>
            <w:szCs w:val="24"/>
            <w:u w:val="single"/>
            <w:lang w:val="en-GB" w:eastAsia="en-GB"/>
          </w:rPr>
          <w:t>https://www.legislation.gov.uk/ukpga/2014/23/contents</w:t>
        </w:r>
      </w:hyperlink>
      <w:r w:rsidRPr="006240D4">
        <w:rPr>
          <w:rFonts w:ascii="Times New Roman" w:eastAsia="Times New Roman" w:hAnsi="Times New Roman" w:cs="Times New Roman"/>
          <w:sz w:val="24"/>
          <w:szCs w:val="24"/>
          <w:lang w:val="en-GB" w:eastAsia="en-GB"/>
        </w:rPr>
        <w:t xml:space="preserve"> (Accessed: 5 July 2026).</w:t>
      </w:r>
    </w:p>
    <w:p w14:paraId="272360FC"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Carers UK (2024) </w:t>
      </w:r>
      <w:r w:rsidRPr="006240D4">
        <w:rPr>
          <w:rFonts w:ascii="Times New Roman" w:eastAsia="Times New Roman" w:hAnsi="Times New Roman" w:cs="Times New Roman"/>
          <w:i/>
          <w:iCs/>
          <w:sz w:val="24"/>
          <w:szCs w:val="24"/>
          <w:lang w:val="en-GB" w:eastAsia="en-GB"/>
        </w:rPr>
        <w:t>Facts About Carers, December 2024</w:t>
      </w:r>
      <w:r w:rsidRPr="006240D4">
        <w:rPr>
          <w:rFonts w:ascii="Times New Roman" w:eastAsia="Times New Roman" w:hAnsi="Times New Roman" w:cs="Times New Roman"/>
          <w:sz w:val="24"/>
          <w:szCs w:val="24"/>
          <w:lang w:val="en-GB" w:eastAsia="en-GB"/>
        </w:rPr>
        <w:t xml:space="preserve">. London: Carers UK. Available at: </w:t>
      </w:r>
      <w:hyperlink r:id="rId11" w:history="1">
        <w:r w:rsidRPr="006240D4">
          <w:rPr>
            <w:rFonts w:ascii="Times New Roman" w:eastAsia="Times New Roman" w:hAnsi="Times New Roman" w:cs="Times New Roman"/>
            <w:color w:val="0000FF"/>
            <w:sz w:val="24"/>
            <w:szCs w:val="24"/>
            <w:u w:val="single"/>
            <w:lang w:val="en-GB" w:eastAsia="en-GB"/>
          </w:rPr>
          <w:t>https://www.carersuk.org/media/ocxheq2c/facts-about-carers-dec-2024-final.pdf</w:t>
        </w:r>
      </w:hyperlink>
      <w:r w:rsidRPr="006240D4">
        <w:rPr>
          <w:rFonts w:ascii="Times New Roman" w:eastAsia="Times New Roman" w:hAnsi="Times New Roman" w:cs="Times New Roman"/>
          <w:sz w:val="24"/>
          <w:szCs w:val="24"/>
          <w:lang w:val="en-GB" w:eastAsia="en-GB"/>
        </w:rPr>
        <w:t xml:space="preserve"> (Accessed: 15 July 2026).</w:t>
      </w:r>
    </w:p>
    <w:p w14:paraId="134C7E37"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Carers UK (2024) </w:t>
      </w:r>
      <w:r w:rsidRPr="006240D4">
        <w:rPr>
          <w:rFonts w:ascii="Times New Roman" w:eastAsia="Times New Roman" w:hAnsi="Times New Roman" w:cs="Times New Roman"/>
          <w:i/>
          <w:iCs/>
          <w:sz w:val="24"/>
          <w:szCs w:val="24"/>
          <w:lang w:val="en-GB" w:eastAsia="en-GB"/>
        </w:rPr>
        <w:t>State of Caring 2024: The Impact of Caring on Carers' Mental Health and the Need for Support from Social Care Services</w:t>
      </w:r>
      <w:r w:rsidRPr="006240D4">
        <w:rPr>
          <w:rFonts w:ascii="Times New Roman" w:eastAsia="Times New Roman" w:hAnsi="Times New Roman" w:cs="Times New Roman"/>
          <w:sz w:val="24"/>
          <w:szCs w:val="24"/>
          <w:lang w:val="en-GB" w:eastAsia="en-GB"/>
        </w:rPr>
        <w:t xml:space="preserve">. London: Carers UK. Available at: </w:t>
      </w:r>
      <w:hyperlink r:id="rId12" w:history="1">
        <w:r w:rsidRPr="006240D4">
          <w:rPr>
            <w:rFonts w:ascii="Times New Roman" w:eastAsia="Times New Roman" w:hAnsi="Times New Roman" w:cs="Times New Roman"/>
            <w:color w:val="0000FF"/>
            <w:sz w:val="24"/>
            <w:szCs w:val="24"/>
            <w:u w:val="single"/>
            <w:lang w:val="en-GB" w:eastAsia="en-GB"/>
          </w:rPr>
          <w:t>https://www.carersuk.org/media/rjknz2jt/state-of-caring-mental-health-and-social-care-feb-2025.pdf</w:t>
        </w:r>
      </w:hyperlink>
      <w:r w:rsidRPr="006240D4">
        <w:rPr>
          <w:rFonts w:ascii="Times New Roman" w:eastAsia="Times New Roman" w:hAnsi="Times New Roman" w:cs="Times New Roman"/>
          <w:sz w:val="24"/>
          <w:szCs w:val="24"/>
          <w:lang w:val="en-GB" w:eastAsia="en-GB"/>
        </w:rPr>
        <w:t xml:space="preserve"> (Accessed: 20 July 2025).</w:t>
      </w:r>
    </w:p>
    <w:p w14:paraId="7892AF36"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Davis, F.D. (1989) ‘Perceived usefulness, perceived ease of use, and user acceptance of information technology’, </w:t>
      </w:r>
      <w:r w:rsidRPr="006240D4">
        <w:rPr>
          <w:rFonts w:ascii="Times New Roman" w:eastAsia="Times New Roman" w:hAnsi="Times New Roman" w:cs="Times New Roman"/>
          <w:i/>
          <w:iCs/>
          <w:sz w:val="24"/>
          <w:szCs w:val="24"/>
          <w:lang w:val="en-GB" w:eastAsia="en-GB"/>
        </w:rPr>
        <w:t>MIS Quarterly</w:t>
      </w:r>
      <w:r w:rsidRPr="006240D4">
        <w:rPr>
          <w:rFonts w:ascii="Times New Roman" w:eastAsia="Times New Roman" w:hAnsi="Times New Roman" w:cs="Times New Roman"/>
          <w:sz w:val="24"/>
          <w:szCs w:val="24"/>
          <w:lang w:val="en-GB" w:eastAsia="en-GB"/>
        </w:rPr>
        <w:t xml:space="preserve">, 13(3), pp. 319–340. Available at: </w:t>
      </w:r>
      <w:hyperlink r:id="rId13" w:history="1">
        <w:r w:rsidRPr="006240D4">
          <w:rPr>
            <w:rFonts w:ascii="Times New Roman" w:eastAsia="Times New Roman" w:hAnsi="Times New Roman" w:cs="Times New Roman"/>
            <w:color w:val="0000FF"/>
            <w:sz w:val="24"/>
            <w:szCs w:val="24"/>
            <w:u w:val="single"/>
            <w:lang w:val="en-GB" w:eastAsia="en-GB"/>
          </w:rPr>
          <w:t>https://www.researchgate.net/profile/Michel-Sylvie/publication/344247975_Mobile_Money_decryptage_d</w:t>
        </w:r>
      </w:hyperlink>
      <w:r w:rsidRPr="006240D4">
        <w:rPr>
          <w:rFonts w:ascii="Times New Roman" w:eastAsia="Times New Roman" w:hAnsi="Times New Roman" w:cs="Times New Roman"/>
          <w:sz w:val="24"/>
          <w:szCs w:val="24"/>
          <w:lang w:val="en-GB" w:eastAsia="en-GB"/>
        </w:rPr>
        <w:t>'une_succes_story_africaine/links/61603646ae47db4e57a80a60/Mobile-Money-decryptage-dune-succes-story-africaine.pdf (Accessed: 5 July 2026).</w:t>
      </w:r>
    </w:p>
    <w:p w14:paraId="2E58A367"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Equality Act 2010, c. 15, Part 2. London: The Stationery Office. Available at: </w:t>
      </w:r>
      <w:hyperlink r:id="rId14" w:history="1">
        <w:r w:rsidRPr="006240D4">
          <w:rPr>
            <w:rFonts w:ascii="Times New Roman" w:eastAsia="Times New Roman" w:hAnsi="Times New Roman" w:cs="Times New Roman"/>
            <w:color w:val="0000FF"/>
            <w:sz w:val="24"/>
            <w:szCs w:val="24"/>
            <w:u w:val="single"/>
            <w:lang w:val="en-GB" w:eastAsia="en-GB"/>
          </w:rPr>
          <w:t>https://www.legislation.gov.uk/ukpga/2010/15/part/2</w:t>
        </w:r>
      </w:hyperlink>
      <w:r w:rsidRPr="006240D4">
        <w:rPr>
          <w:rFonts w:ascii="Times New Roman" w:eastAsia="Times New Roman" w:hAnsi="Times New Roman" w:cs="Times New Roman"/>
          <w:sz w:val="24"/>
          <w:szCs w:val="24"/>
          <w:lang w:val="en-GB" w:eastAsia="en-GB"/>
        </w:rPr>
        <w:t xml:space="preserve"> (Accessed: 24 July 2026).</w:t>
      </w:r>
    </w:p>
    <w:p w14:paraId="198178C4"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Information Commissioner's Office (ICO) (2018) </w:t>
      </w:r>
      <w:r w:rsidRPr="006240D4">
        <w:rPr>
          <w:rFonts w:ascii="Times New Roman" w:eastAsia="Times New Roman" w:hAnsi="Times New Roman" w:cs="Times New Roman"/>
          <w:i/>
          <w:iCs/>
          <w:sz w:val="24"/>
          <w:szCs w:val="24"/>
          <w:lang w:val="en-GB" w:eastAsia="en-GB"/>
        </w:rPr>
        <w:t>Guide to the UK General Data Protection Regulation (UK GDPR)</w:t>
      </w:r>
      <w:r w:rsidRPr="006240D4">
        <w:rPr>
          <w:rFonts w:ascii="Times New Roman" w:eastAsia="Times New Roman" w:hAnsi="Times New Roman" w:cs="Times New Roman"/>
          <w:sz w:val="24"/>
          <w:szCs w:val="24"/>
          <w:lang w:val="en-GB" w:eastAsia="en-GB"/>
        </w:rPr>
        <w:t xml:space="preserve">. Available at: </w:t>
      </w:r>
      <w:hyperlink r:id="rId15" w:history="1">
        <w:r w:rsidRPr="006240D4">
          <w:rPr>
            <w:rFonts w:ascii="Times New Roman" w:eastAsia="Times New Roman" w:hAnsi="Times New Roman" w:cs="Times New Roman"/>
            <w:color w:val="0000FF"/>
            <w:sz w:val="24"/>
            <w:szCs w:val="24"/>
            <w:u w:val="single"/>
            <w:lang w:val="en-GB" w:eastAsia="en-GB"/>
          </w:rPr>
          <w:t>https://ico.org.uk/for-organisations/uk-gdpr-guidance-and-resources/data-sharing/</w:t>
        </w:r>
      </w:hyperlink>
      <w:r w:rsidRPr="006240D4">
        <w:rPr>
          <w:rFonts w:ascii="Times New Roman" w:eastAsia="Times New Roman" w:hAnsi="Times New Roman" w:cs="Times New Roman"/>
          <w:sz w:val="24"/>
          <w:szCs w:val="24"/>
          <w:lang w:val="en-GB" w:eastAsia="en-GB"/>
        </w:rPr>
        <w:t xml:space="preserve"> (Accessed: 5 July 2026).</w:t>
      </w:r>
    </w:p>
    <w:p w14:paraId="1702C295"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National Institute for Health and Care Excellence (NICE) (2020) </w:t>
      </w:r>
      <w:r w:rsidRPr="006240D4">
        <w:rPr>
          <w:rFonts w:ascii="Times New Roman" w:eastAsia="Times New Roman" w:hAnsi="Times New Roman" w:cs="Times New Roman"/>
          <w:i/>
          <w:iCs/>
          <w:sz w:val="24"/>
          <w:szCs w:val="24"/>
          <w:lang w:val="en-GB" w:eastAsia="en-GB"/>
        </w:rPr>
        <w:t>Supporting Adult Carers</w:t>
      </w:r>
      <w:r w:rsidRPr="006240D4">
        <w:rPr>
          <w:rFonts w:ascii="Times New Roman" w:eastAsia="Times New Roman" w:hAnsi="Times New Roman" w:cs="Times New Roman"/>
          <w:sz w:val="24"/>
          <w:szCs w:val="24"/>
          <w:lang w:val="en-GB" w:eastAsia="en-GB"/>
        </w:rPr>
        <w:t xml:space="preserve">. NICE guideline NG150. London: NICE. Available at: </w:t>
      </w:r>
      <w:hyperlink r:id="rId16" w:history="1">
        <w:r w:rsidRPr="006240D4">
          <w:rPr>
            <w:rFonts w:ascii="Times New Roman" w:eastAsia="Times New Roman" w:hAnsi="Times New Roman" w:cs="Times New Roman"/>
            <w:color w:val="0000FF"/>
            <w:sz w:val="24"/>
            <w:szCs w:val="24"/>
            <w:u w:val="single"/>
            <w:lang w:val="en-GB" w:eastAsia="en-GB"/>
          </w:rPr>
          <w:t>https://www.nice.org.uk/guidance/ng150</w:t>
        </w:r>
      </w:hyperlink>
      <w:r w:rsidRPr="006240D4">
        <w:rPr>
          <w:rFonts w:ascii="Times New Roman" w:eastAsia="Times New Roman" w:hAnsi="Times New Roman" w:cs="Times New Roman"/>
          <w:sz w:val="24"/>
          <w:szCs w:val="24"/>
          <w:lang w:val="en-GB" w:eastAsia="en-GB"/>
        </w:rPr>
        <w:t xml:space="preserve"> (Accessed: 5 July 2026).</w:t>
      </w:r>
    </w:p>
    <w:p w14:paraId="5FEF9DA0"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NHS England (2021) </w:t>
      </w:r>
      <w:r w:rsidRPr="006240D4">
        <w:rPr>
          <w:rFonts w:ascii="Times New Roman" w:eastAsia="Times New Roman" w:hAnsi="Times New Roman" w:cs="Times New Roman"/>
          <w:i/>
          <w:iCs/>
          <w:sz w:val="24"/>
          <w:szCs w:val="24"/>
          <w:lang w:val="en-GB" w:eastAsia="en-GB"/>
        </w:rPr>
        <w:t>Digital Technology Assessment Criteria (DTAC) for Health and Social Care</w:t>
      </w:r>
      <w:r w:rsidRPr="006240D4">
        <w:rPr>
          <w:rFonts w:ascii="Times New Roman" w:eastAsia="Times New Roman" w:hAnsi="Times New Roman" w:cs="Times New Roman"/>
          <w:sz w:val="24"/>
          <w:szCs w:val="24"/>
          <w:lang w:val="en-GB" w:eastAsia="en-GB"/>
        </w:rPr>
        <w:t xml:space="preserve">. Available at: </w:t>
      </w:r>
      <w:hyperlink r:id="rId17" w:history="1">
        <w:r w:rsidRPr="006240D4">
          <w:rPr>
            <w:rFonts w:ascii="Times New Roman" w:eastAsia="Times New Roman" w:hAnsi="Times New Roman" w:cs="Times New Roman"/>
            <w:color w:val="0000FF"/>
            <w:sz w:val="24"/>
            <w:szCs w:val="24"/>
            <w:u w:val="single"/>
            <w:lang w:val="en-GB" w:eastAsia="en-GB"/>
          </w:rPr>
          <w:t>https://www.healthinnowest.net/wp-content/uploads/2021/09/DTAC-Procomp-Solutions-V2.pdf</w:t>
        </w:r>
      </w:hyperlink>
      <w:r w:rsidRPr="006240D4">
        <w:rPr>
          <w:rFonts w:ascii="Times New Roman" w:eastAsia="Times New Roman" w:hAnsi="Times New Roman" w:cs="Times New Roman"/>
          <w:sz w:val="24"/>
          <w:szCs w:val="24"/>
          <w:lang w:val="en-GB" w:eastAsia="en-GB"/>
        </w:rPr>
        <w:t xml:space="preserve"> (Accessed: 14 July 2026).</w:t>
      </w:r>
    </w:p>
    <w:p w14:paraId="067EF89E"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proofErr w:type="spellStart"/>
      <w:r w:rsidRPr="006240D4">
        <w:rPr>
          <w:rFonts w:ascii="Times New Roman" w:eastAsia="Times New Roman" w:hAnsi="Times New Roman" w:cs="Times New Roman"/>
          <w:sz w:val="24"/>
          <w:szCs w:val="24"/>
          <w:lang w:val="en-GB" w:eastAsia="en-GB"/>
        </w:rPr>
        <w:t>Peytrignet</w:t>
      </w:r>
      <w:proofErr w:type="spellEnd"/>
      <w:r w:rsidRPr="006240D4">
        <w:rPr>
          <w:rFonts w:ascii="Times New Roman" w:eastAsia="Times New Roman" w:hAnsi="Times New Roman" w:cs="Times New Roman"/>
          <w:sz w:val="24"/>
          <w:szCs w:val="24"/>
          <w:lang w:val="en-GB" w:eastAsia="en-GB"/>
        </w:rPr>
        <w:t xml:space="preserve">, S., Grimm, F. and Tallack, C. (2023) </w:t>
      </w:r>
      <w:r w:rsidRPr="006240D4">
        <w:rPr>
          <w:rFonts w:ascii="Times New Roman" w:eastAsia="Times New Roman" w:hAnsi="Times New Roman" w:cs="Times New Roman"/>
          <w:i/>
          <w:iCs/>
          <w:sz w:val="24"/>
          <w:szCs w:val="24"/>
          <w:lang w:val="en-GB" w:eastAsia="en-GB"/>
        </w:rPr>
        <w:t>Understanding unpaid carers and their access to support</w:t>
      </w:r>
      <w:r w:rsidRPr="006240D4">
        <w:rPr>
          <w:rFonts w:ascii="Times New Roman" w:eastAsia="Times New Roman" w:hAnsi="Times New Roman" w:cs="Times New Roman"/>
          <w:sz w:val="24"/>
          <w:szCs w:val="24"/>
          <w:lang w:val="en-GB" w:eastAsia="en-GB"/>
        </w:rPr>
        <w:t xml:space="preserve">. London: The Health Foundation. Available at: </w:t>
      </w:r>
      <w:hyperlink r:id="rId18" w:history="1">
        <w:r w:rsidRPr="006240D4">
          <w:rPr>
            <w:rFonts w:ascii="Times New Roman" w:eastAsia="Times New Roman" w:hAnsi="Times New Roman" w:cs="Times New Roman"/>
            <w:color w:val="0000FF"/>
            <w:sz w:val="24"/>
            <w:szCs w:val="24"/>
            <w:u w:val="single"/>
            <w:lang w:val="en-GB" w:eastAsia="en-GB"/>
          </w:rPr>
          <w:t>https://www.health.org.uk/reports-and-analysis/analysis/understanding-unpaid-carers-and-their-access-to-support</w:t>
        </w:r>
      </w:hyperlink>
      <w:r w:rsidRPr="006240D4">
        <w:rPr>
          <w:rFonts w:ascii="Times New Roman" w:eastAsia="Times New Roman" w:hAnsi="Times New Roman" w:cs="Times New Roman"/>
          <w:sz w:val="24"/>
          <w:szCs w:val="24"/>
          <w:lang w:val="en-GB" w:eastAsia="en-GB"/>
        </w:rPr>
        <w:t xml:space="preserve"> (Accessed: 24 July 2026).</w:t>
      </w:r>
    </w:p>
    <w:p w14:paraId="501471AE" w14:textId="77777777" w:rsidR="006240D4" w:rsidRPr="006240D4" w:rsidRDefault="006240D4" w:rsidP="006240D4">
      <w:pPr>
        <w:spacing w:before="100" w:beforeAutospacing="1" w:after="100" w:afterAutospacing="1"/>
        <w:rPr>
          <w:rFonts w:ascii="Times New Roman" w:eastAsia="Times New Roman" w:hAnsi="Times New Roman" w:cs="Times New Roman"/>
          <w:sz w:val="24"/>
          <w:szCs w:val="24"/>
          <w:lang w:val="en-GB" w:eastAsia="en-GB"/>
        </w:rPr>
      </w:pPr>
      <w:r w:rsidRPr="006240D4">
        <w:rPr>
          <w:rFonts w:ascii="Times New Roman" w:eastAsia="Times New Roman" w:hAnsi="Times New Roman" w:cs="Times New Roman"/>
          <w:sz w:val="24"/>
          <w:szCs w:val="24"/>
          <w:lang w:val="en-GB" w:eastAsia="en-GB"/>
        </w:rPr>
        <w:t xml:space="preserve">Rogers, E.M. (2003) </w:t>
      </w:r>
      <w:r w:rsidRPr="006240D4">
        <w:rPr>
          <w:rFonts w:ascii="Times New Roman" w:eastAsia="Times New Roman" w:hAnsi="Times New Roman" w:cs="Times New Roman"/>
          <w:i/>
          <w:iCs/>
          <w:sz w:val="24"/>
          <w:szCs w:val="24"/>
          <w:lang w:val="en-GB" w:eastAsia="en-GB"/>
        </w:rPr>
        <w:t>Diffusion of Innovations</w:t>
      </w:r>
      <w:r w:rsidRPr="006240D4">
        <w:rPr>
          <w:rFonts w:ascii="Times New Roman" w:eastAsia="Times New Roman" w:hAnsi="Times New Roman" w:cs="Times New Roman"/>
          <w:sz w:val="24"/>
          <w:szCs w:val="24"/>
          <w:lang w:val="en-GB" w:eastAsia="en-GB"/>
        </w:rPr>
        <w:t xml:space="preserve">. 5th </w:t>
      </w:r>
      <w:proofErr w:type="spellStart"/>
      <w:r w:rsidRPr="006240D4">
        <w:rPr>
          <w:rFonts w:ascii="Times New Roman" w:eastAsia="Times New Roman" w:hAnsi="Times New Roman" w:cs="Times New Roman"/>
          <w:sz w:val="24"/>
          <w:szCs w:val="24"/>
          <w:lang w:val="en-GB" w:eastAsia="en-GB"/>
        </w:rPr>
        <w:t>edn</w:t>
      </w:r>
      <w:proofErr w:type="spellEnd"/>
      <w:r w:rsidRPr="006240D4">
        <w:rPr>
          <w:rFonts w:ascii="Times New Roman" w:eastAsia="Times New Roman" w:hAnsi="Times New Roman" w:cs="Times New Roman"/>
          <w:sz w:val="24"/>
          <w:szCs w:val="24"/>
          <w:lang w:val="en-GB" w:eastAsia="en-GB"/>
        </w:rPr>
        <w:t>. New York: Free Press.</w:t>
      </w:r>
    </w:p>
    <w:p w14:paraId="62BF1305" w14:textId="77777777" w:rsidR="005838A4" w:rsidRPr="008933DB" w:rsidRDefault="005838A4" w:rsidP="008933DB">
      <w:pPr>
        <w:rPr>
          <w:b/>
          <w:bCs/>
        </w:rPr>
      </w:pPr>
    </w:p>
    <w:sectPr w:rsidR="005838A4" w:rsidRPr="008933DB">
      <w:footerReference w:type="default" r:id="rId19"/>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9A7E5" w14:textId="77777777" w:rsidR="003D2C49" w:rsidRDefault="003D2C49">
      <w:r>
        <w:separator/>
      </w:r>
    </w:p>
  </w:endnote>
  <w:endnote w:type="continuationSeparator" w:id="0">
    <w:p w14:paraId="5BCEF342" w14:textId="77777777" w:rsidR="003D2C49" w:rsidRDefault="003D2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6187" w14:textId="77777777" w:rsidR="00361164" w:rsidRDefault="003D2C49">
    <w:pPr>
      <w:jc w:val="center"/>
    </w:pPr>
    <w:r>
      <w:rPr>
        <w:sz w:val="18"/>
        <w:szCs w:val="18"/>
      </w:rPr>
      <w:fldChar w:fldCharType="begin"/>
    </w:r>
    <w:r>
      <w:rPr>
        <w:sz w:val="18"/>
        <w:szCs w:val="18"/>
      </w:rPr>
      <w:instrText>PAGE</w:instrText>
    </w:r>
    <w:r>
      <w:rPr>
        <w:sz w:val="18"/>
        <w:szCs w:val="18"/>
      </w:rPr>
      <w:fldChar w:fldCharType="separate"/>
    </w:r>
    <w:r w:rsidR="00CF5B1B">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4174" w14:textId="77777777" w:rsidR="003D2C49" w:rsidRDefault="003D2C49">
      <w:r>
        <w:separator/>
      </w:r>
    </w:p>
  </w:footnote>
  <w:footnote w:type="continuationSeparator" w:id="0">
    <w:p w14:paraId="1B70BF60" w14:textId="77777777" w:rsidR="003D2C49" w:rsidRDefault="003D2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E2F3A"/>
    <w:multiLevelType w:val="hybridMultilevel"/>
    <w:tmpl w:val="15EE99A0"/>
    <w:lvl w:ilvl="0" w:tplc="28C43E86">
      <w:start w:val="1"/>
      <w:numFmt w:val="bullet"/>
      <w:lvlText w:val="●"/>
      <w:lvlJc w:val="left"/>
      <w:pPr>
        <w:ind w:left="720" w:hanging="360"/>
      </w:pPr>
    </w:lvl>
    <w:lvl w:ilvl="1" w:tplc="2D8CADEE">
      <w:start w:val="1"/>
      <w:numFmt w:val="bullet"/>
      <w:lvlText w:val="○"/>
      <w:lvlJc w:val="left"/>
      <w:pPr>
        <w:ind w:left="1440" w:hanging="360"/>
      </w:pPr>
    </w:lvl>
    <w:lvl w:ilvl="2" w:tplc="2000F8B2">
      <w:start w:val="1"/>
      <w:numFmt w:val="bullet"/>
      <w:lvlText w:val="■"/>
      <w:lvlJc w:val="left"/>
      <w:pPr>
        <w:ind w:left="2160" w:hanging="360"/>
      </w:pPr>
    </w:lvl>
    <w:lvl w:ilvl="3" w:tplc="611AA39A">
      <w:start w:val="1"/>
      <w:numFmt w:val="bullet"/>
      <w:lvlText w:val="●"/>
      <w:lvlJc w:val="left"/>
      <w:pPr>
        <w:ind w:left="2880" w:hanging="360"/>
      </w:pPr>
    </w:lvl>
    <w:lvl w:ilvl="4" w:tplc="FCB663D0">
      <w:start w:val="1"/>
      <w:numFmt w:val="bullet"/>
      <w:lvlText w:val="○"/>
      <w:lvlJc w:val="left"/>
      <w:pPr>
        <w:ind w:left="3600" w:hanging="360"/>
      </w:pPr>
    </w:lvl>
    <w:lvl w:ilvl="5" w:tplc="7728C4A2">
      <w:start w:val="1"/>
      <w:numFmt w:val="bullet"/>
      <w:lvlText w:val="■"/>
      <w:lvlJc w:val="left"/>
      <w:pPr>
        <w:ind w:left="4320" w:hanging="360"/>
      </w:pPr>
    </w:lvl>
    <w:lvl w:ilvl="6" w:tplc="1BAA92AC">
      <w:start w:val="1"/>
      <w:numFmt w:val="bullet"/>
      <w:lvlText w:val="●"/>
      <w:lvlJc w:val="left"/>
      <w:pPr>
        <w:ind w:left="5040" w:hanging="360"/>
      </w:pPr>
    </w:lvl>
    <w:lvl w:ilvl="7" w:tplc="43BCF204">
      <w:start w:val="1"/>
      <w:numFmt w:val="bullet"/>
      <w:lvlText w:val="●"/>
      <w:lvlJc w:val="left"/>
      <w:pPr>
        <w:ind w:left="5760" w:hanging="360"/>
      </w:pPr>
    </w:lvl>
    <w:lvl w:ilvl="8" w:tplc="3DCC28D2">
      <w:start w:val="1"/>
      <w:numFmt w:val="bullet"/>
      <w:lvlText w:val="●"/>
      <w:lvlJc w:val="left"/>
      <w:pPr>
        <w:ind w:left="6480" w:hanging="360"/>
      </w:pPr>
    </w:lvl>
  </w:abstractNum>
  <w:num w:numId="1" w16cid:durableId="15515740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164"/>
    <w:rsid w:val="00032742"/>
    <w:rsid w:val="0003339E"/>
    <w:rsid w:val="00060116"/>
    <w:rsid w:val="00075712"/>
    <w:rsid w:val="00077DB9"/>
    <w:rsid w:val="00081C91"/>
    <w:rsid w:val="000D0093"/>
    <w:rsid w:val="00155781"/>
    <w:rsid w:val="00172B96"/>
    <w:rsid w:val="001968CE"/>
    <w:rsid w:val="001D48D9"/>
    <w:rsid w:val="00200FFF"/>
    <w:rsid w:val="002713C5"/>
    <w:rsid w:val="002B39E3"/>
    <w:rsid w:val="00361164"/>
    <w:rsid w:val="00390118"/>
    <w:rsid w:val="0039282F"/>
    <w:rsid w:val="003A7BFC"/>
    <w:rsid w:val="003D2C49"/>
    <w:rsid w:val="003F0734"/>
    <w:rsid w:val="00412FDE"/>
    <w:rsid w:val="004131E8"/>
    <w:rsid w:val="00420067"/>
    <w:rsid w:val="00423EA6"/>
    <w:rsid w:val="004461C1"/>
    <w:rsid w:val="004718AB"/>
    <w:rsid w:val="004A3315"/>
    <w:rsid w:val="004B352C"/>
    <w:rsid w:val="004B61EC"/>
    <w:rsid w:val="004D0BE9"/>
    <w:rsid w:val="004E529C"/>
    <w:rsid w:val="00524DC8"/>
    <w:rsid w:val="005656E7"/>
    <w:rsid w:val="00567D57"/>
    <w:rsid w:val="005838A4"/>
    <w:rsid w:val="005957A2"/>
    <w:rsid w:val="005A1FA5"/>
    <w:rsid w:val="005A6C10"/>
    <w:rsid w:val="005C3BD2"/>
    <w:rsid w:val="00616AA6"/>
    <w:rsid w:val="00621B69"/>
    <w:rsid w:val="006240D4"/>
    <w:rsid w:val="006876B3"/>
    <w:rsid w:val="00696BDA"/>
    <w:rsid w:val="006C0C24"/>
    <w:rsid w:val="006C6848"/>
    <w:rsid w:val="006D7A48"/>
    <w:rsid w:val="00706F68"/>
    <w:rsid w:val="008004A9"/>
    <w:rsid w:val="00801DEC"/>
    <w:rsid w:val="008409DC"/>
    <w:rsid w:val="008665CE"/>
    <w:rsid w:val="008933DB"/>
    <w:rsid w:val="008B20F2"/>
    <w:rsid w:val="008C541E"/>
    <w:rsid w:val="008F423C"/>
    <w:rsid w:val="00985318"/>
    <w:rsid w:val="009B1962"/>
    <w:rsid w:val="009D4634"/>
    <w:rsid w:val="009E0DBE"/>
    <w:rsid w:val="009E7711"/>
    <w:rsid w:val="00A27567"/>
    <w:rsid w:val="00A328BC"/>
    <w:rsid w:val="00A34656"/>
    <w:rsid w:val="00A365B1"/>
    <w:rsid w:val="00A73E47"/>
    <w:rsid w:val="00A84CF7"/>
    <w:rsid w:val="00A95B1C"/>
    <w:rsid w:val="00AD7341"/>
    <w:rsid w:val="00AE66C0"/>
    <w:rsid w:val="00B31D6F"/>
    <w:rsid w:val="00B43E2A"/>
    <w:rsid w:val="00B50CEB"/>
    <w:rsid w:val="00B60B2E"/>
    <w:rsid w:val="00BB7767"/>
    <w:rsid w:val="00BC539B"/>
    <w:rsid w:val="00BE1E12"/>
    <w:rsid w:val="00C102B5"/>
    <w:rsid w:val="00C4646E"/>
    <w:rsid w:val="00C86D8D"/>
    <w:rsid w:val="00C87AC6"/>
    <w:rsid w:val="00C963BF"/>
    <w:rsid w:val="00C96B99"/>
    <w:rsid w:val="00CB44DE"/>
    <w:rsid w:val="00CD130B"/>
    <w:rsid w:val="00CE70FF"/>
    <w:rsid w:val="00CF2239"/>
    <w:rsid w:val="00CF5B1B"/>
    <w:rsid w:val="00D15EE3"/>
    <w:rsid w:val="00D21B53"/>
    <w:rsid w:val="00D259D8"/>
    <w:rsid w:val="00D70E22"/>
    <w:rsid w:val="00DE2B43"/>
    <w:rsid w:val="00E537ED"/>
    <w:rsid w:val="00E7059E"/>
    <w:rsid w:val="00E82EF1"/>
    <w:rsid w:val="00EA30E2"/>
    <w:rsid w:val="00EB0AAC"/>
    <w:rsid w:val="00EC2415"/>
    <w:rsid w:val="00EF2CDE"/>
    <w:rsid w:val="00EF7905"/>
    <w:rsid w:val="00F168EF"/>
    <w:rsid w:val="00F24508"/>
    <w:rsid w:val="00F43202"/>
    <w:rsid w:val="00F76A89"/>
    <w:rsid w:val="00F91593"/>
    <w:rsid w:val="00F95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8FBB1"/>
  <w15:docId w15:val="{DB282C30-5330-44A0-A4B9-85E8E005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CF5B1B"/>
    <w:rPr>
      <w:color w:val="605E5C"/>
      <w:shd w:val="clear" w:color="auto" w:fill="E1DFDD"/>
    </w:rPr>
  </w:style>
  <w:style w:type="character" w:styleId="FollowedHyperlink">
    <w:name w:val="FollowedHyperlink"/>
    <w:basedOn w:val="DefaultParagraphFont"/>
    <w:uiPriority w:val="99"/>
    <w:semiHidden/>
    <w:unhideWhenUsed/>
    <w:rsid w:val="00CF5B1B"/>
    <w:rPr>
      <w:color w:val="954F72" w:themeColor="followedHyperlink"/>
      <w:u w:val="single"/>
    </w:rPr>
  </w:style>
  <w:style w:type="character" w:customStyle="1" w:styleId="Heading2Char">
    <w:name w:val="Heading 2 Char"/>
    <w:basedOn w:val="DefaultParagraphFont"/>
    <w:link w:val="Heading2"/>
    <w:uiPriority w:val="9"/>
    <w:rsid w:val="00423EA6"/>
    <w:rPr>
      <w:color w:val="2E74B5"/>
      <w:sz w:val="26"/>
      <w:szCs w:val="26"/>
    </w:rPr>
  </w:style>
  <w:style w:type="paragraph" w:styleId="Caption">
    <w:name w:val="caption"/>
    <w:basedOn w:val="Normal"/>
    <w:next w:val="Normal"/>
    <w:uiPriority w:val="35"/>
    <w:unhideWhenUsed/>
    <w:qFormat/>
    <w:rsid w:val="00EB0AAC"/>
    <w:pPr>
      <w:spacing w:after="200"/>
    </w:pPr>
    <w:rPr>
      <w:i/>
      <w:iCs/>
      <w:color w:val="44546A" w:themeColor="text2"/>
      <w:sz w:val="18"/>
      <w:szCs w:val="18"/>
    </w:rPr>
  </w:style>
  <w:style w:type="paragraph" w:styleId="Header">
    <w:name w:val="header"/>
    <w:basedOn w:val="Normal"/>
    <w:link w:val="HeaderChar"/>
    <w:uiPriority w:val="99"/>
    <w:unhideWhenUsed/>
    <w:rsid w:val="006240D4"/>
    <w:pPr>
      <w:tabs>
        <w:tab w:val="center" w:pos="4513"/>
        <w:tab w:val="right" w:pos="9026"/>
      </w:tabs>
    </w:pPr>
  </w:style>
  <w:style w:type="character" w:customStyle="1" w:styleId="HeaderChar">
    <w:name w:val="Header Char"/>
    <w:basedOn w:val="DefaultParagraphFont"/>
    <w:link w:val="Header"/>
    <w:uiPriority w:val="99"/>
    <w:rsid w:val="006240D4"/>
  </w:style>
  <w:style w:type="paragraph" w:styleId="Footer">
    <w:name w:val="footer"/>
    <w:basedOn w:val="Normal"/>
    <w:link w:val="FooterChar"/>
    <w:uiPriority w:val="99"/>
    <w:unhideWhenUsed/>
    <w:rsid w:val="006240D4"/>
    <w:pPr>
      <w:tabs>
        <w:tab w:val="center" w:pos="4513"/>
        <w:tab w:val="right" w:pos="9026"/>
      </w:tabs>
    </w:pPr>
  </w:style>
  <w:style w:type="character" w:customStyle="1" w:styleId="FooterChar">
    <w:name w:val="Footer Char"/>
    <w:basedOn w:val="DefaultParagraphFont"/>
    <w:link w:val="Footer"/>
    <w:uiPriority w:val="99"/>
    <w:rsid w:val="006240D4"/>
  </w:style>
  <w:style w:type="paragraph" w:styleId="TOCHeading">
    <w:name w:val="TOC Heading"/>
    <w:basedOn w:val="Heading1"/>
    <w:next w:val="Normal"/>
    <w:uiPriority w:val="39"/>
    <w:unhideWhenUsed/>
    <w:qFormat/>
    <w:rsid w:val="00EF7905"/>
    <w:pPr>
      <w:keepNext/>
      <w:keepLines/>
      <w:spacing w:before="240" w:line="259" w:lineRule="auto"/>
      <w:outlineLvl w:val="9"/>
    </w:pPr>
    <w:rPr>
      <w:rFonts w:asciiTheme="majorHAnsi" w:eastAsiaTheme="majorEastAsia" w:hAnsiTheme="majorHAnsi" w:cstheme="majorBidi"/>
      <w:color w:val="2F5496" w:themeColor="accent1" w:themeShade="BF"/>
      <w:lang w:val="en-GB" w:eastAsia="en-GB"/>
    </w:rPr>
  </w:style>
  <w:style w:type="paragraph" w:styleId="TOC2">
    <w:name w:val="toc 2"/>
    <w:basedOn w:val="Normal"/>
    <w:next w:val="Normal"/>
    <w:autoRedefine/>
    <w:uiPriority w:val="39"/>
    <w:unhideWhenUsed/>
    <w:rsid w:val="00EF7905"/>
    <w:pPr>
      <w:spacing w:after="100"/>
      <w:ind w:left="220"/>
    </w:pPr>
  </w:style>
  <w:style w:type="paragraph" w:styleId="TOC1">
    <w:name w:val="toc 1"/>
    <w:basedOn w:val="Normal"/>
    <w:next w:val="Normal"/>
    <w:autoRedefine/>
    <w:uiPriority w:val="39"/>
    <w:unhideWhenUsed/>
    <w:rsid w:val="00A95B1C"/>
    <w:pPr>
      <w:tabs>
        <w:tab w:val="right" w:leader="dot" w:pos="9628"/>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researchgate.net/profile/Michel-Sylvie/publication/344247975_Mobile_Money_decryptage_d" TargetMode="External"/><Relationship Id="rId18" Type="http://schemas.openxmlformats.org/officeDocument/2006/relationships/hyperlink" Target="https://www.health.org.uk/reports-and-analysis/analysis/understanding-unpaid-carers-and-their-access-to-suppor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arersuk.org/media/rjknz2jt/state-of-caring-mental-health-and-social-care-feb-2025.pdf" TargetMode="External"/><Relationship Id="rId17" Type="http://schemas.openxmlformats.org/officeDocument/2006/relationships/hyperlink" Target="https://www.healthinnowest.net/wp-content/uploads/2021/09/DTAC-Procomp-Solutions-V2.pdf" TargetMode="External"/><Relationship Id="rId2" Type="http://schemas.openxmlformats.org/officeDocument/2006/relationships/numbering" Target="numbering.xml"/><Relationship Id="rId16" Type="http://schemas.openxmlformats.org/officeDocument/2006/relationships/hyperlink" Target="https://www.nice.org.uk/guidance/ng15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rsuk.org/media/ocxheq2c/facts-about-carers-dec-2024-final.pdf" TargetMode="External"/><Relationship Id="rId5" Type="http://schemas.openxmlformats.org/officeDocument/2006/relationships/webSettings" Target="webSettings.xml"/><Relationship Id="rId15" Type="http://schemas.openxmlformats.org/officeDocument/2006/relationships/hyperlink" Target="https://ico.org.uk/for-organisations/uk-gdpr-guidance-and-resources/data-sharing/" TargetMode="External"/><Relationship Id="rId10" Type="http://schemas.openxmlformats.org/officeDocument/2006/relationships/hyperlink" Target="https://www.legislation.gov.uk/ukpga/2014/23/conten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10/15/par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08119-3809-4F4A-8681-01E72571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8760</TotalTime>
  <Pages>8</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Anita Johnson (2422551)</cp:lastModifiedBy>
  <cp:revision>47</cp:revision>
  <dcterms:created xsi:type="dcterms:W3CDTF">2026-07-27T19:53:00Z</dcterms:created>
  <dcterms:modified xsi:type="dcterms:W3CDTF">2026-08-11T19:42:00Z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b5acadd2-85df-4130-bd31-357f144d19c2</vt:lpwstr>
  </property>
</Properties>
</file>