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4AA1D" w14:textId="77777777" w:rsidR="00F54A78" w:rsidRDefault="000E6E64">
      <w:pPr>
        <w:jc w:val="center"/>
        <w:rPr>
          <w:b/>
          <w:bCs/>
          <w:sz w:val="28"/>
          <w:szCs w:val="28"/>
        </w:rPr>
      </w:pPr>
      <w:r>
        <w:rPr>
          <w:rFonts w:asciiTheme="minorBidi" w:hAnsiTheme="minorBidi"/>
          <w:noProof/>
        </w:rPr>
        <w:drawing>
          <wp:inline distT="0" distB="0" distL="0" distR="0" wp14:anchorId="522677A1" wp14:editId="28C843A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3E3EE0BE" w14:textId="77777777" w:rsidR="00F54A78" w:rsidRDefault="00F54A78">
      <w:pPr>
        <w:jc w:val="center"/>
        <w:rPr>
          <w:b/>
          <w:bCs/>
          <w:sz w:val="28"/>
          <w:szCs w:val="28"/>
        </w:rPr>
      </w:pPr>
    </w:p>
    <w:p w14:paraId="0D40BA6F" w14:textId="77777777" w:rsidR="00F54A78" w:rsidRDefault="000E6E64">
      <w:pPr>
        <w:jc w:val="center"/>
        <w:rPr>
          <w:b/>
          <w:bCs/>
          <w:sz w:val="28"/>
          <w:szCs w:val="28"/>
        </w:rPr>
      </w:pPr>
      <w:r>
        <w:rPr>
          <w:b/>
          <w:bCs/>
          <w:sz w:val="28"/>
          <w:szCs w:val="28"/>
        </w:rPr>
        <w:t>Assessment Component 1: Marketing Environment Analysis</w:t>
      </w:r>
    </w:p>
    <w:p w14:paraId="073CECE6" w14:textId="77777777" w:rsidR="00F54A78" w:rsidRDefault="000E6E64">
      <w:pPr>
        <w:jc w:val="center"/>
        <w:rPr>
          <w:rFonts w:asciiTheme="minorBidi" w:hAnsiTheme="minorBidi"/>
          <w:b/>
          <w:bCs/>
          <w:sz w:val="28"/>
          <w:szCs w:val="28"/>
        </w:rPr>
      </w:pPr>
      <w:r>
        <w:rPr>
          <w:rFonts w:asciiTheme="minorBidi" w:hAnsiTheme="minorBidi"/>
          <w:b/>
          <w:bCs/>
          <w:sz w:val="28"/>
          <w:szCs w:val="28"/>
        </w:rPr>
        <w:t>Module Code: LCMB7024</w:t>
      </w:r>
    </w:p>
    <w:p w14:paraId="4758EC5A" w14:textId="77777777" w:rsidR="00F54A78" w:rsidRDefault="00F54A78">
      <w:pPr>
        <w:jc w:val="center"/>
        <w:rPr>
          <w:rFonts w:asciiTheme="minorBidi" w:hAnsiTheme="minorBidi"/>
          <w:b/>
          <w:bCs/>
          <w:sz w:val="28"/>
          <w:szCs w:val="28"/>
        </w:rPr>
      </w:pPr>
    </w:p>
    <w:p w14:paraId="39700666" w14:textId="6DA207EA" w:rsidR="00F54A78" w:rsidRDefault="000E6E64">
      <w:pPr>
        <w:jc w:val="center"/>
        <w:rPr>
          <w:b/>
          <w:bCs/>
          <w:sz w:val="28"/>
          <w:szCs w:val="28"/>
        </w:rPr>
      </w:pPr>
      <w:r>
        <w:rPr>
          <w:b/>
          <w:bCs/>
          <w:sz w:val="28"/>
          <w:szCs w:val="28"/>
        </w:rPr>
        <w:t>Student ID:</w:t>
      </w:r>
      <w:r w:rsidR="00E10E6D">
        <w:rPr>
          <w:b/>
          <w:bCs/>
          <w:sz w:val="28"/>
          <w:szCs w:val="28"/>
        </w:rPr>
        <w:t xml:space="preserve"> 2531864</w:t>
      </w:r>
    </w:p>
    <w:p w14:paraId="19B23865" w14:textId="63EC9DA8" w:rsidR="00F54A78" w:rsidRDefault="000E6E64">
      <w:pPr>
        <w:jc w:val="center"/>
        <w:rPr>
          <w:b/>
          <w:bCs/>
          <w:sz w:val="28"/>
          <w:szCs w:val="28"/>
        </w:rPr>
      </w:pPr>
      <w:r>
        <w:rPr>
          <w:b/>
          <w:bCs/>
          <w:sz w:val="28"/>
          <w:szCs w:val="28"/>
        </w:rPr>
        <w:t>Student N</w:t>
      </w:r>
      <w:r w:rsidR="00E10E6D">
        <w:rPr>
          <w:b/>
          <w:bCs/>
          <w:sz w:val="28"/>
          <w:szCs w:val="28"/>
        </w:rPr>
        <w:t xml:space="preserve">ame: Ravikumar </w:t>
      </w:r>
      <w:proofErr w:type="spellStart"/>
      <w:r w:rsidR="00E10E6D">
        <w:rPr>
          <w:b/>
          <w:bCs/>
          <w:sz w:val="28"/>
          <w:szCs w:val="28"/>
        </w:rPr>
        <w:t>Mukeshbhai</w:t>
      </w:r>
      <w:proofErr w:type="spellEnd"/>
      <w:r w:rsidR="00E10E6D">
        <w:rPr>
          <w:b/>
          <w:bCs/>
          <w:sz w:val="28"/>
          <w:szCs w:val="28"/>
        </w:rPr>
        <w:t xml:space="preserve"> </w:t>
      </w:r>
      <w:proofErr w:type="spellStart"/>
      <w:r w:rsidR="00E10E6D">
        <w:rPr>
          <w:b/>
          <w:bCs/>
          <w:sz w:val="28"/>
          <w:szCs w:val="28"/>
        </w:rPr>
        <w:t>Bhadiyadra</w:t>
      </w:r>
      <w:proofErr w:type="spellEnd"/>
    </w:p>
    <w:p w14:paraId="652A3D27" w14:textId="77777777" w:rsidR="00F54A78" w:rsidRDefault="00F54A78">
      <w:pPr>
        <w:jc w:val="center"/>
        <w:rPr>
          <w:rFonts w:asciiTheme="minorBidi" w:hAnsiTheme="minorBidi"/>
          <w:b/>
          <w:bCs/>
          <w:sz w:val="28"/>
          <w:szCs w:val="28"/>
        </w:rPr>
      </w:pPr>
    </w:p>
    <w:p w14:paraId="2078DF6E" w14:textId="684BC974" w:rsidR="00F54A78" w:rsidRDefault="00E10E6D" w:rsidP="000E6E64">
      <w:pPr>
        <w:jc w:val="center"/>
        <w:rPr>
          <w:rFonts w:asciiTheme="minorBidi" w:hAnsiTheme="minorBidi"/>
          <w:b/>
          <w:bCs/>
          <w:sz w:val="28"/>
          <w:szCs w:val="28"/>
        </w:rPr>
      </w:pPr>
      <w:r>
        <w:rPr>
          <w:rFonts w:asciiTheme="minorBidi" w:hAnsiTheme="minorBidi"/>
          <w:b/>
          <w:bCs/>
          <w:sz w:val="28"/>
          <w:szCs w:val="28"/>
        </w:rPr>
        <w:t xml:space="preserve">Lecturer’s Name: Dr Laila </w:t>
      </w:r>
      <w:proofErr w:type="spellStart"/>
      <w:r>
        <w:rPr>
          <w:rFonts w:asciiTheme="minorBidi" w:hAnsiTheme="minorBidi"/>
          <w:b/>
          <w:bCs/>
          <w:sz w:val="28"/>
          <w:szCs w:val="28"/>
        </w:rPr>
        <w:t>Maazouz</w:t>
      </w:r>
      <w:proofErr w:type="spellEnd"/>
    </w:p>
    <w:p w14:paraId="692162FE" w14:textId="5F3E40C2" w:rsidR="00F54A78" w:rsidRDefault="000E6E64" w:rsidP="000E6E64">
      <w:pPr>
        <w:jc w:val="center"/>
        <w:rPr>
          <w:rFonts w:asciiTheme="minorBidi" w:hAnsiTheme="minorBidi"/>
          <w:b/>
          <w:bCs/>
          <w:sz w:val="28"/>
          <w:szCs w:val="28"/>
        </w:rPr>
      </w:pPr>
      <w:r>
        <w:rPr>
          <w:rFonts w:asciiTheme="minorBidi" w:hAnsiTheme="minorBidi"/>
          <w:b/>
          <w:bCs/>
          <w:sz w:val="28"/>
          <w:szCs w:val="28"/>
        </w:rPr>
        <w:t>Word Count: 2384</w:t>
      </w:r>
    </w:p>
    <w:p w14:paraId="40DF8E9A" w14:textId="77777777" w:rsidR="00F54A78" w:rsidRDefault="00F54A78">
      <w:pPr>
        <w:jc w:val="center"/>
        <w:rPr>
          <w:b/>
          <w:bCs/>
          <w:sz w:val="28"/>
          <w:szCs w:val="28"/>
        </w:rPr>
      </w:pPr>
    </w:p>
    <w:p w14:paraId="5B6E8C1A" w14:textId="77777777" w:rsidR="00F54A78" w:rsidRDefault="00F54A78">
      <w:pPr>
        <w:jc w:val="center"/>
        <w:rPr>
          <w:b/>
          <w:bCs/>
          <w:sz w:val="28"/>
          <w:szCs w:val="28"/>
        </w:rPr>
      </w:pPr>
    </w:p>
    <w:p w14:paraId="3B019956" w14:textId="77777777" w:rsidR="00F54A78" w:rsidRDefault="000E6E64">
      <w:pPr>
        <w:spacing w:line="278" w:lineRule="auto"/>
        <w:jc w:val="left"/>
        <w:rPr>
          <w:b/>
          <w:bCs/>
          <w:sz w:val="28"/>
          <w:szCs w:val="28"/>
        </w:rPr>
      </w:pPr>
      <w:r>
        <w:rPr>
          <w:b/>
          <w:bCs/>
          <w:sz w:val="28"/>
          <w:szCs w:val="28"/>
        </w:rPr>
        <w:br w:type="page"/>
      </w:r>
    </w:p>
    <w:sdt>
      <w:sdtPr>
        <w:rPr>
          <w:rFonts w:ascii="Arial" w:eastAsiaTheme="minorHAnsi" w:hAnsi="Arial" w:cstheme="minorBidi"/>
          <w:color w:val="000000" w:themeColor="text1"/>
          <w:kern w:val="2"/>
          <w:sz w:val="24"/>
          <w:szCs w:val="24"/>
          <w:lang w:val="en-GB"/>
          <w14:ligatures w14:val="standardContextual"/>
        </w:rPr>
        <w:id w:val="-1833824239"/>
        <w:docPartObj>
          <w:docPartGallery w:val="Table of Contents"/>
          <w:docPartUnique/>
        </w:docPartObj>
      </w:sdtPr>
      <w:sdtEndPr>
        <w:rPr>
          <w:b/>
          <w:bCs/>
        </w:rPr>
      </w:sdtEndPr>
      <w:sdtContent>
        <w:p w14:paraId="4764548E" w14:textId="77777777" w:rsidR="00F54A78" w:rsidRDefault="000E6E64">
          <w:pPr>
            <w:pStyle w:val="TOCHeading1"/>
            <w:jc w:val="center"/>
            <w:rPr>
              <w:rFonts w:ascii="Arial" w:hAnsi="Arial" w:cs="Arial"/>
              <w:b/>
              <w:bCs/>
              <w:color w:val="000000" w:themeColor="text1"/>
              <w:sz w:val="24"/>
              <w:szCs w:val="24"/>
              <w:lang w:val="en-GB"/>
            </w:rPr>
          </w:pPr>
          <w:r>
            <w:rPr>
              <w:rFonts w:ascii="Arial" w:hAnsi="Arial" w:cs="Arial"/>
              <w:b/>
              <w:bCs/>
              <w:color w:val="000000" w:themeColor="text1"/>
              <w:sz w:val="24"/>
              <w:szCs w:val="24"/>
              <w:lang w:val="en-GB"/>
            </w:rPr>
            <w:t>Table of Contents</w:t>
          </w:r>
        </w:p>
        <w:p w14:paraId="6F0C9D08" w14:textId="77777777" w:rsidR="00F54A78" w:rsidRDefault="000E6E64">
          <w:pPr>
            <w:pStyle w:val="TOC1"/>
            <w:tabs>
              <w:tab w:val="left" w:pos="480"/>
              <w:tab w:val="right" w:leader="dot" w:pos="9350"/>
            </w:tabs>
            <w:rPr>
              <w:rFonts w:asciiTheme="minorHAnsi" w:eastAsiaTheme="minorEastAsia" w:hAnsiTheme="minorHAnsi"/>
              <w:color w:val="auto"/>
              <w:lang w:val="en-US"/>
            </w:rPr>
          </w:pPr>
          <w:r>
            <w:fldChar w:fldCharType="begin"/>
          </w:r>
          <w:r>
            <w:instrText xml:space="preserve"> TOC \o "1-3" \h \z \u </w:instrText>
          </w:r>
          <w:r>
            <w:fldChar w:fldCharType="separate"/>
          </w:r>
          <w:hyperlink w:anchor="_Toc224757897" w:history="1">
            <w:r>
              <w:rPr>
                <w:rStyle w:val="Hyperlink"/>
              </w:rPr>
              <w:t>1.</w:t>
            </w:r>
            <w:r>
              <w:rPr>
                <w:rFonts w:asciiTheme="minorHAnsi" w:eastAsiaTheme="minorEastAsia" w:hAnsiTheme="minorHAnsi"/>
                <w:color w:val="auto"/>
                <w:lang w:val="en-US"/>
              </w:rPr>
              <w:tab/>
            </w:r>
            <w:r>
              <w:rPr>
                <w:rStyle w:val="Hyperlink"/>
              </w:rPr>
              <w:t>Introduction</w:t>
            </w:r>
            <w:r>
              <w:tab/>
            </w:r>
            <w:r>
              <w:fldChar w:fldCharType="begin"/>
            </w:r>
            <w:r>
              <w:instrText xml:space="preserve"> PAGEREF _Toc224757897 \h </w:instrText>
            </w:r>
            <w:r>
              <w:fldChar w:fldCharType="separate"/>
            </w:r>
            <w:r>
              <w:t>3</w:t>
            </w:r>
            <w:r>
              <w:fldChar w:fldCharType="end"/>
            </w:r>
          </w:hyperlink>
        </w:p>
        <w:p w14:paraId="51F126C1" w14:textId="77777777" w:rsidR="00F54A78" w:rsidRDefault="001C0820">
          <w:pPr>
            <w:pStyle w:val="TOC1"/>
            <w:tabs>
              <w:tab w:val="left" w:pos="480"/>
              <w:tab w:val="right" w:leader="dot" w:pos="9350"/>
            </w:tabs>
            <w:rPr>
              <w:rFonts w:asciiTheme="minorHAnsi" w:eastAsiaTheme="minorEastAsia" w:hAnsiTheme="minorHAnsi"/>
              <w:color w:val="auto"/>
              <w:lang w:val="en-US"/>
            </w:rPr>
          </w:pPr>
          <w:hyperlink w:anchor="_Toc224757898" w:history="1">
            <w:r w:rsidR="000E6E64">
              <w:rPr>
                <w:rStyle w:val="Hyperlink"/>
              </w:rPr>
              <w:t>2.</w:t>
            </w:r>
            <w:r w:rsidR="000E6E64">
              <w:rPr>
                <w:rFonts w:asciiTheme="minorHAnsi" w:eastAsiaTheme="minorEastAsia" w:hAnsiTheme="minorHAnsi"/>
                <w:color w:val="auto"/>
                <w:lang w:val="en-US"/>
              </w:rPr>
              <w:tab/>
            </w:r>
            <w:r w:rsidR="000E6E64">
              <w:rPr>
                <w:rStyle w:val="Hyperlink"/>
              </w:rPr>
              <w:t>Task 1: Critical analysis of the macro marketing environment</w:t>
            </w:r>
            <w:r w:rsidR="000E6E64">
              <w:tab/>
            </w:r>
            <w:r w:rsidR="000E6E64">
              <w:fldChar w:fldCharType="begin"/>
            </w:r>
            <w:r w:rsidR="000E6E64">
              <w:instrText xml:space="preserve"> PAGEREF _Toc224757898 \h </w:instrText>
            </w:r>
            <w:r w:rsidR="000E6E64">
              <w:fldChar w:fldCharType="separate"/>
            </w:r>
            <w:r w:rsidR="000E6E64">
              <w:t>4</w:t>
            </w:r>
            <w:r w:rsidR="000E6E64">
              <w:fldChar w:fldCharType="end"/>
            </w:r>
          </w:hyperlink>
        </w:p>
        <w:p w14:paraId="2B6894DA" w14:textId="77777777" w:rsidR="00F54A78" w:rsidRDefault="001C0820">
          <w:pPr>
            <w:pStyle w:val="TOC2"/>
            <w:tabs>
              <w:tab w:val="left" w:pos="960"/>
              <w:tab w:val="right" w:leader="dot" w:pos="9350"/>
            </w:tabs>
            <w:rPr>
              <w:rFonts w:asciiTheme="minorHAnsi" w:eastAsiaTheme="minorEastAsia" w:hAnsiTheme="minorHAnsi"/>
              <w:color w:val="auto"/>
              <w:lang w:val="en-US"/>
            </w:rPr>
          </w:pPr>
          <w:hyperlink w:anchor="_Toc224757899" w:history="1">
            <w:r w:rsidR="000E6E64">
              <w:rPr>
                <w:rStyle w:val="Hyperlink"/>
              </w:rPr>
              <w:t>2.1</w:t>
            </w:r>
            <w:r w:rsidR="000E6E64">
              <w:rPr>
                <w:rFonts w:asciiTheme="minorHAnsi" w:eastAsiaTheme="minorEastAsia" w:hAnsiTheme="minorHAnsi"/>
                <w:color w:val="auto"/>
                <w:lang w:val="en-US"/>
              </w:rPr>
              <w:tab/>
            </w:r>
            <w:r w:rsidR="000E6E64">
              <w:rPr>
                <w:rStyle w:val="Hyperlink"/>
              </w:rPr>
              <w:t>Macro marketing environment</w:t>
            </w:r>
            <w:r w:rsidR="000E6E64">
              <w:tab/>
            </w:r>
            <w:r w:rsidR="000E6E64">
              <w:fldChar w:fldCharType="begin"/>
            </w:r>
            <w:r w:rsidR="000E6E64">
              <w:instrText xml:space="preserve"> PAGEREF _Toc224757899 \h </w:instrText>
            </w:r>
            <w:r w:rsidR="000E6E64">
              <w:fldChar w:fldCharType="separate"/>
            </w:r>
            <w:r w:rsidR="000E6E64">
              <w:t>4</w:t>
            </w:r>
            <w:r w:rsidR="000E6E64">
              <w:fldChar w:fldCharType="end"/>
            </w:r>
          </w:hyperlink>
        </w:p>
        <w:p w14:paraId="662347C2" w14:textId="77777777" w:rsidR="00F54A78" w:rsidRDefault="001C0820">
          <w:pPr>
            <w:pStyle w:val="TOC2"/>
            <w:tabs>
              <w:tab w:val="right" w:leader="dot" w:pos="9350"/>
            </w:tabs>
            <w:rPr>
              <w:rFonts w:asciiTheme="minorHAnsi" w:eastAsiaTheme="minorEastAsia" w:hAnsiTheme="minorHAnsi"/>
              <w:color w:val="auto"/>
              <w:lang w:val="en-US"/>
            </w:rPr>
          </w:pPr>
          <w:hyperlink w:anchor="_Toc224757900" w:history="1">
            <w:r w:rsidR="000E6E64">
              <w:rPr>
                <w:rStyle w:val="Hyperlink"/>
              </w:rPr>
              <w:t>2.2 Analysis of Macro factor 1: Technological factor</w:t>
            </w:r>
            <w:r w:rsidR="000E6E64">
              <w:tab/>
            </w:r>
            <w:r w:rsidR="000E6E64">
              <w:fldChar w:fldCharType="begin"/>
            </w:r>
            <w:r w:rsidR="000E6E64">
              <w:instrText xml:space="preserve"> PAGEREF _Toc224757900 \h </w:instrText>
            </w:r>
            <w:r w:rsidR="000E6E64">
              <w:fldChar w:fldCharType="separate"/>
            </w:r>
            <w:r w:rsidR="000E6E64">
              <w:t>4</w:t>
            </w:r>
            <w:r w:rsidR="000E6E64">
              <w:fldChar w:fldCharType="end"/>
            </w:r>
          </w:hyperlink>
        </w:p>
        <w:p w14:paraId="7284D223" w14:textId="77777777" w:rsidR="00F54A78" w:rsidRDefault="001C0820">
          <w:pPr>
            <w:pStyle w:val="TOC3"/>
            <w:tabs>
              <w:tab w:val="right" w:leader="dot" w:pos="9350"/>
            </w:tabs>
            <w:rPr>
              <w:rFonts w:asciiTheme="minorHAnsi" w:eastAsiaTheme="minorEastAsia" w:hAnsiTheme="minorHAnsi"/>
              <w:color w:val="auto"/>
              <w:lang w:val="en-US"/>
            </w:rPr>
          </w:pPr>
          <w:hyperlink w:anchor="_Toc224757901" w:history="1">
            <w:r w:rsidR="000E6E64">
              <w:rPr>
                <w:rStyle w:val="Hyperlink"/>
              </w:rPr>
              <w:t>2.2.1 Impact on the pioneer organisation</w:t>
            </w:r>
            <w:r w:rsidR="000E6E64">
              <w:tab/>
            </w:r>
            <w:r w:rsidR="000E6E64">
              <w:fldChar w:fldCharType="begin"/>
            </w:r>
            <w:r w:rsidR="000E6E64">
              <w:instrText xml:space="preserve"> PAGEREF _Toc224757901 \h </w:instrText>
            </w:r>
            <w:r w:rsidR="000E6E64">
              <w:fldChar w:fldCharType="separate"/>
            </w:r>
            <w:r w:rsidR="000E6E64">
              <w:t>4</w:t>
            </w:r>
            <w:r w:rsidR="000E6E64">
              <w:fldChar w:fldCharType="end"/>
            </w:r>
          </w:hyperlink>
        </w:p>
        <w:p w14:paraId="6C7E81CC" w14:textId="77777777" w:rsidR="00F54A78" w:rsidRDefault="001C0820">
          <w:pPr>
            <w:pStyle w:val="TOC3"/>
            <w:tabs>
              <w:tab w:val="right" w:leader="dot" w:pos="9350"/>
            </w:tabs>
            <w:rPr>
              <w:rFonts w:asciiTheme="minorHAnsi" w:eastAsiaTheme="minorEastAsia" w:hAnsiTheme="minorHAnsi"/>
              <w:color w:val="auto"/>
              <w:lang w:val="en-US"/>
            </w:rPr>
          </w:pPr>
          <w:hyperlink w:anchor="_Toc224757902" w:history="1">
            <w:r w:rsidR="000E6E64">
              <w:rPr>
                <w:rStyle w:val="Hyperlink"/>
              </w:rPr>
              <w:t>2.2.2 Impact on the follower organisation</w:t>
            </w:r>
            <w:r w:rsidR="000E6E64">
              <w:tab/>
            </w:r>
            <w:r w:rsidR="000E6E64">
              <w:fldChar w:fldCharType="begin"/>
            </w:r>
            <w:r w:rsidR="000E6E64">
              <w:instrText xml:space="preserve"> PAGEREF _Toc224757902 \h </w:instrText>
            </w:r>
            <w:r w:rsidR="000E6E64">
              <w:fldChar w:fldCharType="separate"/>
            </w:r>
            <w:r w:rsidR="000E6E64">
              <w:t>5</w:t>
            </w:r>
            <w:r w:rsidR="000E6E64">
              <w:fldChar w:fldCharType="end"/>
            </w:r>
          </w:hyperlink>
        </w:p>
        <w:p w14:paraId="4C465D54" w14:textId="77777777" w:rsidR="00F54A78" w:rsidRDefault="001C0820">
          <w:pPr>
            <w:pStyle w:val="TOC2"/>
            <w:tabs>
              <w:tab w:val="right" w:leader="dot" w:pos="9350"/>
            </w:tabs>
            <w:rPr>
              <w:rFonts w:asciiTheme="minorHAnsi" w:eastAsiaTheme="minorEastAsia" w:hAnsiTheme="minorHAnsi"/>
              <w:color w:val="auto"/>
              <w:lang w:val="en-US"/>
            </w:rPr>
          </w:pPr>
          <w:hyperlink w:anchor="_Toc224757903" w:history="1">
            <w:r w:rsidR="000E6E64">
              <w:rPr>
                <w:rStyle w:val="Hyperlink"/>
              </w:rPr>
              <w:t>2.3 Analysis of Macro factor 2: Legal factor</w:t>
            </w:r>
            <w:r w:rsidR="000E6E64">
              <w:tab/>
            </w:r>
            <w:r w:rsidR="000E6E64">
              <w:fldChar w:fldCharType="begin"/>
            </w:r>
            <w:r w:rsidR="000E6E64">
              <w:instrText xml:space="preserve"> PAGEREF _Toc224757903 \h </w:instrText>
            </w:r>
            <w:r w:rsidR="000E6E64">
              <w:fldChar w:fldCharType="separate"/>
            </w:r>
            <w:r w:rsidR="000E6E64">
              <w:t>6</w:t>
            </w:r>
            <w:r w:rsidR="000E6E64">
              <w:fldChar w:fldCharType="end"/>
            </w:r>
          </w:hyperlink>
        </w:p>
        <w:p w14:paraId="427740D9" w14:textId="77777777" w:rsidR="00F54A78" w:rsidRDefault="001C0820">
          <w:pPr>
            <w:pStyle w:val="TOC3"/>
            <w:tabs>
              <w:tab w:val="right" w:leader="dot" w:pos="9350"/>
            </w:tabs>
            <w:rPr>
              <w:rFonts w:asciiTheme="minorHAnsi" w:eastAsiaTheme="minorEastAsia" w:hAnsiTheme="minorHAnsi"/>
              <w:color w:val="auto"/>
              <w:lang w:val="en-US"/>
            </w:rPr>
          </w:pPr>
          <w:hyperlink w:anchor="_Toc224757904" w:history="1">
            <w:r w:rsidR="000E6E64">
              <w:rPr>
                <w:rStyle w:val="Hyperlink"/>
              </w:rPr>
              <w:t>2.3.1 Impact on the pioneer organisation</w:t>
            </w:r>
            <w:r w:rsidR="000E6E64">
              <w:tab/>
            </w:r>
            <w:r w:rsidR="000E6E64">
              <w:fldChar w:fldCharType="begin"/>
            </w:r>
            <w:r w:rsidR="000E6E64">
              <w:instrText xml:space="preserve"> PAGEREF _Toc224757904 \h </w:instrText>
            </w:r>
            <w:r w:rsidR="000E6E64">
              <w:fldChar w:fldCharType="separate"/>
            </w:r>
            <w:r w:rsidR="000E6E64">
              <w:t>6</w:t>
            </w:r>
            <w:r w:rsidR="000E6E64">
              <w:fldChar w:fldCharType="end"/>
            </w:r>
          </w:hyperlink>
        </w:p>
        <w:p w14:paraId="73FF9CCC" w14:textId="77777777" w:rsidR="00F54A78" w:rsidRDefault="001C0820">
          <w:pPr>
            <w:pStyle w:val="TOC3"/>
            <w:tabs>
              <w:tab w:val="right" w:leader="dot" w:pos="9350"/>
            </w:tabs>
            <w:rPr>
              <w:rFonts w:asciiTheme="minorHAnsi" w:eastAsiaTheme="minorEastAsia" w:hAnsiTheme="minorHAnsi"/>
              <w:color w:val="auto"/>
              <w:lang w:val="en-US"/>
            </w:rPr>
          </w:pPr>
          <w:hyperlink w:anchor="_Toc224757905" w:history="1">
            <w:r w:rsidR="000E6E64">
              <w:rPr>
                <w:rStyle w:val="Hyperlink"/>
              </w:rPr>
              <w:t>2.3.2 Impact on the follower organisation</w:t>
            </w:r>
            <w:r w:rsidR="000E6E64">
              <w:tab/>
            </w:r>
            <w:r w:rsidR="000E6E64">
              <w:fldChar w:fldCharType="begin"/>
            </w:r>
            <w:r w:rsidR="000E6E64">
              <w:instrText xml:space="preserve"> PAGEREF _Toc224757905 \h </w:instrText>
            </w:r>
            <w:r w:rsidR="000E6E64">
              <w:fldChar w:fldCharType="separate"/>
            </w:r>
            <w:r w:rsidR="000E6E64">
              <w:t>6</w:t>
            </w:r>
            <w:r w:rsidR="000E6E64">
              <w:fldChar w:fldCharType="end"/>
            </w:r>
          </w:hyperlink>
        </w:p>
        <w:p w14:paraId="302F2164" w14:textId="77777777" w:rsidR="00F54A78" w:rsidRDefault="001C0820">
          <w:pPr>
            <w:pStyle w:val="TOC1"/>
            <w:tabs>
              <w:tab w:val="right" w:leader="dot" w:pos="9350"/>
            </w:tabs>
            <w:rPr>
              <w:rFonts w:asciiTheme="minorHAnsi" w:eastAsiaTheme="minorEastAsia" w:hAnsiTheme="minorHAnsi"/>
              <w:color w:val="auto"/>
              <w:lang w:val="en-US"/>
            </w:rPr>
          </w:pPr>
          <w:hyperlink w:anchor="_Toc224757906" w:history="1">
            <w:r w:rsidR="000E6E64">
              <w:rPr>
                <w:rStyle w:val="Hyperlink"/>
              </w:rPr>
              <w:t>3. Task 2: Strategic Responses of pioneering and follower organisations</w:t>
            </w:r>
            <w:r w:rsidR="000E6E64">
              <w:tab/>
            </w:r>
            <w:r w:rsidR="000E6E64">
              <w:fldChar w:fldCharType="begin"/>
            </w:r>
            <w:r w:rsidR="000E6E64">
              <w:instrText xml:space="preserve"> PAGEREF _Toc224757906 \h </w:instrText>
            </w:r>
            <w:r w:rsidR="000E6E64">
              <w:fldChar w:fldCharType="separate"/>
            </w:r>
            <w:r w:rsidR="000E6E64">
              <w:t>7</w:t>
            </w:r>
            <w:r w:rsidR="000E6E64">
              <w:fldChar w:fldCharType="end"/>
            </w:r>
          </w:hyperlink>
        </w:p>
        <w:p w14:paraId="1B20C6BB" w14:textId="77777777" w:rsidR="00F54A78" w:rsidRDefault="001C0820">
          <w:pPr>
            <w:pStyle w:val="TOC2"/>
            <w:tabs>
              <w:tab w:val="right" w:leader="dot" w:pos="9350"/>
            </w:tabs>
            <w:rPr>
              <w:rFonts w:asciiTheme="minorHAnsi" w:eastAsiaTheme="minorEastAsia" w:hAnsiTheme="minorHAnsi"/>
              <w:color w:val="auto"/>
              <w:lang w:val="en-US"/>
            </w:rPr>
          </w:pPr>
          <w:hyperlink w:anchor="_Toc224757907" w:history="1">
            <w:r w:rsidR="000E6E64">
              <w:rPr>
                <w:rStyle w:val="Hyperlink"/>
              </w:rPr>
              <w:t>3.1 Pioneer organisation’s strategic responses</w:t>
            </w:r>
            <w:r w:rsidR="000E6E64">
              <w:tab/>
            </w:r>
            <w:r w:rsidR="000E6E64">
              <w:fldChar w:fldCharType="begin"/>
            </w:r>
            <w:r w:rsidR="000E6E64">
              <w:instrText xml:space="preserve"> PAGEREF _Toc224757907 \h </w:instrText>
            </w:r>
            <w:r w:rsidR="000E6E64">
              <w:fldChar w:fldCharType="separate"/>
            </w:r>
            <w:r w:rsidR="000E6E64">
              <w:t>7</w:t>
            </w:r>
            <w:r w:rsidR="000E6E64">
              <w:fldChar w:fldCharType="end"/>
            </w:r>
          </w:hyperlink>
        </w:p>
        <w:p w14:paraId="5374BFC3" w14:textId="77777777" w:rsidR="00F54A78" w:rsidRDefault="001C0820">
          <w:pPr>
            <w:pStyle w:val="TOC2"/>
            <w:tabs>
              <w:tab w:val="right" w:leader="dot" w:pos="9350"/>
            </w:tabs>
            <w:rPr>
              <w:rFonts w:asciiTheme="minorHAnsi" w:eastAsiaTheme="minorEastAsia" w:hAnsiTheme="minorHAnsi"/>
              <w:color w:val="auto"/>
              <w:lang w:val="en-US"/>
            </w:rPr>
          </w:pPr>
          <w:hyperlink w:anchor="_Toc224757908" w:history="1">
            <w:r w:rsidR="000E6E64">
              <w:rPr>
                <w:rStyle w:val="Hyperlink"/>
              </w:rPr>
              <w:t>3.2 Follower organisation’s strategic responses</w:t>
            </w:r>
            <w:r w:rsidR="000E6E64">
              <w:tab/>
            </w:r>
            <w:r w:rsidR="000E6E64">
              <w:fldChar w:fldCharType="begin"/>
            </w:r>
            <w:r w:rsidR="000E6E64">
              <w:instrText xml:space="preserve"> PAGEREF _Toc224757908 \h </w:instrText>
            </w:r>
            <w:r w:rsidR="000E6E64">
              <w:fldChar w:fldCharType="separate"/>
            </w:r>
            <w:r w:rsidR="000E6E64">
              <w:t>9</w:t>
            </w:r>
            <w:r w:rsidR="000E6E64">
              <w:fldChar w:fldCharType="end"/>
            </w:r>
          </w:hyperlink>
        </w:p>
        <w:p w14:paraId="40ED6EC9" w14:textId="77777777" w:rsidR="00F54A78" w:rsidRDefault="001C0820">
          <w:pPr>
            <w:pStyle w:val="TOC1"/>
            <w:tabs>
              <w:tab w:val="left" w:pos="480"/>
              <w:tab w:val="right" w:leader="dot" w:pos="9350"/>
            </w:tabs>
            <w:rPr>
              <w:rFonts w:asciiTheme="minorHAnsi" w:eastAsiaTheme="minorEastAsia" w:hAnsiTheme="minorHAnsi"/>
              <w:color w:val="auto"/>
              <w:lang w:val="en-US"/>
            </w:rPr>
          </w:pPr>
          <w:hyperlink w:anchor="_Toc224757909" w:history="1">
            <w:r w:rsidR="000E6E64">
              <w:rPr>
                <w:rStyle w:val="Hyperlink"/>
              </w:rPr>
              <w:t>4.</w:t>
            </w:r>
            <w:r w:rsidR="000E6E64">
              <w:rPr>
                <w:rFonts w:asciiTheme="minorHAnsi" w:eastAsiaTheme="minorEastAsia" w:hAnsiTheme="minorHAnsi"/>
                <w:color w:val="auto"/>
                <w:lang w:val="en-US"/>
              </w:rPr>
              <w:tab/>
            </w:r>
            <w:r w:rsidR="000E6E64">
              <w:rPr>
                <w:rStyle w:val="Hyperlink"/>
              </w:rPr>
              <w:t>Conclusion</w:t>
            </w:r>
            <w:r w:rsidR="000E6E64">
              <w:tab/>
            </w:r>
            <w:r w:rsidR="000E6E64">
              <w:fldChar w:fldCharType="begin"/>
            </w:r>
            <w:r w:rsidR="000E6E64">
              <w:instrText xml:space="preserve"> PAGEREF _Toc224757909 \h </w:instrText>
            </w:r>
            <w:r w:rsidR="000E6E64">
              <w:fldChar w:fldCharType="separate"/>
            </w:r>
            <w:r w:rsidR="000E6E64">
              <w:t>10</w:t>
            </w:r>
            <w:r w:rsidR="000E6E64">
              <w:fldChar w:fldCharType="end"/>
            </w:r>
          </w:hyperlink>
        </w:p>
        <w:p w14:paraId="6FBFF1C7" w14:textId="77777777" w:rsidR="00F54A78" w:rsidRDefault="001C0820">
          <w:pPr>
            <w:pStyle w:val="TOC1"/>
            <w:tabs>
              <w:tab w:val="right" w:leader="dot" w:pos="9350"/>
            </w:tabs>
            <w:rPr>
              <w:rFonts w:asciiTheme="minorHAnsi" w:eastAsiaTheme="minorEastAsia" w:hAnsiTheme="minorHAnsi"/>
              <w:color w:val="auto"/>
              <w:lang w:val="en-US"/>
            </w:rPr>
          </w:pPr>
          <w:hyperlink w:anchor="_Toc224757910" w:history="1">
            <w:r w:rsidR="000E6E64">
              <w:rPr>
                <w:rStyle w:val="Hyperlink"/>
              </w:rPr>
              <w:t>5. References</w:t>
            </w:r>
            <w:r w:rsidR="000E6E64">
              <w:tab/>
            </w:r>
            <w:r w:rsidR="000E6E64">
              <w:fldChar w:fldCharType="begin"/>
            </w:r>
            <w:r w:rsidR="000E6E64">
              <w:instrText xml:space="preserve"> PAGEREF _Toc224757910 \h </w:instrText>
            </w:r>
            <w:r w:rsidR="000E6E64">
              <w:fldChar w:fldCharType="separate"/>
            </w:r>
            <w:r w:rsidR="000E6E64">
              <w:t>12</w:t>
            </w:r>
            <w:r w:rsidR="000E6E64">
              <w:fldChar w:fldCharType="end"/>
            </w:r>
          </w:hyperlink>
        </w:p>
        <w:p w14:paraId="31AB5A8D" w14:textId="77777777" w:rsidR="00F54A78" w:rsidRDefault="000E6E64">
          <w:r>
            <w:rPr>
              <w:b/>
              <w:bCs/>
            </w:rPr>
            <w:fldChar w:fldCharType="end"/>
          </w:r>
        </w:p>
      </w:sdtContent>
    </w:sdt>
    <w:p w14:paraId="15BDA56C" w14:textId="77777777" w:rsidR="00F54A78" w:rsidRDefault="00F54A78"/>
    <w:p w14:paraId="277FDDAD" w14:textId="77777777" w:rsidR="00F54A78" w:rsidRDefault="000E6E64">
      <w:pPr>
        <w:spacing w:line="278" w:lineRule="auto"/>
        <w:jc w:val="left"/>
        <w:rPr>
          <w:b/>
          <w:bCs/>
          <w:sz w:val="28"/>
          <w:szCs w:val="28"/>
        </w:rPr>
      </w:pPr>
      <w:r>
        <w:rPr>
          <w:b/>
          <w:bCs/>
          <w:sz w:val="28"/>
          <w:szCs w:val="28"/>
        </w:rPr>
        <w:br w:type="page"/>
      </w:r>
    </w:p>
    <w:p w14:paraId="6F680D96" w14:textId="77777777" w:rsidR="00F54A78" w:rsidRDefault="000E6E64">
      <w:pPr>
        <w:pStyle w:val="Heading1"/>
        <w:numPr>
          <w:ilvl w:val="0"/>
          <w:numId w:val="1"/>
        </w:numPr>
      </w:pPr>
      <w:bookmarkStart w:id="0" w:name="_Toc224757897"/>
      <w:r>
        <w:lastRenderedPageBreak/>
        <w:t>Introduction</w:t>
      </w:r>
      <w:bookmarkEnd w:id="0"/>
      <w:r>
        <w:t xml:space="preserve"> </w:t>
      </w:r>
    </w:p>
    <w:p w14:paraId="05DE283C" w14:textId="77777777" w:rsidR="00F54A78" w:rsidRDefault="000E6E64">
      <w:r>
        <w:t xml:space="preserve">The online streaming industry has undergone a rapid transformation. This is driven by technological developments, changing consumer preferences and an increasing digital connectivity. The rise of streaming services has entirely transformed the entertainment industry, creating a competitive market, referred to as the streaming wars (Fran, 2024). The key rivals in this streaming war are Netflix, Amazon Prime Video and Disney+. It is estimated that the video streaming market will grow and reach approximately $2,236 billion by 2035, as illustrated in Figure 1 (Roots Analysis, 2025). Within this dynamic business environment, the organisations are required to adapt marketing strategies for achieving competitive advantages. The purpose of the report is to analyse the macro marketing environment and its key influence on strategic marketing decisions, emphasising the competitive interaction between the pioneering organisation, Netflix and the follower organisation, Disney+. </w:t>
      </w:r>
    </w:p>
    <w:p w14:paraId="36BA3946" w14:textId="77777777" w:rsidR="00F54A78" w:rsidRDefault="000E6E64">
      <w:pPr>
        <w:jc w:val="center"/>
      </w:pPr>
      <w:r>
        <w:rPr>
          <w:noProof/>
        </w:rPr>
        <w:drawing>
          <wp:inline distT="0" distB="0" distL="0" distR="0" wp14:anchorId="25D7B07D" wp14:editId="5E9A70F1">
            <wp:extent cx="5943600" cy="2315845"/>
            <wp:effectExtent l="38100" t="38100" r="38100" b="46355"/>
            <wp:docPr id="1050255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55023" name="Picture 1"/>
                    <pic:cNvPicPr>
                      <a:picLocks noChangeAspect="1"/>
                    </pic:cNvPicPr>
                  </pic:nvPicPr>
                  <pic:blipFill>
                    <a:blip r:embed="rId9"/>
                    <a:stretch>
                      <a:fillRect/>
                    </a:stretch>
                  </pic:blipFill>
                  <pic:spPr>
                    <a:xfrm>
                      <a:off x="0" y="0"/>
                      <a:ext cx="5943600" cy="2315845"/>
                    </a:xfrm>
                    <a:prstGeom prst="rect">
                      <a:avLst/>
                    </a:prstGeom>
                    <a:ln w="28575">
                      <a:solidFill>
                        <a:schemeClr val="tx1"/>
                      </a:solidFill>
                    </a:ln>
                  </pic:spPr>
                </pic:pic>
              </a:graphicData>
            </a:graphic>
          </wp:inline>
        </w:drawing>
      </w:r>
    </w:p>
    <w:p w14:paraId="2134041B" w14:textId="77777777" w:rsidR="00F54A78" w:rsidRDefault="000E6E64">
      <w:pPr>
        <w:jc w:val="center"/>
        <w:rPr>
          <w:b/>
          <w:bCs/>
        </w:rPr>
      </w:pPr>
      <w:r>
        <w:rPr>
          <w:b/>
          <w:bCs/>
        </w:rPr>
        <w:t>Figure 1: Growth of the video streaming market</w:t>
      </w:r>
    </w:p>
    <w:p w14:paraId="638E32D5" w14:textId="77777777" w:rsidR="00F54A78" w:rsidRDefault="000E6E64">
      <w:pPr>
        <w:jc w:val="center"/>
      </w:pPr>
      <w:r>
        <w:t>(Source: Roots Analysis, 2025)</w:t>
      </w:r>
    </w:p>
    <w:p w14:paraId="614109F7" w14:textId="77777777" w:rsidR="00F54A78" w:rsidRDefault="000E6E64">
      <w:r>
        <w:t xml:space="preserve">The industry has been shaped by the market leadership of Netflix, which transformed the way consumers consume media content. From 2020 to 2024, Netflix increased the overall share of original films from approximately 15.5% to 19.8% (Katz, 2025). On the contrary, Disney+ entered the market as a follower organisation but gained a huge market share by leveraging its extensive portfolio. The streaming industry is influenced by technological advancements and changing consumer behaviour. Analysing these external factors is essential since they create opportunities and threats. Both the opportunities and threats have an impact on marketing decisions and competitive positioning. The report will analyse the two macro-environmental factors affecting the organisations. It will also evaluate how these create opportunities or threats for them. The strategic responses of these two organisations will also be analysed to sustain growth in the competitive market. </w:t>
      </w:r>
    </w:p>
    <w:p w14:paraId="17283AD9" w14:textId="77777777" w:rsidR="00F54A78" w:rsidRDefault="000E6E64">
      <w:pPr>
        <w:pStyle w:val="Heading1"/>
        <w:numPr>
          <w:ilvl w:val="0"/>
          <w:numId w:val="1"/>
        </w:numPr>
      </w:pPr>
      <w:bookmarkStart w:id="1" w:name="_Toc224757898"/>
      <w:r>
        <w:t>Task 1: Critical analysis of the macro marketing environment</w:t>
      </w:r>
      <w:bookmarkEnd w:id="1"/>
      <w:r>
        <w:t xml:space="preserve"> </w:t>
      </w:r>
    </w:p>
    <w:p w14:paraId="7D6662CE" w14:textId="77777777" w:rsidR="00F54A78" w:rsidRDefault="000E6E64">
      <w:pPr>
        <w:pStyle w:val="Heading2"/>
        <w:numPr>
          <w:ilvl w:val="1"/>
          <w:numId w:val="1"/>
        </w:numPr>
      </w:pPr>
      <w:bookmarkStart w:id="2" w:name="_Toc224757899"/>
      <w:r>
        <w:t>Macro marketing environment</w:t>
      </w:r>
      <w:bookmarkEnd w:id="2"/>
    </w:p>
    <w:p w14:paraId="5BE98015" w14:textId="77777777" w:rsidR="00F54A78" w:rsidRDefault="000E6E64">
      <w:r>
        <w:t xml:space="preserve">The PESTLE framework is one of the most significant analytical tools to examine the macro-environmental forces. The framework evaluates six key dimensions, which are political, economic, social, technological, legal and environmental (Sufi, 2024). For the analysis, technological factors and legal factors have been selected as the two significant macro-environmental forces affecting the streaming industry. Technological factors are vital since the streaming industry relies on robust internet infrastructure and digital platforms. The legal and regulatory forces are relevant due to an increasing government regulation with respect to copyright protection and data privacy. These two factors shape the way organisations deliver the key services and maintain competitiveness. </w:t>
      </w:r>
    </w:p>
    <w:p w14:paraId="27E37A3A" w14:textId="77777777" w:rsidR="00F54A78" w:rsidRDefault="000E6E64">
      <w:pPr>
        <w:pStyle w:val="Heading2"/>
      </w:pPr>
      <w:bookmarkStart w:id="3" w:name="_Toc224757900"/>
      <w:r>
        <w:t>2.2 Analysis of Macro factor 1: Technological factor</w:t>
      </w:r>
      <w:bookmarkEnd w:id="3"/>
      <w:r>
        <w:t xml:space="preserve"> </w:t>
      </w:r>
    </w:p>
    <w:p w14:paraId="5CD4B951" w14:textId="77777777" w:rsidR="00F54A78" w:rsidRDefault="000E6E64">
      <w:pPr>
        <w:pStyle w:val="Heading3"/>
      </w:pPr>
      <w:bookmarkStart w:id="4" w:name="_Toc224757901"/>
      <w:r>
        <w:t>2.2.1 Impact on the pioneer organisation</w:t>
      </w:r>
      <w:bookmarkEnd w:id="4"/>
    </w:p>
    <w:p w14:paraId="67D645BE" w14:textId="77777777" w:rsidR="00F54A78" w:rsidRDefault="000E6E64">
      <w:r>
        <w:t>Technological developments mainly represent an opportunity and a potential threat for the pioneering organisation. Netflix was one of the earliest companies to incorporate new technologies such as streaming. This has allowed it to offer a better viewing experience to its customers and gain competitive advantages (Lancers Global, 2023). Artificial intelligence (AI) has the potential to boost the GDP of the UK by approximately £550 billion by the end of 2035 (</w:t>
      </w:r>
      <w:proofErr w:type="spellStart"/>
      <w:r>
        <w:t>Ikhlaq</w:t>
      </w:r>
      <w:proofErr w:type="spellEnd"/>
      <w:r>
        <w:t xml:space="preserve">, 2025). The advancement in AI has driven significant growth opportunities for the business of Netflix. Netflix uses AI to analyse both audio and video, scene colour palettes and music scores for deeper classification (Tiwari, 2025). This allows Netflix to offer sophisticated recommendations to customers and enhance user engagement. </w:t>
      </w:r>
    </w:p>
    <w:p w14:paraId="223E8AC1" w14:textId="77777777" w:rsidR="00F54A78" w:rsidRDefault="000E6E64">
      <w:r>
        <w:t xml:space="preserve">Technological development has generated significant opportunities for Netflix, specifically through the expansion of internet connectivity and mobile usage. Approximately two-thirds of the UK households subscribe to at least one video streaming service (Advanced Television, 2025). This is due to the increasing usage of smartphones, which have reshaped the entertainment experience. Netflix has capitalised on this development by investing in its streaming infrastructure. Technological advancements also present threats for Netflix since they reduce the barriers to entry within the streaming market. In the UK, Tubi has emerged as one of the competitors of Netflix with a free, ad-funded service offering approximately 20,000 films and TV episodes (Milmo, 2024). The company has leveraged the power of streaming to compete with the services of Netflix. This has resulted in an increased rate of competition in the streaming arena, reducing the first-mover advantage of Netflix over time. </w:t>
      </w:r>
    </w:p>
    <w:p w14:paraId="545DC3D6" w14:textId="77777777" w:rsidR="00F54A78" w:rsidRDefault="000E6E64">
      <w:r>
        <w:t>Despite all these challenges, Netflix has continued to achieve competitive advantages through its effective technological expertise. The engineering updates of Netflix are based on a cloud-based live streaming pipeline to efficiently handle encoding and delivery in one coordinated system (</w:t>
      </w:r>
      <w:proofErr w:type="spellStart"/>
      <w:r>
        <w:t>Zulhusni</w:t>
      </w:r>
      <w:proofErr w:type="spellEnd"/>
      <w:r>
        <w:t xml:space="preserve">, 2025). Cloud systems also make it possible for Netflix to adjust the trade-off in real-time. Thus, technological innovation remains a vital driver for the market leadership and long-term competitive advantage of Netflix. </w:t>
      </w:r>
    </w:p>
    <w:p w14:paraId="2C2ECBA6" w14:textId="77777777" w:rsidR="00F54A78" w:rsidRDefault="000E6E64">
      <w:pPr>
        <w:pStyle w:val="Heading3"/>
      </w:pPr>
      <w:bookmarkStart w:id="5" w:name="_Toc224757902"/>
      <w:r>
        <w:t>2.2.2 Impact on the follower organisation</w:t>
      </w:r>
      <w:bookmarkEnd w:id="5"/>
    </w:p>
    <w:p w14:paraId="1A477028" w14:textId="77777777" w:rsidR="00F54A78" w:rsidRDefault="000E6E64">
      <w:r>
        <w:t xml:space="preserve">Technological factors also create opportunities and threats for the follower organisation, Disney+. As a new entrant in the streaming industry, Disney gains benefits from technological advancements, which were initially refined by pioneering brands such as Netflix. For example, Disney+ uses algorithmic prediction to serve personalised content suggestions to its users of the platform (Dijck, 2021). This allows more personalised experiences for users on a large scale. </w:t>
      </w:r>
    </w:p>
    <w:p w14:paraId="41A661A2" w14:textId="77777777" w:rsidR="00F54A78" w:rsidRDefault="000E6E64">
      <w:r>
        <w:t xml:space="preserve">One of the significant opportunities for Disney+ revolves around its ability to leverage the potential of modern streaming infrastructure. This infrastructure also enhances digital platforms to offer high-quality content to global consumers. Disney+ has entered a multi-year agreement with UK broadcaster Sky to offer a cost-effective option for the customers of Sky (Broadcast Media, 2026). The integration of streaming services with the existing digital ecosystem enables users to access content across different devices such as smartphones, tablets and smart televisions. However, Disney+ faces technological challenges due to its late entry into the market. The company lacks the same level of technological maturity in user recommendation systems. Due to this, it lacks offering edgy content to adults, which is enjoyed by them (Feng, 2019). This creates a vulnerability with respect to customer engagement and personalised delivery of content. Disney+ ensures in combining advanced technology with a strong content portfolio, and this has strengthened its market position. </w:t>
      </w:r>
    </w:p>
    <w:p w14:paraId="26FC590C" w14:textId="77777777" w:rsidR="00F54A78" w:rsidRDefault="000E6E64">
      <w:pPr>
        <w:pStyle w:val="Heading2"/>
      </w:pPr>
      <w:bookmarkStart w:id="6" w:name="_Toc224757903"/>
      <w:r>
        <w:t>2.3 Analysis of Macro factor 2: Legal factor</w:t>
      </w:r>
      <w:bookmarkEnd w:id="6"/>
      <w:r>
        <w:t xml:space="preserve"> </w:t>
      </w:r>
    </w:p>
    <w:p w14:paraId="39F0E8FE" w14:textId="77777777" w:rsidR="00F54A78" w:rsidRDefault="000E6E64">
      <w:pPr>
        <w:pStyle w:val="Heading3"/>
      </w:pPr>
      <w:bookmarkStart w:id="7" w:name="_Toc224757904"/>
      <w:r>
        <w:t>2.3.1 Impact on the pioneer organisation</w:t>
      </w:r>
      <w:bookmarkEnd w:id="7"/>
    </w:p>
    <w:p w14:paraId="6A2724A0" w14:textId="77777777" w:rsidR="00F54A78" w:rsidRDefault="000E6E64">
      <w:r>
        <w:t>Legal and regulatory developments present opportunities and threats for Netflix. For example, the UK government has introduced the Copyright, Designs and Patents Act 1988, which gives the right to the creators to control the ways in which their films may be used (Copyright Service, 2026). The lack of adherence to this regulation may create operational challenges for Netflix. Legal regulations may also create opportunities for Netflix to enhance its competitiveness. The company possess a strong global presence, allowing it to adhere to regulatory requirements more effectively than its competitors. Through the successful implementation of automation practices and rapid development cycles, Netflix has gained the potential to respond towards market changes with high flexibility and speed (</w:t>
      </w:r>
      <w:proofErr w:type="spellStart"/>
      <w:r>
        <w:t>Fadhlurrohman</w:t>
      </w:r>
      <w:proofErr w:type="spellEnd"/>
      <w:r>
        <w:t>, 2023). This ensures offering an innovative viewing experience for its loyal customers.</w:t>
      </w:r>
    </w:p>
    <w:p w14:paraId="7AB4EB7B" w14:textId="77777777" w:rsidR="00F54A78" w:rsidRDefault="000E6E64">
      <w:r>
        <w:t xml:space="preserve">Although regulatory pressure increases operational complexities, the financial resources and international experience of Netflix enable it to adapt effectively. This, in turn, allows the organisation to maintain its competitive position within the regulated streaming industry. </w:t>
      </w:r>
    </w:p>
    <w:p w14:paraId="09BADA54" w14:textId="77777777" w:rsidR="00F54A78" w:rsidRDefault="000E6E64">
      <w:pPr>
        <w:pStyle w:val="Heading3"/>
      </w:pPr>
      <w:bookmarkStart w:id="8" w:name="_Toc224757905"/>
      <w:r>
        <w:t>2.3.2 Impact on the follower organisation</w:t>
      </w:r>
      <w:bookmarkEnd w:id="8"/>
    </w:p>
    <w:p w14:paraId="605679BE" w14:textId="77777777" w:rsidR="00F54A78" w:rsidRDefault="000E6E64">
      <w:r>
        <w:t>As a global media company, it is necessary for Disney+ to adhere to the different regulations of the UK and those of other countries. One of the key opportunities for Disney+ arises from the large portfolio of copyrighted content. The streaming platforms largely require strong copyright protection to prevent any form of unauthorised distribution and piracy (Upreti, 2025). The strong intellectual property protection allows Disney+ to maintain control over its content, which creates a competitive advantage in the streaming market.</w:t>
      </w:r>
    </w:p>
    <w:p w14:paraId="708954D3" w14:textId="77777777" w:rsidR="00F54A78" w:rsidRDefault="000E6E64">
      <w:r>
        <w:t xml:space="preserve">Regulatory challenges may affect Disney+ as the local content regulations may hinder the ability of the company to rapidly expand in some markets. The company may experience greater challenges in adapting to regional regulatory requirements. The intellectual property of Disney+ allows it to remain competitive (Whitten, 2025). This asset has strengthened its market position and enables it to compete effectively with Netflix in the streaming industry. </w:t>
      </w:r>
    </w:p>
    <w:p w14:paraId="5F880495" w14:textId="77777777" w:rsidR="00F54A78" w:rsidRDefault="000E6E64">
      <w:pPr>
        <w:pStyle w:val="Heading1"/>
      </w:pPr>
      <w:bookmarkStart w:id="9" w:name="_Toc224757906"/>
      <w:r>
        <w:t>3. Task 2: Strategic Responses of pioneering and follower organisations</w:t>
      </w:r>
      <w:bookmarkEnd w:id="9"/>
      <w:r>
        <w:t xml:space="preserve"> </w:t>
      </w:r>
    </w:p>
    <w:p w14:paraId="0024B18F" w14:textId="77777777" w:rsidR="00F54A78" w:rsidRDefault="000E6E64">
      <w:pPr>
        <w:pStyle w:val="Heading2"/>
      </w:pPr>
      <w:bookmarkStart w:id="10" w:name="_Toc224757907"/>
      <w:r>
        <w:t>3.1 Pioneer organisation’s strategic responses</w:t>
      </w:r>
      <w:bookmarkEnd w:id="10"/>
    </w:p>
    <w:p w14:paraId="1ABC5DDE" w14:textId="77777777" w:rsidR="00F54A78" w:rsidRDefault="000E6E64">
      <w:r>
        <w:t>Netflix has incorporated various strategic responses to efficiently address the external challenges and opportunities within the streaming market. In terms of maintaining competitive advantages, Netflix has incorporated growth strategies which align with the different elements of the Ansoff matrix, as indicated in Figure 2 (</w:t>
      </w:r>
      <w:proofErr w:type="spellStart"/>
      <w:r>
        <w:t>Petraškevičius</w:t>
      </w:r>
      <w:proofErr w:type="spellEnd"/>
      <w:r>
        <w:t xml:space="preserve"> and </w:t>
      </w:r>
      <w:proofErr w:type="spellStart"/>
      <w:r>
        <w:t>Nedelko</w:t>
      </w:r>
      <w:proofErr w:type="spellEnd"/>
      <w:r>
        <w:t xml:space="preserve">, 2017). </w:t>
      </w:r>
    </w:p>
    <w:p w14:paraId="4769D9DA" w14:textId="77777777" w:rsidR="00F54A78" w:rsidRDefault="000E6E64">
      <w:pPr>
        <w:jc w:val="center"/>
      </w:pPr>
      <w:r>
        <w:rPr>
          <w:noProof/>
        </w:rPr>
        <w:drawing>
          <wp:inline distT="0" distB="0" distL="0" distR="0" wp14:anchorId="65EBBCF8" wp14:editId="1FBD53C2">
            <wp:extent cx="3619500" cy="1463040"/>
            <wp:effectExtent l="38100" t="38100" r="38100" b="41910"/>
            <wp:docPr id="1447386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86863" name="Picture 1"/>
                    <pic:cNvPicPr>
                      <a:picLocks noChangeAspect="1"/>
                    </pic:cNvPicPr>
                  </pic:nvPicPr>
                  <pic:blipFill>
                    <a:blip r:embed="rId10"/>
                    <a:stretch>
                      <a:fillRect/>
                    </a:stretch>
                  </pic:blipFill>
                  <pic:spPr>
                    <a:xfrm>
                      <a:off x="0" y="0"/>
                      <a:ext cx="3619814" cy="1463167"/>
                    </a:xfrm>
                    <a:prstGeom prst="rect">
                      <a:avLst/>
                    </a:prstGeom>
                    <a:ln w="28575">
                      <a:solidFill>
                        <a:schemeClr val="tx1"/>
                      </a:solidFill>
                    </a:ln>
                  </pic:spPr>
                </pic:pic>
              </a:graphicData>
            </a:graphic>
          </wp:inline>
        </w:drawing>
      </w:r>
    </w:p>
    <w:p w14:paraId="42D75E01" w14:textId="77777777" w:rsidR="00F54A78" w:rsidRDefault="000E6E64">
      <w:pPr>
        <w:jc w:val="center"/>
        <w:rPr>
          <w:b/>
          <w:bCs/>
        </w:rPr>
      </w:pPr>
      <w:r>
        <w:rPr>
          <w:b/>
          <w:bCs/>
        </w:rPr>
        <w:t>Figure 2: Ansoff matrix</w:t>
      </w:r>
    </w:p>
    <w:p w14:paraId="5B3E3616" w14:textId="77777777" w:rsidR="00F54A78" w:rsidRDefault="000E6E64">
      <w:pPr>
        <w:jc w:val="center"/>
      </w:pPr>
      <w:r>
        <w:t xml:space="preserve">(Source: </w:t>
      </w:r>
      <w:proofErr w:type="spellStart"/>
      <w:r>
        <w:t>Petraškevičius</w:t>
      </w:r>
      <w:proofErr w:type="spellEnd"/>
      <w:r>
        <w:t xml:space="preserve"> and </w:t>
      </w:r>
      <w:proofErr w:type="spellStart"/>
      <w:r>
        <w:t>Nedelko</w:t>
      </w:r>
      <w:proofErr w:type="spellEnd"/>
      <w:r>
        <w:t>, 2017)</w:t>
      </w:r>
    </w:p>
    <w:p w14:paraId="7CADCF24" w14:textId="77777777" w:rsidR="00F54A78" w:rsidRDefault="000E6E64">
      <w:pPr>
        <w:rPr>
          <w:b/>
          <w:bCs/>
          <w:i/>
          <w:iCs/>
        </w:rPr>
      </w:pPr>
      <w:r>
        <w:rPr>
          <w:b/>
          <w:bCs/>
          <w:i/>
          <w:iCs/>
        </w:rPr>
        <w:t>Market penetration</w:t>
      </w:r>
    </w:p>
    <w:p w14:paraId="32F0A086" w14:textId="77777777" w:rsidR="00F54A78" w:rsidRDefault="000E6E64">
      <w:r>
        <w:t xml:space="preserve">In the UK, Netflix has focused on market penetration strategies to enhance its subscriber base. Netflix leads the UK streaming market by capturing approximately 22% market share (Fabric Data, 2024). To maintain its leading position, this pioneering organisation has introduced flexible subscription pricing, involving the ad-supported tier. In the UK, approximately 65% of the Netflix subscribers chose its ad-tier in quarter 1, which is an increase by 42% in the first quarter of 2024 (Benjamin, 2025). This strategy enabled Netflix to attract cost-sensitive consumers who may switch to competing platforms. </w:t>
      </w:r>
    </w:p>
    <w:p w14:paraId="544B05AD" w14:textId="77777777" w:rsidR="00F54A78" w:rsidRDefault="000E6E64">
      <w:pPr>
        <w:rPr>
          <w:b/>
          <w:bCs/>
          <w:i/>
          <w:iCs/>
        </w:rPr>
      </w:pPr>
      <w:r>
        <w:rPr>
          <w:b/>
          <w:bCs/>
          <w:i/>
          <w:iCs/>
        </w:rPr>
        <w:t>Market Development</w:t>
      </w:r>
    </w:p>
    <w:p w14:paraId="5D25A53F" w14:textId="77777777" w:rsidR="00F54A78" w:rsidRDefault="000E6E64">
      <w:r>
        <w:t xml:space="preserve">Another significant strategic response incorporated by Netflix in the UK is through international content distribution and localisation. For example, Netflix has produced various successful UK-based shows such as One Day and The Gentlemen, featuring British actors (Miller and Corbett, 2025). This investment enabled the brand to appeal to local audiences and meet the regulatory expectations regarding the production of domestic content. The locally produced content can allow Netflix to maximise returns on production investment, along with strengthening the global brand. </w:t>
      </w:r>
    </w:p>
    <w:p w14:paraId="08415535" w14:textId="77777777" w:rsidR="00F54A78" w:rsidRDefault="000E6E64">
      <w:pPr>
        <w:rPr>
          <w:b/>
          <w:bCs/>
          <w:i/>
          <w:iCs/>
        </w:rPr>
      </w:pPr>
      <w:r>
        <w:rPr>
          <w:b/>
          <w:bCs/>
          <w:i/>
          <w:iCs/>
        </w:rPr>
        <w:t>Product Development</w:t>
      </w:r>
    </w:p>
    <w:p w14:paraId="4D6E7445" w14:textId="77777777" w:rsidR="00F54A78" w:rsidRDefault="000E6E64">
      <w:r>
        <w:t xml:space="preserve">The product development strategy of Netflix is evident in its investment in original programming and technological developments. In the UK market, Netflix has released exclusive TV series such as His and Hers, Nobody Wants This and many more, which attracted the audience segments (King, Dyer and Travis, 2026). The original productions of the brand are a key element of its strategy since they allow Netflix to differentiate itself from its competitors. It also allows to reduce reliance on licensed content from external studios. The exclusive programmes also encourage new subscribers to join the platform and retain the existing customers. </w:t>
      </w:r>
    </w:p>
    <w:p w14:paraId="216F66BE" w14:textId="77777777" w:rsidR="00F54A78" w:rsidRDefault="000E6E64">
      <w:pPr>
        <w:rPr>
          <w:b/>
          <w:bCs/>
          <w:i/>
          <w:iCs/>
        </w:rPr>
      </w:pPr>
      <w:r>
        <w:rPr>
          <w:b/>
          <w:bCs/>
          <w:i/>
          <w:iCs/>
        </w:rPr>
        <w:t>Diversification</w:t>
      </w:r>
    </w:p>
    <w:p w14:paraId="49C53B2C" w14:textId="77777777" w:rsidR="00F54A78" w:rsidRDefault="000E6E64">
      <w:r>
        <w:t xml:space="preserve">Netflix has explored a diversification strategy to enhance its entertainment ecosystem. In 2025, Netflix marked its biggest month in the UK with top 10 Netflix originals, which is an interactive experience for the fans (Make me Pulse, 2025). These key initiatives aim to increase user engagement and position the company as a digital entertainment platform instead of simply a streaming provider.  </w:t>
      </w:r>
    </w:p>
    <w:p w14:paraId="2E7BF102" w14:textId="77777777" w:rsidR="00F54A78" w:rsidRDefault="000E6E64">
      <w:r>
        <w:t xml:space="preserve">In the UK context, diversification enables Netflix to respond towards the shifting behaviour of consumers. By increasing an expansion into digital entertainment formats, Netflix has strengthened its long-term competitiveness within the UK streaming landscape. Thus, the strategic responses of Netflix demonstrate how a pioneering organisation uses innovation and digital capabilities to maintain its leadership position in the UK. </w:t>
      </w:r>
    </w:p>
    <w:p w14:paraId="63D9B463" w14:textId="77777777" w:rsidR="00F54A78" w:rsidRDefault="000E6E64">
      <w:pPr>
        <w:pStyle w:val="Heading2"/>
      </w:pPr>
      <w:bookmarkStart w:id="11" w:name="_Toc224757908"/>
      <w:r>
        <w:t>3.2 Follower organisation’s strategic responses</w:t>
      </w:r>
      <w:bookmarkEnd w:id="11"/>
      <w:r>
        <w:t xml:space="preserve"> </w:t>
      </w:r>
    </w:p>
    <w:p w14:paraId="31EA31ED" w14:textId="77777777" w:rsidR="00F54A78" w:rsidRDefault="000E6E64">
      <w:r>
        <w:t>As a follower organisation. Disney+ has developed a strategic approach to compete with market leaders such as Netflix in the UK. The strategic response of the company can be analysed using Porter’s Generic strategies, specifically its emphasis on differentiation and focus strategy. Differentiation focuses on creating unique products and services to stand against the competitors (</w:t>
      </w:r>
      <w:proofErr w:type="spellStart"/>
      <w:r>
        <w:t>Petraškevičius</w:t>
      </w:r>
      <w:proofErr w:type="spellEnd"/>
      <w:r>
        <w:t xml:space="preserve"> and </w:t>
      </w:r>
      <w:proofErr w:type="spellStart"/>
      <w:r>
        <w:t>Nedelko</w:t>
      </w:r>
      <w:proofErr w:type="spellEnd"/>
      <w:r>
        <w:t xml:space="preserve">, 2017). </w:t>
      </w:r>
    </w:p>
    <w:p w14:paraId="008A2386" w14:textId="77777777" w:rsidR="00F54A78" w:rsidRDefault="000E6E64">
      <w:pPr>
        <w:rPr>
          <w:b/>
          <w:bCs/>
          <w:i/>
          <w:iCs/>
        </w:rPr>
      </w:pPr>
      <w:r>
        <w:rPr>
          <w:b/>
          <w:bCs/>
          <w:i/>
          <w:iCs/>
        </w:rPr>
        <w:t>Differentiation strategy</w:t>
      </w:r>
    </w:p>
    <w:p w14:paraId="4E8177A9" w14:textId="77777777" w:rsidR="00F54A78" w:rsidRDefault="000E6E64">
      <w:r>
        <w:t>Disney+ competes in the streaming industry of the UK through a differentiation strategy by offering exclusive content that distinguishes it from its competitors. In 2023, the brand confirmed more titles set to premiere exclusively in the UK, involving documentaries and the UK Original “</w:t>
      </w:r>
      <w:proofErr w:type="spellStart"/>
      <w:r>
        <w:t>Wagatha</w:t>
      </w:r>
      <w:proofErr w:type="spellEnd"/>
      <w:r>
        <w:t xml:space="preserve"> Christie” (Disney, 2023). This attracted a wide range of audiences in the UK, specifically among the younger viewers and families. The exclusive series encouraged the consumers to subscribe to Disney+ to access content unavailable on other streaming platforms. </w:t>
      </w:r>
    </w:p>
    <w:p w14:paraId="57D88023" w14:textId="77777777" w:rsidR="00F54A78" w:rsidRDefault="000E6E64">
      <w:r>
        <w:t xml:space="preserve">Disney+ also invested in producing original series associated with its franchises, and this strengthened subscriber loyalty and increased engagement. This particular differentiation strategy allowed the follower organisation to compete with larger streaming platforms and offer enhanced entertainment experiences to the users. </w:t>
      </w:r>
    </w:p>
    <w:p w14:paraId="27B899AE" w14:textId="77777777" w:rsidR="00F54A78" w:rsidRDefault="000E6E64">
      <w:pPr>
        <w:rPr>
          <w:b/>
          <w:bCs/>
          <w:i/>
          <w:iCs/>
        </w:rPr>
      </w:pPr>
      <w:r>
        <w:rPr>
          <w:b/>
          <w:bCs/>
          <w:i/>
          <w:iCs/>
        </w:rPr>
        <w:t>Focus strategy</w:t>
      </w:r>
    </w:p>
    <w:p w14:paraId="6FEC6F51" w14:textId="77777777" w:rsidR="00F54A78" w:rsidRDefault="000E6E64">
      <w:r>
        <w:t xml:space="preserve">Another significant strategic response of Disney+ is its focus strategy, which is a key element of Porter's generic strategy. The platform offers best-loved family-friendly films and franchises, which grasp the attention of the audience (Parent Zone, 2025). This strategy allows the brand to position itself as a premium entertainment service for households with children and fans of film franchises. Due to this focused positioning strategy, Disney+ differentiates itself from the other streaming platforms that offer a broader range of content categories. By specialising in high-quality family content and franchises, Disney+ has strengthened its brand identity and built long-term customer loyalty. In the UK market, Disney+ expanded its subscriber base by strengthening its content portfolio with strong marketing campaigns. The extensive entertainment ecosystem involves films, shows and merchandise that strengthen its brand recognition. </w:t>
      </w:r>
    </w:p>
    <w:p w14:paraId="5C775EB9" w14:textId="77777777" w:rsidR="00F54A78" w:rsidRDefault="000E6E64">
      <w:r>
        <w:t xml:space="preserve">Although the pioneering organisation maintains a large subscriber base, Disney+ continues to close the competitive gap through its differentiated content strategy and targeted market positioning. The strategic responses of the two organisations differ on a large scale, but play a key role in driving competitive advantages in business. </w:t>
      </w:r>
    </w:p>
    <w:p w14:paraId="6A79D96A" w14:textId="77777777" w:rsidR="00F54A78" w:rsidRDefault="000E6E64">
      <w:pPr>
        <w:pStyle w:val="Heading1"/>
        <w:numPr>
          <w:ilvl w:val="0"/>
          <w:numId w:val="2"/>
        </w:numPr>
      </w:pPr>
      <w:bookmarkStart w:id="12" w:name="_Toc224757909"/>
      <w:r>
        <w:t>Conclusion</w:t>
      </w:r>
      <w:bookmarkEnd w:id="12"/>
    </w:p>
    <w:p w14:paraId="5F969B29" w14:textId="77777777" w:rsidR="00F54A78" w:rsidRDefault="000E6E64">
      <w:r>
        <w:t xml:space="preserve">The report analysed the macro marketing environment which influenced the streaming industry with a key focus on the UK market. The strategies of the pioneering organisation, Netflix and the follower organisation, Disney+, have been carried out in the report. By using the PESTLE framework, the report identified technological developments and legal factors as the two macro environmental factors affecting streaming services in the UK. The improvements in mobile technology and digital platforms have created significant opportunities for streaming brands in the UK. However, this development has increased competition by reducing barriers to entry for the new platforms. In addition, the regulatory requirements, such as the local content obligations and data protection laws, present operational challenges for the streaming providers. </w:t>
      </w:r>
    </w:p>
    <w:p w14:paraId="2FCB6410" w14:textId="77777777" w:rsidR="00F54A78" w:rsidRDefault="000E6E64">
      <w:r>
        <w:t xml:space="preserve">As a pioneering organisation, Netflix have demonstrated a proactive growth strategy through local content production and diversification aligned with Ansoff’s matrix. Disney+ has adopted a differentiation strategy aligned with Porter’s generic strategies by leveraging the entertainment franchises. The comparison indicates that while Netflix maintains competitiveness through innovation and global scale, Disney+ competes by utilising intellectual property and brand strength. The adoption of suitable strategic responses remains essential for sustaining competitiveness in the complex business landscape. The findings emphasised the strategic importance of environmental scanning and adaptive marketing responses. In highly dynamic industries such as streaming, organisations which actively monitor macro-environmental changes and respond with flexible strategies are more likely to sustain competitive advantages and attain sustainable growth. </w:t>
      </w:r>
    </w:p>
    <w:p w14:paraId="28CA906E" w14:textId="77777777" w:rsidR="00F54A78" w:rsidRDefault="000E6E64">
      <w:pPr>
        <w:spacing w:line="278" w:lineRule="auto"/>
        <w:jc w:val="left"/>
        <w:rPr>
          <w:rFonts w:eastAsiaTheme="majorEastAsia" w:cstheme="majorBidi"/>
          <w:b/>
          <w:szCs w:val="40"/>
        </w:rPr>
      </w:pPr>
      <w:r>
        <w:br w:type="page"/>
      </w:r>
    </w:p>
    <w:p w14:paraId="7E13A4E6" w14:textId="77777777" w:rsidR="00F54A78" w:rsidRDefault="000E6E64">
      <w:pPr>
        <w:pStyle w:val="Heading1"/>
      </w:pPr>
      <w:bookmarkStart w:id="13" w:name="_Toc224757910"/>
      <w:r>
        <w:t>5. References</w:t>
      </w:r>
      <w:bookmarkEnd w:id="13"/>
      <w:r>
        <w:t xml:space="preserve"> </w:t>
      </w:r>
    </w:p>
    <w:p w14:paraId="52A9FCB2" w14:textId="78DA40B5" w:rsidR="00F54A78" w:rsidRDefault="000E6E64">
      <w:r>
        <w:t xml:space="preserve">Advanced Television (2025) </w:t>
      </w:r>
      <w:r>
        <w:rPr>
          <w:i/>
          <w:iCs/>
        </w:rPr>
        <w:t>The rise of mobile streaming in the UK: A shift in how the nation consumes entertainment</w:t>
      </w:r>
      <w:r>
        <w:t xml:space="preserve">. Available at: </w:t>
      </w:r>
      <w:hyperlink r:id="rId11" w:history="1">
        <w:r>
          <w:rPr>
            <w:rStyle w:val="Hyperlink"/>
          </w:rPr>
          <w:t>https://www.advanced-television.com/2025/10/15/the-rise-of-mobile-streaming-in-the-uk-a-shift-in-how-the-nation-consumes-entertainment/</w:t>
        </w:r>
      </w:hyperlink>
      <w:r>
        <w:t xml:space="preserve"> (Accessed: </w:t>
      </w:r>
      <w:r w:rsidR="005904DC">
        <w:t>20th</w:t>
      </w:r>
      <w:r>
        <w:t xml:space="preserve"> March 2026)</w:t>
      </w:r>
    </w:p>
    <w:p w14:paraId="5E501D4B" w14:textId="4CAEB097" w:rsidR="00F54A78" w:rsidRDefault="000E6E64">
      <w:r>
        <w:t xml:space="preserve">Benjamin, J. (2025). </w:t>
      </w:r>
      <w:r>
        <w:rPr>
          <w:i/>
          <w:iCs/>
        </w:rPr>
        <w:t xml:space="preserve">UK streaming subscribers embrace ad tiers across Disney+, Netflix and Prime Video. </w:t>
      </w:r>
      <w:r>
        <w:t xml:space="preserve">Available at: </w:t>
      </w:r>
      <w:hyperlink r:id="rId12" w:history="1">
        <w:r>
          <w:rPr>
            <w:rStyle w:val="Hyperlink"/>
          </w:rPr>
          <w:t>https://uk.themedialeader.com/uk-streaming-subscribers-embrace-ad-tiers-across-disney-netflix-and-prime-video/</w:t>
        </w:r>
      </w:hyperlink>
      <w:r>
        <w:t xml:space="preserve"> (Accessed: </w:t>
      </w:r>
      <w:r w:rsidR="005904DC">
        <w:t>19</w:t>
      </w:r>
      <w:r w:rsidR="001C0820">
        <w:t>th</w:t>
      </w:r>
      <w:r>
        <w:t xml:space="preserve"> March 2026)</w:t>
      </w:r>
    </w:p>
    <w:p w14:paraId="42809DEA" w14:textId="1747851E" w:rsidR="00F54A78" w:rsidRDefault="000E6E64">
      <w:r>
        <w:t xml:space="preserve">Broadcast Media (2026) </w:t>
      </w:r>
      <w:r>
        <w:rPr>
          <w:i/>
          <w:iCs/>
        </w:rPr>
        <w:t xml:space="preserve">Disney+ And ITV Renew U.K. Content-Sharing Partnership </w:t>
      </w:r>
      <w:proofErr w:type="gramStart"/>
      <w:r>
        <w:rPr>
          <w:i/>
          <w:iCs/>
        </w:rPr>
        <w:t>With</w:t>
      </w:r>
      <w:proofErr w:type="gramEnd"/>
      <w:r>
        <w:rPr>
          <w:i/>
          <w:iCs/>
        </w:rPr>
        <w:t xml:space="preserve"> New Hulu Originals. </w:t>
      </w:r>
      <w:r>
        <w:t xml:space="preserve">Available at: </w:t>
      </w:r>
      <w:hyperlink r:id="rId13" w:history="1">
        <w:r>
          <w:rPr>
            <w:rStyle w:val="Hyperlink"/>
          </w:rPr>
          <w:t>https://news.broadcastmediaafrica.com/2026/02/25/disney-and-itv-renew-u-k-content-sharing-partnership-with-new-hulu-originals/</w:t>
        </w:r>
      </w:hyperlink>
      <w:r>
        <w:t xml:space="preserve"> (Accessed: </w:t>
      </w:r>
      <w:r w:rsidR="005904DC">
        <w:t>23</w:t>
      </w:r>
      <w:r w:rsidR="001C0820">
        <w:t>rd</w:t>
      </w:r>
      <w:r>
        <w:t xml:space="preserve"> March 2026)</w:t>
      </w:r>
    </w:p>
    <w:p w14:paraId="5B36E16A" w14:textId="0418B2E3" w:rsidR="00F54A78" w:rsidRDefault="000E6E64">
      <w:r>
        <w:t xml:space="preserve">Copyright Service (2026) </w:t>
      </w:r>
      <w:r>
        <w:rPr>
          <w:i/>
          <w:iCs/>
        </w:rPr>
        <w:t>UK copyright law: An introduction</w:t>
      </w:r>
      <w:r>
        <w:t xml:space="preserve">. Available at: </w:t>
      </w:r>
      <w:hyperlink r:id="rId14" w:history="1">
        <w:r>
          <w:rPr>
            <w:rStyle w:val="Hyperlink"/>
          </w:rPr>
          <w:t>https://copyrightservice.co.uk/copyright/uk_law_summary</w:t>
        </w:r>
      </w:hyperlink>
      <w:r>
        <w:t xml:space="preserve"> (Accessed: </w:t>
      </w:r>
      <w:r w:rsidR="001C0820">
        <w:t>18th</w:t>
      </w:r>
      <w:r>
        <w:t xml:space="preserve"> March 2026)</w:t>
      </w:r>
    </w:p>
    <w:p w14:paraId="63727D51" w14:textId="260EE360" w:rsidR="00F54A78" w:rsidRDefault="000E6E64">
      <w:r>
        <w:t xml:space="preserve">Dijck, V.M. (2021) How Disney+ is Changing the Streaming Industry through Industrial Convergence. Available at: </w:t>
      </w:r>
      <w:hyperlink r:id="rId15" w:history="1">
        <w:r>
          <w:rPr>
            <w:rStyle w:val="Hyperlink"/>
          </w:rPr>
          <w:t>https://www.diggitmagazine.com/papers/disney-changing-streaming-industry</w:t>
        </w:r>
      </w:hyperlink>
      <w:r>
        <w:t xml:space="preserve"> (Accessed: </w:t>
      </w:r>
      <w:r w:rsidR="001C0820">
        <w:t>24th</w:t>
      </w:r>
      <w:r>
        <w:t xml:space="preserve"> March 2026)</w:t>
      </w:r>
    </w:p>
    <w:p w14:paraId="3A3E7626" w14:textId="0D00BB8E" w:rsidR="00F54A78" w:rsidRDefault="000E6E64">
      <w:r>
        <w:t xml:space="preserve">Fabric Data (2024) </w:t>
      </w:r>
      <w:r>
        <w:rPr>
          <w:i/>
          <w:iCs/>
        </w:rPr>
        <w:t>UK Streaming Market Trends, Business Models, and Churn Rates</w:t>
      </w:r>
      <w:r>
        <w:t xml:space="preserve">. Available at: </w:t>
      </w:r>
      <w:hyperlink r:id="rId16" w:history="1">
        <w:r>
          <w:rPr>
            <w:rStyle w:val="Hyperlink"/>
          </w:rPr>
          <w:t>https://www.fabricdata.com/uk-streaming-market-trends</w:t>
        </w:r>
      </w:hyperlink>
      <w:r>
        <w:t xml:space="preserve"> (Accessed: </w:t>
      </w:r>
      <w:r w:rsidR="001C0820">
        <w:t>24th</w:t>
      </w:r>
      <w:r>
        <w:t xml:space="preserve"> March 2026)</w:t>
      </w:r>
    </w:p>
    <w:p w14:paraId="094774F6" w14:textId="0B6937F8" w:rsidR="00F54A78" w:rsidRDefault="000E6E64">
      <w:r>
        <w:t xml:space="preserve">Fabric Data (2024) </w:t>
      </w:r>
      <w:r>
        <w:rPr>
          <w:i/>
          <w:iCs/>
        </w:rPr>
        <w:t>UK Streaming Market Trends, Business Models, and Churn Rates</w:t>
      </w:r>
      <w:r>
        <w:t xml:space="preserve">. Available at: </w:t>
      </w:r>
      <w:hyperlink r:id="rId17" w:history="1">
        <w:r>
          <w:rPr>
            <w:rStyle w:val="Hyperlink"/>
          </w:rPr>
          <w:t>https://www.fabricdata.com/uk-streaming-market-trends</w:t>
        </w:r>
      </w:hyperlink>
      <w:r>
        <w:t xml:space="preserve"> (Accessed: </w:t>
      </w:r>
      <w:r w:rsidR="001C0820">
        <w:t>24th</w:t>
      </w:r>
      <w:r>
        <w:t xml:space="preserve"> March 2026)</w:t>
      </w:r>
    </w:p>
    <w:p w14:paraId="155EBD17" w14:textId="274CE671" w:rsidR="00F54A78" w:rsidRDefault="000E6E64">
      <w:proofErr w:type="spellStart"/>
      <w:r>
        <w:t>Fadhlurrohman</w:t>
      </w:r>
      <w:proofErr w:type="spellEnd"/>
      <w:r>
        <w:t xml:space="preserve">, F. (2023) </w:t>
      </w:r>
      <w:r>
        <w:rPr>
          <w:i/>
          <w:iCs/>
        </w:rPr>
        <w:t>Unveiling the Netflix Tech Marvel: A Deep Dive into the Streaming Giant’s Cutting-Edge Technology Stack! — (DevOps Section).</w:t>
      </w:r>
      <w:r>
        <w:t xml:space="preserve"> Available at: </w:t>
      </w:r>
      <w:hyperlink r:id="rId18" w:history="1">
        <w:r>
          <w:rPr>
            <w:rStyle w:val="Hyperlink"/>
          </w:rPr>
          <w:t>https://zikazama.medium.com/netflix-tech-stack-devops-section-1c364c997227</w:t>
        </w:r>
      </w:hyperlink>
      <w:r>
        <w:t xml:space="preserve"> (Accessed: </w:t>
      </w:r>
      <w:r w:rsidR="001C0820">
        <w:t>22nd</w:t>
      </w:r>
      <w:r>
        <w:t xml:space="preserve"> March 2026)</w:t>
      </w:r>
    </w:p>
    <w:p w14:paraId="6E88C5EA" w14:textId="49F19033" w:rsidR="00F54A78" w:rsidRDefault="000E6E64">
      <w:r>
        <w:t xml:space="preserve">Feng, E. (2019) ‘Can Netflix, the king of subscription video, be beaten?’, </w:t>
      </w:r>
      <w:r>
        <w:rPr>
          <w:i/>
          <w:iCs/>
        </w:rPr>
        <w:t xml:space="preserve">Medium, </w:t>
      </w:r>
      <w:r>
        <w:t xml:space="preserve">27 June. Available at: </w:t>
      </w:r>
      <w:hyperlink r:id="rId19" w:history="1">
        <w:r>
          <w:rPr>
            <w:rStyle w:val="Hyperlink"/>
          </w:rPr>
          <w:t>https://efeng.medium.com/can-netflix-the-king-of-subscription-video-be-beaten-132a64abad58</w:t>
        </w:r>
      </w:hyperlink>
      <w:r>
        <w:t xml:space="preserve"> (Accessed: </w:t>
      </w:r>
      <w:r w:rsidR="001C0820">
        <w:t>23rd</w:t>
      </w:r>
      <w:r>
        <w:t xml:space="preserve"> March 2026)</w:t>
      </w:r>
    </w:p>
    <w:p w14:paraId="101D8272" w14:textId="300E9699" w:rsidR="00F54A78" w:rsidRDefault="000E6E64">
      <w:r>
        <w:t>Fran, A. (2024) ‘Streaming wars: Navigating the Competitive Landscape’, </w:t>
      </w:r>
      <w:r>
        <w:rPr>
          <w:i/>
          <w:iCs/>
        </w:rPr>
        <w:t>Global Media Journal</w:t>
      </w:r>
      <w:r>
        <w:t xml:space="preserve">, 22(70), pp.1-3.Available at: </w:t>
      </w:r>
      <w:hyperlink r:id="rId20" w:history="1">
        <w:r>
          <w:rPr>
            <w:rStyle w:val="Hyperlink"/>
          </w:rPr>
          <w:t>https://www.globalmediajournal.com/open-access/streaming-wars-navigating-the-competitive-landscape.php?aid=94805</w:t>
        </w:r>
      </w:hyperlink>
      <w:r>
        <w:t xml:space="preserve"> (Accessed: </w:t>
      </w:r>
      <w:r w:rsidR="001C0820">
        <w:t>24th</w:t>
      </w:r>
      <w:r>
        <w:t xml:space="preserve"> March 2026)</w:t>
      </w:r>
    </w:p>
    <w:p w14:paraId="5721FA32" w14:textId="7048CCD9" w:rsidR="00F54A78" w:rsidRDefault="000E6E64">
      <w:proofErr w:type="spellStart"/>
      <w:r>
        <w:t>Ikhlaq</w:t>
      </w:r>
      <w:proofErr w:type="spellEnd"/>
      <w:r>
        <w:t xml:space="preserve">, U. (2025) </w:t>
      </w:r>
      <w:r>
        <w:rPr>
          <w:i/>
          <w:iCs/>
        </w:rPr>
        <w:t>Unlocking the Potential of Industrial AI: The UK's Path to Greater Growth and Productivity.</w:t>
      </w:r>
      <w:r>
        <w:t xml:space="preserve"> Available at: </w:t>
      </w:r>
      <w:hyperlink r:id="rId21" w:history="1">
        <w:r>
          <w:rPr>
            <w:rStyle w:val="Hyperlink"/>
          </w:rPr>
          <w:t>https://www.techuk.org/resource/unlocking-the-potential-of-industrial-ai-the-uk-s-path-to-greater-growth-and-productivity.html</w:t>
        </w:r>
      </w:hyperlink>
      <w:r>
        <w:t xml:space="preserve"> (Accessed: </w:t>
      </w:r>
      <w:r w:rsidR="001C0820">
        <w:t>23rd</w:t>
      </w:r>
      <w:r>
        <w:t xml:space="preserve"> March 2026)</w:t>
      </w:r>
    </w:p>
    <w:p w14:paraId="4D884580" w14:textId="6340E869" w:rsidR="00F54A78" w:rsidRDefault="000E6E64">
      <w:r>
        <w:t xml:space="preserve">King, J., Dyer, J., and Travis, B. (2026) </w:t>
      </w:r>
      <w:r>
        <w:rPr>
          <w:i/>
          <w:iCs/>
        </w:rPr>
        <w:t xml:space="preserve">The 58 Best TV Shows </w:t>
      </w:r>
      <w:proofErr w:type="gramStart"/>
      <w:r>
        <w:rPr>
          <w:i/>
          <w:iCs/>
        </w:rPr>
        <w:t>On</w:t>
      </w:r>
      <w:proofErr w:type="gramEnd"/>
      <w:r>
        <w:rPr>
          <w:i/>
          <w:iCs/>
        </w:rPr>
        <w:t xml:space="preserve"> Netflix UK In March 2026 — Your Ultimate Spring Binge Watch Guide.</w:t>
      </w:r>
      <w:r>
        <w:t xml:space="preserve"> Available at: </w:t>
      </w:r>
      <w:hyperlink r:id="rId22" w:history="1">
        <w:r>
          <w:rPr>
            <w:rStyle w:val="Hyperlink"/>
          </w:rPr>
          <w:t>https://www.empireonline.com/tv/features/best-netflix-tv-uk/</w:t>
        </w:r>
      </w:hyperlink>
      <w:r>
        <w:t xml:space="preserve"> (Accessed: </w:t>
      </w:r>
      <w:r w:rsidR="001C0820">
        <w:t>22nd</w:t>
      </w:r>
      <w:r>
        <w:t xml:space="preserve"> March 2026)</w:t>
      </w:r>
    </w:p>
    <w:p w14:paraId="7FDF2A92" w14:textId="28F3327B" w:rsidR="00F54A78" w:rsidRDefault="000E6E64">
      <w:r>
        <w:t xml:space="preserve">Katz, B. (2025) </w:t>
      </w:r>
      <w:r>
        <w:rPr>
          <w:i/>
          <w:iCs/>
        </w:rPr>
        <w:t>Netflix's Original Film Problem: More Movies, Less Demand</w:t>
      </w:r>
      <w:r>
        <w:t xml:space="preserve">. Available at: </w:t>
      </w:r>
      <w:hyperlink r:id="rId23" w:history="1">
        <w:r>
          <w:rPr>
            <w:rStyle w:val="Hyperlink"/>
          </w:rPr>
          <w:t>https://www.tvrev.com/news/netflixs-original-film-problem-more-movies-less-demand</w:t>
        </w:r>
      </w:hyperlink>
      <w:r>
        <w:t xml:space="preserve"> (Accessed: </w:t>
      </w:r>
      <w:r w:rsidR="001C0820">
        <w:t>24th</w:t>
      </w:r>
      <w:r>
        <w:t xml:space="preserve"> March 2026)</w:t>
      </w:r>
    </w:p>
    <w:p w14:paraId="2F711289" w14:textId="61EDF4EB" w:rsidR="00F54A78" w:rsidRDefault="000E6E64">
      <w:r>
        <w:t xml:space="preserve">Lancers Global (2023) </w:t>
      </w:r>
      <w:r>
        <w:rPr>
          <w:i/>
          <w:iCs/>
        </w:rPr>
        <w:t>The Evolution of Netflix: From Renting DVDs to Establishing Global Streaming Supremacy</w:t>
      </w:r>
      <w:r>
        <w:t xml:space="preserve">. Available at: </w:t>
      </w:r>
      <w:hyperlink r:id="rId24" w:history="1">
        <w:r>
          <w:rPr>
            <w:rStyle w:val="Hyperlink"/>
          </w:rPr>
          <w:t>https://lancersglobal.com/insights/digital-transformation/the-evolution-of-netflix-from-renting-dvds-to-establishing-global-streaming-supremacy</w:t>
        </w:r>
      </w:hyperlink>
      <w:r>
        <w:t xml:space="preserve"> (Accessed: </w:t>
      </w:r>
      <w:r w:rsidR="001C0820">
        <w:t>22nd</w:t>
      </w:r>
      <w:r>
        <w:t xml:space="preserve"> March 2026)</w:t>
      </w:r>
    </w:p>
    <w:p w14:paraId="1FE0D00A" w14:textId="1B8FEF72" w:rsidR="00F54A78" w:rsidRDefault="000E6E64">
      <w:r>
        <w:t xml:space="preserve">Make me Pulse (2025) </w:t>
      </w:r>
      <w:r>
        <w:rPr>
          <w:i/>
          <w:iCs/>
        </w:rPr>
        <w:t>New Work: Top 10 Netflix Originals Interactive Experience</w:t>
      </w:r>
      <w:r>
        <w:t xml:space="preserve">. Available at: </w:t>
      </w:r>
      <w:hyperlink r:id="rId25" w:history="1">
        <w:r>
          <w:rPr>
            <w:rStyle w:val="Hyperlink"/>
          </w:rPr>
          <w:t>https://www.makemepulse.com/news/new-work-top-10-netflix-originals-interactive-expe</w:t>
        </w:r>
      </w:hyperlink>
      <w:r>
        <w:t xml:space="preserve"> (Accessed: </w:t>
      </w:r>
      <w:r w:rsidR="001C0820">
        <w:t>24th</w:t>
      </w:r>
      <w:r>
        <w:t xml:space="preserve"> March 2026)</w:t>
      </w:r>
    </w:p>
    <w:p w14:paraId="0E99C0F0" w14:textId="2F538E00" w:rsidR="00F54A78" w:rsidRDefault="000E6E64">
      <w:r>
        <w:t xml:space="preserve">Miller, A.J. and Corbett, E. (2025) </w:t>
      </w:r>
      <w:r>
        <w:rPr>
          <w:i/>
          <w:iCs/>
        </w:rPr>
        <w:t>18 British Shows to Take You Straight Across the Pond</w:t>
      </w:r>
      <w:r>
        <w:t xml:space="preserve">. Available at: </w:t>
      </w:r>
      <w:hyperlink r:id="rId26" w:history="1">
        <w:r>
          <w:rPr>
            <w:rStyle w:val="Hyperlink"/>
          </w:rPr>
          <w:t>https://www.netflix.com/tudum/articles/british-shows</w:t>
        </w:r>
      </w:hyperlink>
      <w:r>
        <w:t xml:space="preserve"> (Accessed: </w:t>
      </w:r>
      <w:r w:rsidR="001C0820">
        <w:t>22nd</w:t>
      </w:r>
      <w:r>
        <w:t xml:space="preserve"> March 2026) </w:t>
      </w:r>
    </w:p>
    <w:p w14:paraId="3B8B7E98" w14:textId="23F0F51A" w:rsidR="00F54A78" w:rsidRDefault="000E6E64">
      <w:r>
        <w:t xml:space="preserve">Milmo, D. (2024) ‘Can Murdoch’s Tubi repeat its US success as it launches in the UK?’, </w:t>
      </w:r>
      <w:r>
        <w:rPr>
          <w:i/>
          <w:iCs/>
        </w:rPr>
        <w:t xml:space="preserve">The Guardian, </w:t>
      </w:r>
      <w:r>
        <w:t xml:space="preserve">5 July. Available at: </w:t>
      </w:r>
      <w:hyperlink r:id="rId27" w:history="1">
        <w:r>
          <w:rPr>
            <w:rStyle w:val="Hyperlink"/>
          </w:rPr>
          <w:t>https://www.theguardian.com/tv-and-radio/article/2024/jul/05/tubi-murdoch-us-success-launch-uk</w:t>
        </w:r>
      </w:hyperlink>
      <w:r>
        <w:t xml:space="preserve"> (Accessed: </w:t>
      </w:r>
      <w:r w:rsidR="001C0820">
        <w:t>23rd</w:t>
      </w:r>
      <w:r>
        <w:t xml:space="preserve"> March 2026)</w:t>
      </w:r>
    </w:p>
    <w:p w14:paraId="71846B07" w14:textId="11C443C1" w:rsidR="00F54A78" w:rsidRDefault="000E6E64">
      <w:r>
        <w:t xml:space="preserve">Parent Zone (2025) </w:t>
      </w:r>
      <w:r>
        <w:rPr>
          <w:i/>
          <w:iCs/>
        </w:rPr>
        <w:t>DISNEY+ CONFIRMS NEW AND EXCLUSIVE TITLES FOR 2023</w:t>
      </w:r>
      <w:r>
        <w:t xml:space="preserve">. Available at: </w:t>
      </w:r>
      <w:hyperlink r:id="rId28" w:history="1">
        <w:r>
          <w:rPr>
            <w:rStyle w:val="Hyperlink"/>
          </w:rPr>
          <w:t>https://press.disney.co.uk/news/disney+-confirms-new-and-exclusive-titles-for-2023</w:t>
        </w:r>
      </w:hyperlink>
      <w:r>
        <w:t xml:space="preserve"> (Accessed: </w:t>
      </w:r>
      <w:r w:rsidR="001C0820">
        <w:t>20th</w:t>
      </w:r>
      <w:r>
        <w:t xml:space="preserve"> March 2026)</w:t>
      </w:r>
    </w:p>
    <w:p w14:paraId="000AD545" w14:textId="555EFBFB" w:rsidR="00F54A78" w:rsidRDefault="000E6E64">
      <w:proofErr w:type="spellStart"/>
      <w:r>
        <w:t>Petraškevičius</w:t>
      </w:r>
      <w:proofErr w:type="spellEnd"/>
      <w:r>
        <w:t xml:space="preserve">, V. and </w:t>
      </w:r>
      <w:proofErr w:type="spellStart"/>
      <w:r>
        <w:t>Nedelko</w:t>
      </w:r>
      <w:proofErr w:type="spellEnd"/>
      <w:r>
        <w:t>, Z. (2017) ‘New trends of development of beer industry in Lithuania–diversification and social responsibility’, </w:t>
      </w:r>
      <w:r>
        <w:rPr>
          <w:i/>
          <w:iCs/>
        </w:rPr>
        <w:t>Business, Management and Economics Engineering</w:t>
      </w:r>
      <w:r>
        <w:t xml:space="preserve">, 15(1), pp.140-157.Available at: </w:t>
      </w:r>
      <w:hyperlink r:id="rId29" w:history="1">
        <w:r>
          <w:rPr>
            <w:rStyle w:val="Hyperlink"/>
          </w:rPr>
          <w:t>https://journals.vilniustech.lt/index.php/BMEE/article/download/403/284/</w:t>
        </w:r>
      </w:hyperlink>
      <w:r>
        <w:t xml:space="preserve"> (Accessed: </w:t>
      </w:r>
      <w:r w:rsidR="001C0820">
        <w:t>19th</w:t>
      </w:r>
      <w:r>
        <w:t xml:space="preserve"> March 2026) </w:t>
      </w:r>
    </w:p>
    <w:p w14:paraId="3AA476EF" w14:textId="77777777" w:rsidR="00F54A78" w:rsidRDefault="000E6E64">
      <w:r>
        <w:t>Sufi, F.K. (2024) ‘Open-source cyber intelligence research through PESTEL framework: Present and future impact’, </w:t>
      </w:r>
      <w:r>
        <w:rPr>
          <w:i/>
          <w:iCs/>
        </w:rPr>
        <w:t>Societal Impacts</w:t>
      </w:r>
      <w:r>
        <w:t xml:space="preserve">, 3, pp.1-7. Available at: </w:t>
      </w:r>
      <w:hyperlink r:id="rId30" w:history="1">
        <w:r>
          <w:rPr>
            <w:rStyle w:val="Hyperlink"/>
          </w:rPr>
          <w:t>https://doi.org/10.1016/j.socimp.2024.100047</w:t>
        </w:r>
      </w:hyperlink>
    </w:p>
    <w:p w14:paraId="52737183" w14:textId="3BB5AD70" w:rsidR="00F54A78" w:rsidRDefault="000E6E64">
      <w:r>
        <w:t xml:space="preserve">Tiwari, A. (2025) ‘How Does Netflix Use AI to Personalize Recommendations?’, </w:t>
      </w:r>
      <w:r>
        <w:rPr>
          <w:i/>
          <w:iCs/>
        </w:rPr>
        <w:t xml:space="preserve">Medium, </w:t>
      </w:r>
      <w:r>
        <w:t xml:space="preserve">4 June. Available at: </w:t>
      </w:r>
      <w:hyperlink r:id="rId31" w:history="1">
        <w:r>
          <w:rPr>
            <w:rStyle w:val="Hyperlink"/>
          </w:rPr>
          <w:t>https://theproductspace.substack.com/p/how-does-netflix-use-ai-to-personalize</w:t>
        </w:r>
      </w:hyperlink>
      <w:r>
        <w:t xml:space="preserve"> (Accessed: </w:t>
      </w:r>
      <w:r w:rsidR="001C0820">
        <w:t>18th</w:t>
      </w:r>
      <w:r>
        <w:t xml:space="preserve"> March 2026)</w:t>
      </w:r>
    </w:p>
    <w:p w14:paraId="31D68908" w14:textId="4FC8782C" w:rsidR="00F54A78" w:rsidRDefault="000E6E64">
      <w:r>
        <w:t xml:space="preserve">Upreti, K. (2025) </w:t>
      </w:r>
      <w:r>
        <w:rPr>
          <w:i/>
          <w:iCs/>
        </w:rPr>
        <w:t>The Size of Disney’s Copyright Umbrella: A Deep Dive</w:t>
      </w:r>
      <w:r>
        <w:t xml:space="preserve">. Available at: </w:t>
      </w:r>
      <w:hyperlink r:id="rId32" w:history="1">
        <w:r>
          <w:rPr>
            <w:rStyle w:val="Hyperlink"/>
          </w:rPr>
          <w:t>https://saveyourip.in/the-size-of-disneys-copyright-umbrella/</w:t>
        </w:r>
      </w:hyperlink>
      <w:r>
        <w:t xml:space="preserve"> (Accessed: </w:t>
      </w:r>
      <w:r w:rsidR="001C0820">
        <w:t>24th</w:t>
      </w:r>
      <w:r>
        <w:t xml:space="preserve"> March 2026)</w:t>
      </w:r>
    </w:p>
    <w:p w14:paraId="0E53B49A" w14:textId="2398EEBF" w:rsidR="00F54A78" w:rsidRDefault="000E6E64">
      <w:r>
        <w:t xml:space="preserve">Whitten, S. (2025) ‘Disney's portfolio of intellectual property has been the bedrock of its theme parks since the very first location opened its doors’, </w:t>
      </w:r>
      <w:r>
        <w:rPr>
          <w:i/>
          <w:iCs/>
        </w:rPr>
        <w:t xml:space="preserve">CNBC, </w:t>
      </w:r>
      <w:r>
        <w:t xml:space="preserve">17 July. Available at: </w:t>
      </w:r>
      <w:hyperlink r:id="rId33" w:history="1">
        <w:r>
          <w:rPr>
            <w:rStyle w:val="Hyperlink"/>
          </w:rPr>
          <w:t>https://www.cnbc.com/2025/07/17/disney-ip-anchors-theme-parks.html</w:t>
        </w:r>
      </w:hyperlink>
      <w:r>
        <w:t xml:space="preserve"> (Accessed: </w:t>
      </w:r>
      <w:r w:rsidR="001C0820">
        <w:t>22nd</w:t>
      </w:r>
      <w:r>
        <w:t xml:space="preserve"> March 2026)</w:t>
      </w:r>
    </w:p>
    <w:p w14:paraId="3C44305E" w14:textId="323EF210" w:rsidR="00F54A78" w:rsidRDefault="000E6E64">
      <w:proofErr w:type="spellStart"/>
      <w:r>
        <w:t>Zulhusni</w:t>
      </w:r>
      <w:proofErr w:type="spellEnd"/>
      <w:r>
        <w:t xml:space="preserve">, M. (2025) </w:t>
      </w:r>
      <w:hyperlink r:id="rId34" w:history="1">
        <w:r>
          <w:rPr>
            <w:i/>
            <w:iCs/>
          </w:rPr>
          <w:t>From on-demand to live: how Netflix adjusted its cloud operations</w:t>
        </w:r>
      </w:hyperlink>
      <w:r>
        <w:t xml:space="preserve">. Available at: </w:t>
      </w:r>
      <w:hyperlink r:id="rId35" w:history="1">
        <w:r>
          <w:rPr>
            <w:rStyle w:val="Hyperlink"/>
          </w:rPr>
          <w:t>https://www.cloudcomputing-news.net/news/from-on-demand-to-live-how-netflix-adjusted-its-cloud-operations/</w:t>
        </w:r>
      </w:hyperlink>
      <w:r>
        <w:t xml:space="preserve"> (Accessed: </w:t>
      </w:r>
      <w:r w:rsidR="001C0820">
        <w:t>24th</w:t>
      </w:r>
      <w:r>
        <w:t xml:space="preserve"> March 2026)</w:t>
      </w:r>
    </w:p>
    <w:p w14:paraId="1F00575F" w14:textId="77777777" w:rsidR="00F54A78" w:rsidRDefault="00F54A78"/>
    <w:p w14:paraId="6B24AD74" w14:textId="77777777" w:rsidR="00F54A78" w:rsidRDefault="00F54A78"/>
    <w:p w14:paraId="791F2217" w14:textId="77777777" w:rsidR="00F54A78" w:rsidRDefault="00F54A78"/>
    <w:p w14:paraId="3A6BBC60" w14:textId="77777777" w:rsidR="00F54A78" w:rsidRDefault="00F54A78"/>
    <w:sectPr w:rsidR="00F54A78">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A761F" w14:textId="77777777" w:rsidR="008E16F5" w:rsidRDefault="008E16F5">
      <w:pPr>
        <w:spacing w:line="240" w:lineRule="auto"/>
      </w:pPr>
      <w:r>
        <w:separator/>
      </w:r>
    </w:p>
  </w:endnote>
  <w:endnote w:type="continuationSeparator" w:id="0">
    <w:p w14:paraId="26CDECEC" w14:textId="77777777" w:rsidR="008E16F5" w:rsidRDefault="008E16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等线 Light">
    <w:altName w:val="Segoe Print"/>
    <w:charset w:val="00"/>
    <w:family w:val="auto"/>
    <w:pitch w:val="default"/>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2641217"/>
      <w:docPartObj>
        <w:docPartGallery w:val="AutoText"/>
      </w:docPartObj>
    </w:sdtPr>
    <w:sdtEndPr/>
    <w:sdtContent>
      <w:p w14:paraId="324BAC2E" w14:textId="77777777" w:rsidR="00F54A78" w:rsidRDefault="000E6E64">
        <w:pPr>
          <w:pStyle w:val="Footer"/>
          <w:jc w:val="right"/>
        </w:pPr>
        <w:r>
          <w:fldChar w:fldCharType="begin"/>
        </w:r>
        <w:r>
          <w:instrText xml:space="preserve"> PAGE   \* MERGEFORMAT </w:instrText>
        </w:r>
        <w:r>
          <w:fldChar w:fldCharType="separate"/>
        </w:r>
        <w:r>
          <w:t>2</w:t>
        </w:r>
        <w:r>
          <w:fldChar w:fldCharType="end"/>
        </w:r>
      </w:p>
    </w:sdtContent>
  </w:sdt>
  <w:p w14:paraId="1C192114" w14:textId="77777777" w:rsidR="00F54A78" w:rsidRDefault="00F54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6464F" w14:textId="77777777" w:rsidR="008E16F5" w:rsidRDefault="008E16F5">
      <w:pPr>
        <w:spacing w:after="0"/>
      </w:pPr>
      <w:r>
        <w:separator/>
      </w:r>
    </w:p>
  </w:footnote>
  <w:footnote w:type="continuationSeparator" w:id="0">
    <w:p w14:paraId="67FE44A3" w14:textId="77777777" w:rsidR="008E16F5" w:rsidRDefault="008E16F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06FBC"/>
    <w:multiLevelType w:val="multilevel"/>
    <w:tmpl w:val="3AE06F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B8446C9"/>
    <w:multiLevelType w:val="multilevel"/>
    <w:tmpl w:val="7B8446C9"/>
    <w:lvl w:ilvl="0">
      <w:start w:val="4"/>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814880323">
    <w:abstractNumId w:val="0"/>
  </w:num>
  <w:num w:numId="2" w16cid:durableId="1808738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162"/>
    <w:rsid w:val="000318EA"/>
    <w:rsid w:val="00051C0E"/>
    <w:rsid w:val="00095C01"/>
    <w:rsid w:val="000D16B0"/>
    <w:rsid w:val="000E3DB0"/>
    <w:rsid w:val="000E6E64"/>
    <w:rsid w:val="00122A35"/>
    <w:rsid w:val="001816EF"/>
    <w:rsid w:val="001848FB"/>
    <w:rsid w:val="001A3401"/>
    <w:rsid w:val="001C0820"/>
    <w:rsid w:val="001E011E"/>
    <w:rsid w:val="001F023D"/>
    <w:rsid w:val="00223F98"/>
    <w:rsid w:val="00247AD2"/>
    <w:rsid w:val="002661D9"/>
    <w:rsid w:val="00294347"/>
    <w:rsid w:val="002C3BC9"/>
    <w:rsid w:val="00327567"/>
    <w:rsid w:val="003816BA"/>
    <w:rsid w:val="00407E7C"/>
    <w:rsid w:val="00437501"/>
    <w:rsid w:val="004A1FED"/>
    <w:rsid w:val="004A529C"/>
    <w:rsid w:val="004B0027"/>
    <w:rsid w:val="004C2C94"/>
    <w:rsid w:val="005179C9"/>
    <w:rsid w:val="005904DC"/>
    <w:rsid w:val="00642DDC"/>
    <w:rsid w:val="006A2785"/>
    <w:rsid w:val="006E1F56"/>
    <w:rsid w:val="00716C29"/>
    <w:rsid w:val="00735D08"/>
    <w:rsid w:val="00741D2A"/>
    <w:rsid w:val="00840BF9"/>
    <w:rsid w:val="008569BB"/>
    <w:rsid w:val="008E16F5"/>
    <w:rsid w:val="008F2D0A"/>
    <w:rsid w:val="008F5D42"/>
    <w:rsid w:val="00923B3B"/>
    <w:rsid w:val="009715FB"/>
    <w:rsid w:val="00A249A2"/>
    <w:rsid w:val="00A443C3"/>
    <w:rsid w:val="00A7573B"/>
    <w:rsid w:val="00AB04F7"/>
    <w:rsid w:val="00B03154"/>
    <w:rsid w:val="00B11D61"/>
    <w:rsid w:val="00CA2A6A"/>
    <w:rsid w:val="00CB1BF6"/>
    <w:rsid w:val="00CB7F8F"/>
    <w:rsid w:val="00CE619D"/>
    <w:rsid w:val="00CE63F2"/>
    <w:rsid w:val="00D930AA"/>
    <w:rsid w:val="00D97764"/>
    <w:rsid w:val="00DA395F"/>
    <w:rsid w:val="00DB09E2"/>
    <w:rsid w:val="00DB3DD1"/>
    <w:rsid w:val="00E10E6D"/>
    <w:rsid w:val="00E15162"/>
    <w:rsid w:val="00E93A5A"/>
    <w:rsid w:val="00EC3019"/>
    <w:rsid w:val="00F508C6"/>
    <w:rsid w:val="00F51C47"/>
    <w:rsid w:val="00F54A78"/>
    <w:rsid w:val="00F66FA2"/>
    <w:rsid w:val="00F74F87"/>
    <w:rsid w:val="00FE1149"/>
    <w:rsid w:val="03041E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DCD5B"/>
  <w15:docId w15:val="{19B41D98-5E93-4853-ABD9-D42E05181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hAnsi="Arial"/>
      <w:color w:val="000000" w:themeColor="text1"/>
      <w:kern w:val="2"/>
      <w:sz w:val="24"/>
      <w:szCs w:val="24"/>
      <w:lang w:val="en-GB"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erChar">
    <w:name w:val="Header Char"/>
    <w:basedOn w:val="DefaultParagraphFont"/>
    <w:link w:val="Header"/>
    <w:uiPriority w:val="99"/>
    <w:rPr>
      <w:rFonts w:ascii="Arial" w:hAnsi="Arial"/>
      <w:color w:val="000000" w:themeColor="text1"/>
      <w:lang w:val="en-GB"/>
    </w:rPr>
  </w:style>
  <w:style w:type="character" w:customStyle="1" w:styleId="FooterChar">
    <w:name w:val="Footer Char"/>
    <w:basedOn w:val="DefaultParagraphFont"/>
    <w:link w:val="Footer"/>
    <w:uiPriority w:val="99"/>
    <w:rPr>
      <w:rFonts w:ascii="Arial" w:hAnsi="Arial"/>
      <w:color w:val="000000" w:themeColor="text1"/>
      <w:lang w:val="en-GB"/>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character" w:customStyle="1" w:styleId="CommentTextChar">
    <w:name w:val="Comment Text Char"/>
    <w:basedOn w:val="DefaultParagraphFont"/>
    <w:link w:val="CommentText"/>
    <w:uiPriority w:val="99"/>
    <w:semiHidden/>
    <w:rPr>
      <w:rFonts w:ascii="Arial" w:hAnsi="Arial"/>
      <w:color w:val="000000" w:themeColor="text1"/>
      <w:sz w:val="20"/>
      <w:szCs w:val="20"/>
      <w:lang w:val="en-GB"/>
    </w:rPr>
  </w:style>
  <w:style w:type="character" w:customStyle="1" w:styleId="CommentSubjectChar">
    <w:name w:val="Comment Subject Char"/>
    <w:basedOn w:val="CommentTextChar"/>
    <w:link w:val="CommentSubject"/>
    <w:uiPriority w:val="99"/>
    <w:semiHidden/>
    <w:rPr>
      <w:rFonts w:ascii="Arial" w:hAnsi="Arial"/>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news.broadcastmediaafrica.com/2026/02/25/disney-and-itv-renew-u-k-content-sharing-partnership-with-new-hulu-originals/" TargetMode="External"/><Relationship Id="rId18" Type="http://schemas.openxmlformats.org/officeDocument/2006/relationships/hyperlink" Target="https://zikazama.medium.com/netflix-tech-stack-devops-section-1c364c997227" TargetMode="External"/><Relationship Id="rId26" Type="http://schemas.openxmlformats.org/officeDocument/2006/relationships/hyperlink" Target="https://www.netflix.com/tudum/articles/british-shows" TargetMode="External"/><Relationship Id="rId21" Type="http://schemas.openxmlformats.org/officeDocument/2006/relationships/hyperlink" Target="https://www.techuk.org/resource/unlocking-the-potential-of-industrial-ai-the-uk-s-path-to-greater-growth-and-productivity.html" TargetMode="External"/><Relationship Id="rId34" Type="http://schemas.openxmlformats.org/officeDocument/2006/relationships/hyperlink" Target="https://www.cloudcomputing-news.net/news/from-on-demand-to-live-how-netflix-adjusted-its-cloud-operations/" TargetMode="External"/><Relationship Id="rId7" Type="http://schemas.openxmlformats.org/officeDocument/2006/relationships/endnotes" Target="endnotes.xml"/><Relationship Id="rId12" Type="http://schemas.openxmlformats.org/officeDocument/2006/relationships/hyperlink" Target="https://uk.themedialeader.com/uk-streaming-subscribers-embrace-ad-tiers-across-disney-netflix-and-prime-video/" TargetMode="External"/><Relationship Id="rId17" Type="http://schemas.openxmlformats.org/officeDocument/2006/relationships/hyperlink" Target="https://www.fabricdata.com/uk-streaming-market-trends" TargetMode="External"/><Relationship Id="rId25" Type="http://schemas.openxmlformats.org/officeDocument/2006/relationships/hyperlink" Target="https://www.makemepulse.com/news/new-work-top-10-netflix-originals-interactive-expe" TargetMode="External"/><Relationship Id="rId33" Type="http://schemas.openxmlformats.org/officeDocument/2006/relationships/hyperlink" Target="https://www.cnbc.com/2025/07/17/disney-ip-anchors-theme-parks.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abricdata.com/uk-streaming-market-trends" TargetMode="External"/><Relationship Id="rId20" Type="http://schemas.openxmlformats.org/officeDocument/2006/relationships/hyperlink" Target="https://www.globalmediajournal.com/open-access/streaming-wars-navigating-the-competitive-landscape.php?aid=94805" TargetMode="External"/><Relationship Id="rId29" Type="http://schemas.openxmlformats.org/officeDocument/2006/relationships/hyperlink" Target="https://journals.vilniustech.lt/index.php/BMEE/article/download/403/2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vanced-television.com/2025/10/15/the-rise-of-mobile-streaming-in-the-uk-a-shift-in-how-the-nation-consumes-entertainment/" TargetMode="External"/><Relationship Id="rId24" Type="http://schemas.openxmlformats.org/officeDocument/2006/relationships/hyperlink" Target="https://lancersglobal.com/insights/digital-transformation/the-evolution-of-netflix-from-renting-dvds-to-establishing-global-streaming-supremacy" TargetMode="External"/><Relationship Id="rId32" Type="http://schemas.openxmlformats.org/officeDocument/2006/relationships/hyperlink" Target="https://saveyourip.in/the-size-of-disneys-copyright-umbrella/"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iggitmagazine.com/papers/disney-changing-streaming-industry" TargetMode="External"/><Relationship Id="rId23" Type="http://schemas.openxmlformats.org/officeDocument/2006/relationships/hyperlink" Target="https://www.tvrev.com/news/netflixs-original-film-problem-more-movies-less-demand" TargetMode="External"/><Relationship Id="rId28" Type="http://schemas.openxmlformats.org/officeDocument/2006/relationships/hyperlink" Target="https://press.disney.co.uk/news/disney+-confirms-new-and-exclusive-titles-for-2023"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efeng.medium.com/can-netflix-the-king-of-subscription-video-be-beaten-132a64abad58" TargetMode="External"/><Relationship Id="rId31" Type="http://schemas.openxmlformats.org/officeDocument/2006/relationships/hyperlink" Target="https://theproductspace.substack.com/p/how-does-netflix-use-ai-to-personaliz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pyrightservice.co.uk/copyright/uk_law_summary" TargetMode="External"/><Relationship Id="rId22" Type="http://schemas.openxmlformats.org/officeDocument/2006/relationships/hyperlink" Target="https://www.empireonline.com/tv/features/best-netflix-tv-uk/" TargetMode="External"/><Relationship Id="rId27" Type="http://schemas.openxmlformats.org/officeDocument/2006/relationships/hyperlink" Target="https://www.theguardian.com/tv-and-radio/article/2024/jul/05/tubi-murdoch-us-success-launch-uk" TargetMode="External"/><Relationship Id="rId30" Type="http://schemas.openxmlformats.org/officeDocument/2006/relationships/hyperlink" Target="https://doi.org/10.1016/j.socimp.2024.100047" TargetMode="External"/><Relationship Id="rId35" Type="http://schemas.openxmlformats.org/officeDocument/2006/relationships/hyperlink" Target="https://www.cloudcomputing-news.net/news/from-on-demand-to-live-how-netflix-adjusted-its-cloud-operation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95A55-B00C-4028-B920-887208C21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4003</Words>
  <Characters>22821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Ravi Bhadiyadra</dc:creator>
  <cp:lastModifiedBy>raj hirpara</cp:lastModifiedBy>
  <cp:revision>2</cp:revision>
  <dcterms:created xsi:type="dcterms:W3CDTF">2026-03-26T23:32:00Z</dcterms:created>
  <dcterms:modified xsi:type="dcterms:W3CDTF">2026-03-26T23:32:00Z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c1977849-6dc9-4853-8330-9beed9b7d137</vt:lpwstr>
  </property>
  <property fmtid="{D5CDD505-2E9C-101B-9397-08002B2CF9AE}" pid="3" name="KSOProductBuildVer">
    <vt:lpwstr>1033-12.2.0.23196</vt:lpwstr>
  </property>
  <property fmtid="{D5CDD505-2E9C-101B-9397-08002B2CF9AE}" pid="4" name="ICV">
    <vt:lpwstr>7469F1B561AB488FB38CD2838F06378A_12</vt:lpwstr>
  </property>
</Properties>
</file>