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E72FAA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902CE">
              <w:rPr>
                <w:rFonts w:ascii="Times New Roman" w:hAnsi="Times New Roman" w:cs="Times New Roman"/>
                <w:b/>
                <w:color w:val="auto"/>
                <w:sz w:val="48"/>
              </w:rPr>
              <w:t>Rachel Anne Cannon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E1E811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902CE">
              <w:rPr>
                <w:rFonts w:ascii="Times New Roman" w:hAnsi="Times New Roman" w:cs="Times New Roman"/>
                <w:b/>
                <w:color w:val="auto"/>
                <w:sz w:val="48"/>
              </w:rPr>
              <w:t xml:space="preserve"> pheonix2672@outlook.com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2EBE817" w:rsidR="0085230E" w:rsidRPr="005D3F07" w:rsidRDefault="004902C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1910349</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13E80AD0" w14:textId="4190BAF6" w:rsidR="004902CE" w:rsidRPr="004902CE" w:rsidRDefault="004902CE" w:rsidP="004902CE">
            <w:pPr>
              <w:rPr>
                <w:rFonts w:ascii="Times New Roman" w:hAnsi="Times New Roman" w:cs="Times New Roman"/>
                <w:sz w:val="24"/>
                <w:szCs w:val="24"/>
              </w:rPr>
            </w:pPr>
            <w:r w:rsidRPr="004902CE">
              <w:rPr>
                <w:rFonts w:ascii="Times New Roman" w:hAnsi="Times New Roman" w:cs="Times New Roman"/>
                <w:sz w:val="24"/>
                <w:szCs w:val="24"/>
              </w:rPr>
              <w:t xml:space="preserve">Although safeguarding adults is not my main role, the key law in Wales is the </w:t>
            </w:r>
            <w:r w:rsidRPr="004902CE">
              <w:rPr>
                <w:rFonts w:ascii="Times New Roman" w:hAnsi="Times New Roman" w:cs="Times New Roman"/>
                <w:i/>
                <w:iCs/>
                <w:sz w:val="24"/>
                <w:szCs w:val="24"/>
              </w:rPr>
              <w:t>Social Services and Well-being (Wales) Act 2014</w:t>
            </w:r>
            <w:r w:rsidRPr="004902CE">
              <w:rPr>
                <w:rFonts w:ascii="Times New Roman" w:hAnsi="Times New Roman" w:cs="Times New Roman"/>
                <w:sz w:val="24"/>
                <w:szCs w:val="24"/>
              </w:rPr>
              <w:t xml:space="preserve"> (SSWBA). Part 7 defines an "adult at risk" as someone aged 18 or over who is experiencing or at risk of abuse or neglect, has care and support needs, and cannot look after themselves. (Social Services and Well-being (Wales) Act 2014) When my father was diagnosed with dementia in 2025, he could not give consent for hospital treatment because he lacked mental capacity. He was at risk of harm, as he had been making unsupervised trips and there was evidence of financial exploitation. After formal assessments, a Deprivation of Liberty Order (DOLS) was put in place. (Mental Capacity Act 2005) This example shows how practitioners applied the SSWBA definition, assessed capacity and best interests, and worked together across agencies to protect well-being while respecting rights. This process highlights why following statutory safeguarding procedures is important to prevent abuse and neglect.</w:t>
            </w:r>
            <w:r>
              <w:rPr>
                <w:rFonts w:ascii="Times New Roman" w:hAnsi="Times New Roman" w:cs="Times New Roman"/>
                <w:sz w:val="24"/>
                <w:szCs w:val="24"/>
              </w:rPr>
              <w:t xml:space="preserve"> </w:t>
            </w:r>
            <w:r w:rsidRPr="004902CE">
              <w:rPr>
                <w:rFonts w:ascii="Times New Roman" w:hAnsi="Times New Roman" w:cs="Times New Roman"/>
                <w:sz w:val="24"/>
                <w:szCs w:val="24"/>
              </w:rPr>
              <w:t>My father met the age requirement, as he was over 18.</w:t>
            </w:r>
            <w:r>
              <w:rPr>
                <w:rFonts w:ascii="Times New Roman" w:hAnsi="Times New Roman" w:cs="Times New Roman"/>
                <w:sz w:val="24"/>
                <w:szCs w:val="24"/>
              </w:rPr>
              <w:t xml:space="preserve"> </w:t>
            </w:r>
            <w:r w:rsidRPr="004902CE">
              <w:rPr>
                <w:rFonts w:ascii="Times New Roman" w:hAnsi="Times New Roman" w:cs="Times New Roman"/>
                <w:sz w:val="24"/>
                <w:szCs w:val="24"/>
              </w:rPr>
              <w:t>He had dementia, which is a mental health condition.</w:t>
            </w:r>
          </w:p>
          <w:p w14:paraId="37AE7D80" w14:textId="77777777" w:rsidR="004902CE" w:rsidRDefault="004902CE" w:rsidP="004902CE">
            <w:pPr>
              <w:rPr>
                <w:rFonts w:ascii="Times New Roman" w:hAnsi="Times New Roman" w:cs="Times New Roman"/>
                <w:sz w:val="24"/>
                <w:szCs w:val="24"/>
              </w:rPr>
            </w:pPr>
          </w:p>
          <w:p w14:paraId="47F39AE3" w14:textId="133A6065" w:rsidR="004902CE" w:rsidRPr="004902CE" w:rsidRDefault="004902CE" w:rsidP="004902CE">
            <w:pPr>
              <w:rPr>
                <w:rFonts w:ascii="Times New Roman" w:hAnsi="Times New Roman" w:cs="Times New Roman"/>
                <w:sz w:val="24"/>
                <w:szCs w:val="24"/>
              </w:rPr>
            </w:pPr>
            <w:r w:rsidRPr="004902CE">
              <w:rPr>
                <w:rFonts w:ascii="Times New Roman" w:hAnsi="Times New Roman" w:cs="Times New Roman"/>
                <w:sz w:val="24"/>
                <w:szCs w:val="24"/>
              </w:rPr>
              <w:t xml:space="preserve">The requirement relating to mental capacity </w:t>
            </w:r>
            <w:r w:rsidR="00EE3ECC">
              <w:rPr>
                <w:rFonts w:ascii="Times New Roman" w:hAnsi="Times New Roman" w:cs="Times New Roman"/>
                <w:sz w:val="24"/>
                <w:szCs w:val="24"/>
              </w:rPr>
              <w:t>was achieved as</w:t>
            </w:r>
            <w:r w:rsidRPr="004902CE">
              <w:rPr>
                <w:rFonts w:ascii="Times New Roman" w:hAnsi="Times New Roman" w:cs="Times New Roman"/>
                <w:sz w:val="24"/>
                <w:szCs w:val="24"/>
              </w:rPr>
              <w:t xml:space="preserve"> he did not have the mental capacity necessary to give consent for the care and treatment in question because of his dementia. This lack of capacity was evident. Regarding mental capacity, my father could not give consent for his care and treatment because of his dementia. His capacity was assessed under the Mental Capacity Act 2005, which requires practitioners to decide if someone can understand, retain, use, or weigh up information to make decisions. (Mental Capacity Act 2005) The assessments showed he could not understand or assess the risks and benefits of the care plan, so he could not give valid consent. The SSWBA emphasises person-centred principles such as well-being, prevention, and co-production to empower the individual, and this approach encourages practitioners to work with the at-risk adult and consider their views. (Social Services and Well-being (Wales) Act 2014)</w:t>
            </w:r>
          </w:p>
          <w:p w14:paraId="05413C41" w14:textId="77777777" w:rsidR="004902CE" w:rsidRDefault="004902CE" w:rsidP="004902CE">
            <w:pPr>
              <w:rPr>
                <w:rFonts w:ascii="Times New Roman" w:hAnsi="Times New Roman" w:cs="Times New Roman"/>
                <w:sz w:val="24"/>
                <w:szCs w:val="24"/>
              </w:rPr>
            </w:pPr>
          </w:p>
          <w:p w14:paraId="6789E1AF" w14:textId="37F196AB" w:rsidR="004902CE" w:rsidRPr="004902CE" w:rsidRDefault="004902CE" w:rsidP="004902CE">
            <w:pPr>
              <w:rPr>
                <w:rFonts w:ascii="Times New Roman" w:hAnsi="Times New Roman" w:cs="Times New Roman"/>
                <w:sz w:val="24"/>
                <w:szCs w:val="24"/>
              </w:rPr>
            </w:pPr>
            <w:r w:rsidRPr="004902CE">
              <w:rPr>
                <w:rFonts w:ascii="Times New Roman" w:hAnsi="Times New Roman" w:cs="Times New Roman"/>
                <w:sz w:val="24"/>
                <w:szCs w:val="24"/>
              </w:rPr>
              <w:t>The Care Act 2014 in England and the SSWBA 2014 in Wales have different approaches to adult safeguarding. The Care Act requires local authorities in England to set up Safeguarding Adults Boards for multi-agency cooperation, while the SSWBA does not create similar boards in Wales. (Care Act 2014)</w:t>
            </w:r>
          </w:p>
          <w:p w14:paraId="2FA3F401" w14:textId="68615904" w:rsidR="004902CE" w:rsidRDefault="004902CE" w:rsidP="004902CE">
            <w:pPr>
              <w:rPr>
                <w:rFonts w:ascii="Times New Roman" w:hAnsi="Times New Roman" w:cs="Times New Roman"/>
                <w:i/>
                <w:iCs/>
                <w:sz w:val="24"/>
                <w:szCs w:val="24"/>
              </w:rPr>
            </w:pPr>
            <w:r w:rsidRPr="004902CE">
              <w:rPr>
                <w:rFonts w:ascii="Times New Roman" w:hAnsi="Times New Roman" w:cs="Times New Roman"/>
                <w:sz w:val="24"/>
                <w:szCs w:val="24"/>
              </w:rPr>
              <w:lastRenderedPageBreak/>
              <w:t xml:space="preserve">The </w:t>
            </w:r>
            <w:r w:rsidRPr="004902CE">
              <w:rPr>
                <w:rFonts w:ascii="Times New Roman" w:hAnsi="Times New Roman" w:cs="Times New Roman"/>
                <w:i/>
                <w:iCs/>
                <w:sz w:val="24"/>
                <w:szCs w:val="24"/>
              </w:rPr>
              <w:t>Mental Capacity Act 2005 says professionals should assume a person has capacity, help them make decisions, and choose the least restrictive option. Capacity depends on the decision and when it is made. (Mental Capacity Act 2005) T</w:t>
            </w:r>
            <w:r w:rsidRPr="004902CE">
              <w:rPr>
                <w:rFonts w:ascii="Times New Roman" w:hAnsi="Times New Roman" w:cs="Times New Roman"/>
                <w:sz w:val="24"/>
                <w:szCs w:val="24"/>
              </w:rPr>
              <w:t xml:space="preserve">he Human Rights Act 1998 and the </w:t>
            </w:r>
            <w:r w:rsidRPr="004902CE">
              <w:rPr>
                <w:rFonts w:ascii="Times New Roman" w:hAnsi="Times New Roman" w:cs="Times New Roman"/>
                <w:i/>
                <w:iCs/>
                <w:sz w:val="24"/>
                <w:szCs w:val="24"/>
              </w:rPr>
              <w:t>Equality Act 2010 also protect fundamental rights. (Feldman, 1999, pp. 165-206)</w:t>
            </w:r>
          </w:p>
          <w:p w14:paraId="547E8D28" w14:textId="77777777" w:rsidR="004902CE" w:rsidRPr="004902CE" w:rsidRDefault="004902CE" w:rsidP="004902CE">
            <w:pPr>
              <w:rPr>
                <w:rFonts w:ascii="Times New Roman" w:hAnsi="Times New Roman" w:cs="Times New Roman"/>
                <w:sz w:val="24"/>
                <w:szCs w:val="24"/>
              </w:rPr>
            </w:pPr>
          </w:p>
          <w:p w14:paraId="5C0DEC2A" w14:textId="417AE44F" w:rsidR="004902CE" w:rsidRPr="004902CE" w:rsidRDefault="00C83E99" w:rsidP="004902CE">
            <w:pPr>
              <w:rPr>
                <w:rFonts w:ascii="Times New Roman" w:hAnsi="Times New Roman" w:cs="Times New Roman"/>
                <w:sz w:val="24"/>
                <w:szCs w:val="24"/>
              </w:rPr>
            </w:pPr>
            <w:r w:rsidRPr="004902CE">
              <w:rPr>
                <w:rFonts w:ascii="Times New Roman" w:hAnsi="Times New Roman" w:cs="Times New Roman"/>
                <w:sz w:val="24"/>
                <w:szCs w:val="24"/>
              </w:rPr>
              <w:t>Wales’s</w:t>
            </w:r>
            <w:r w:rsidR="004902CE" w:rsidRPr="004902CE">
              <w:rPr>
                <w:rFonts w:ascii="Times New Roman" w:hAnsi="Times New Roman" w:cs="Times New Roman"/>
                <w:sz w:val="24"/>
                <w:szCs w:val="24"/>
              </w:rPr>
              <w:t xml:space="preserve"> safeguarding documents list key steps: identify concerns, ensure safety, listen to adults, record facts, report to relevant services or police, assess risk, and plan interventions. (Government, 2022)</w:t>
            </w:r>
            <w:r w:rsidR="00EE3ECC">
              <w:rPr>
                <w:rFonts w:ascii="Times New Roman" w:hAnsi="Times New Roman" w:cs="Times New Roman"/>
                <w:sz w:val="24"/>
                <w:szCs w:val="24"/>
              </w:rPr>
              <w:t xml:space="preserve">. </w:t>
            </w:r>
            <w:r w:rsidR="004902CE" w:rsidRPr="004902CE">
              <w:rPr>
                <w:rFonts w:ascii="Times New Roman" w:hAnsi="Times New Roman" w:cs="Times New Roman"/>
                <w:sz w:val="24"/>
                <w:szCs w:val="24"/>
              </w:rPr>
              <w:t>Safeguarding concerns are handled in line with the Council's Adult Protection Policy and the Joint North Wales Safeguarding Board's protocols. The organisation's policies also name those responsible for safeguarding and explain whistleblowing procedures. (Policies and Procedures – Adults – North Wales Safeguarding Board)</w:t>
            </w:r>
          </w:p>
          <w:p w14:paraId="1750046F" w14:textId="77777777" w:rsidR="004902CE" w:rsidRDefault="004902CE" w:rsidP="004902CE">
            <w:pPr>
              <w:rPr>
                <w:rFonts w:ascii="Times New Roman" w:hAnsi="Times New Roman" w:cs="Times New Roman"/>
                <w:sz w:val="24"/>
                <w:szCs w:val="24"/>
              </w:rPr>
            </w:pPr>
          </w:p>
          <w:p w14:paraId="1D29EDFD" w14:textId="48AFB217" w:rsidR="004902CE" w:rsidRPr="004902CE" w:rsidRDefault="004902CE" w:rsidP="004902CE">
            <w:pPr>
              <w:rPr>
                <w:rFonts w:ascii="Times New Roman" w:hAnsi="Times New Roman" w:cs="Times New Roman"/>
                <w:sz w:val="24"/>
                <w:szCs w:val="24"/>
              </w:rPr>
            </w:pPr>
            <w:r w:rsidRPr="004902CE">
              <w:rPr>
                <w:rFonts w:ascii="Times New Roman" w:hAnsi="Times New Roman" w:cs="Times New Roman"/>
                <w:sz w:val="24"/>
                <w:szCs w:val="24"/>
              </w:rPr>
              <w:t>Law sets out legal duties, national guidance explains how to apply them, and local policies provide detailed procedures. Effective safeguarding depends on coordination and consistency.</w:t>
            </w:r>
          </w:p>
          <w:p w14:paraId="6C9BB782" w14:textId="77777777" w:rsidR="004902CE" w:rsidRPr="004902CE" w:rsidRDefault="004902CE" w:rsidP="004902CE">
            <w:pPr>
              <w:rPr>
                <w:rFonts w:ascii="Times New Roman" w:hAnsi="Times New Roman" w:cs="Times New Roman"/>
                <w:sz w:val="24"/>
                <w:szCs w:val="24"/>
              </w:rPr>
            </w:pPr>
          </w:p>
          <w:p w14:paraId="2CDBE3B3" w14:textId="5E88C29A" w:rsidR="004902CE" w:rsidRPr="004902CE" w:rsidRDefault="004902CE" w:rsidP="004902CE">
            <w:pPr>
              <w:rPr>
                <w:rFonts w:ascii="Times New Roman" w:hAnsi="Times New Roman" w:cs="Times New Roman"/>
                <w:sz w:val="24"/>
                <w:szCs w:val="24"/>
              </w:rPr>
            </w:pPr>
            <w:r w:rsidRPr="004902CE">
              <w:rPr>
                <w:rFonts w:ascii="Times New Roman" w:hAnsi="Times New Roman" w:cs="Times New Roman"/>
                <w:sz w:val="24"/>
                <w:szCs w:val="24"/>
              </w:rPr>
              <w:t>Word Count 5</w:t>
            </w:r>
            <w:r w:rsidR="00EE3ECC">
              <w:rPr>
                <w:rFonts w:ascii="Times New Roman" w:hAnsi="Times New Roman" w:cs="Times New Roman"/>
                <w:sz w:val="24"/>
                <w:szCs w:val="24"/>
              </w:rPr>
              <w:t>28</w:t>
            </w: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49DEEDE5" w14:textId="73B99C42" w:rsidR="00C83E99" w:rsidRPr="00C83E99" w:rsidRDefault="00C83E99" w:rsidP="00C83E99">
            <w:pPr>
              <w:rPr>
                <w:rFonts w:ascii="Times New Roman" w:hAnsi="Times New Roman" w:cs="Times New Roman"/>
                <w:sz w:val="24"/>
                <w:szCs w:val="24"/>
              </w:rPr>
            </w:pPr>
            <w:r w:rsidRPr="00C83E99">
              <w:rPr>
                <w:rFonts w:ascii="Times New Roman" w:hAnsi="Times New Roman" w:cs="Times New Roman"/>
                <w:sz w:val="24"/>
                <w:szCs w:val="24"/>
              </w:rPr>
              <w:t xml:space="preserve">The main differences between safeguarding for adults and children in England and Wales come from the laws, principles, and ways each group is protected. For children, the Children Act 1989 and 2004 require local authorities and partners to promote children’s welfare and protect them from harm. In Wales, the Social Services and Well-being (Wales) Act 2014 also provides specific guidance on safeguarding children. For adults, England uses the Care Act 2014, which makes adult safeguarding a legal duty. In Wales, the same 2014 </w:t>
            </w:r>
            <w:proofErr w:type="gramStart"/>
            <w:r w:rsidRPr="00C83E99">
              <w:rPr>
                <w:rFonts w:ascii="Times New Roman" w:hAnsi="Times New Roman" w:cs="Times New Roman"/>
                <w:sz w:val="24"/>
                <w:szCs w:val="24"/>
              </w:rPr>
              <w:t>Act</w:t>
            </w:r>
            <w:r>
              <w:rPr>
                <w:sz w:val="24"/>
                <w:szCs w:val="24"/>
              </w:rPr>
              <w:t xml:space="preserve"> </w:t>
            </w:r>
            <w:r w:rsidRPr="00F87A00">
              <w:rPr>
                <w:rFonts w:ascii="Times New Roman" w:hAnsi="Times New Roman" w:cs="Times New Roman"/>
              </w:rPr>
              <w:t xml:space="preserve"> </w:t>
            </w:r>
            <w:r w:rsidRPr="00C83E99">
              <w:rPr>
                <w:rFonts w:ascii="Times New Roman" w:hAnsi="Times New Roman" w:cs="Times New Roman"/>
                <w:sz w:val="24"/>
                <w:szCs w:val="24"/>
              </w:rPr>
              <w:t>covers</w:t>
            </w:r>
            <w:proofErr w:type="gramEnd"/>
            <w:r w:rsidRPr="00C83E99">
              <w:rPr>
                <w:rFonts w:ascii="Times New Roman" w:hAnsi="Times New Roman" w:cs="Times New Roman"/>
                <w:sz w:val="24"/>
                <w:szCs w:val="24"/>
              </w:rPr>
              <w:t xml:space="preserve"> adult safeguarding, but with different rules than those for children.</w:t>
            </w:r>
          </w:p>
          <w:p w14:paraId="085936D9" w14:textId="77777777" w:rsidR="00C83E99" w:rsidRPr="00C83E99" w:rsidRDefault="00C83E99" w:rsidP="00C83E99">
            <w:pPr>
              <w:rPr>
                <w:rFonts w:ascii="Times New Roman" w:hAnsi="Times New Roman" w:cs="Times New Roman"/>
                <w:sz w:val="24"/>
                <w:szCs w:val="24"/>
              </w:rPr>
            </w:pPr>
          </w:p>
          <w:p w14:paraId="6199CF56" w14:textId="77777777" w:rsidR="00C83E99" w:rsidRPr="00C83E99" w:rsidRDefault="00C83E99" w:rsidP="00C83E99">
            <w:pPr>
              <w:rPr>
                <w:rFonts w:ascii="Times New Roman" w:hAnsi="Times New Roman" w:cs="Times New Roman"/>
                <w:sz w:val="24"/>
                <w:szCs w:val="24"/>
              </w:rPr>
            </w:pPr>
            <w:r w:rsidRPr="00C83E99">
              <w:rPr>
                <w:rFonts w:ascii="Times New Roman" w:hAnsi="Times New Roman" w:cs="Times New Roman"/>
                <w:sz w:val="24"/>
                <w:szCs w:val="24"/>
              </w:rPr>
              <w:t>Safeguarding for children means protecting them from abuse, preventing harm to their health or development, making sure they get safe care, and helping them achieve the best possible outcomes (Edwards, E and Best, S, 2020). For adults, safeguarding is for people at risk of abuse or neglect because they need care and support. It focuses on protecting their rights, supporting their wellbeing, and helping them make their own choices.</w:t>
            </w:r>
          </w:p>
          <w:p w14:paraId="64B41265" w14:textId="77777777" w:rsidR="00C83E99" w:rsidRPr="00C83E99" w:rsidRDefault="00C83E99" w:rsidP="00C83E99">
            <w:pPr>
              <w:rPr>
                <w:rFonts w:ascii="Times New Roman" w:hAnsi="Times New Roman" w:cs="Times New Roman"/>
                <w:sz w:val="24"/>
                <w:szCs w:val="24"/>
              </w:rPr>
            </w:pPr>
          </w:p>
          <w:p w14:paraId="6B32AC11" w14:textId="77777777" w:rsidR="00C83E99" w:rsidRPr="00C83E99" w:rsidRDefault="00C83E99" w:rsidP="00C83E99">
            <w:pPr>
              <w:rPr>
                <w:rFonts w:ascii="Times New Roman" w:hAnsi="Times New Roman" w:cs="Times New Roman"/>
                <w:sz w:val="24"/>
                <w:szCs w:val="24"/>
              </w:rPr>
            </w:pPr>
            <w:r w:rsidRPr="00C83E99">
              <w:rPr>
                <w:rFonts w:ascii="Times New Roman" w:hAnsi="Times New Roman" w:cs="Times New Roman"/>
                <w:sz w:val="24"/>
                <w:szCs w:val="24"/>
              </w:rPr>
              <w:t>Children’s safeguarding is based on the idea that the child’s welfare comes first. Decisions are usually made in the child’s best interests, often with input from parents or guardians. For adults, safeguarding focuses on respecting their independence and choices. Adults can make their own decisions, even if others think they are unwise, providing they have the capacity to decide and are not putting others at risk.</w:t>
            </w:r>
          </w:p>
          <w:p w14:paraId="1200004A" w14:textId="77777777" w:rsidR="00C83E99" w:rsidRPr="00C83E99" w:rsidRDefault="00C83E99" w:rsidP="00C83E99">
            <w:pPr>
              <w:rPr>
                <w:rFonts w:ascii="Times New Roman" w:hAnsi="Times New Roman" w:cs="Times New Roman"/>
                <w:sz w:val="24"/>
                <w:szCs w:val="24"/>
              </w:rPr>
            </w:pPr>
          </w:p>
          <w:p w14:paraId="2517D0F4" w14:textId="77777777" w:rsidR="00C83E99" w:rsidRPr="00C83E99" w:rsidRDefault="00C83E99" w:rsidP="00C83E99">
            <w:pPr>
              <w:rPr>
                <w:rFonts w:ascii="Times New Roman" w:hAnsi="Times New Roman" w:cs="Times New Roman"/>
                <w:sz w:val="24"/>
                <w:szCs w:val="24"/>
              </w:rPr>
            </w:pPr>
            <w:r w:rsidRPr="00C83E99">
              <w:rPr>
                <w:rFonts w:ascii="Times New Roman" w:hAnsi="Times New Roman" w:cs="Times New Roman"/>
                <w:sz w:val="24"/>
                <w:szCs w:val="24"/>
              </w:rPr>
              <w:t>Child safeguarding is based on the idea of 'significant harm' and uses set processes like Child Protection Conferences and Serious Case Reviews, now called Child Safeguarding Practice Reviews in England. Adult safeguarding is for adults who need care and support and are at risk of abuse or neglect. In England, Section 42 of the Care Act 2014 requires safeguarding enquiries, and in Wales, Section 126 of the Social Services and Well-being (Wales) Act has similar requirements.</w:t>
            </w:r>
          </w:p>
          <w:p w14:paraId="1DB7F1B7" w14:textId="77777777" w:rsidR="00C83E99" w:rsidRPr="00C83E99" w:rsidRDefault="00C83E99" w:rsidP="00C83E99">
            <w:pPr>
              <w:rPr>
                <w:rFonts w:ascii="Times New Roman" w:hAnsi="Times New Roman" w:cs="Times New Roman"/>
                <w:sz w:val="24"/>
                <w:szCs w:val="24"/>
              </w:rPr>
            </w:pPr>
          </w:p>
          <w:p w14:paraId="34C0C17D" w14:textId="77777777" w:rsidR="00C83E99" w:rsidRPr="00C83E99" w:rsidRDefault="00C83E99" w:rsidP="00C83E99">
            <w:pPr>
              <w:rPr>
                <w:rFonts w:ascii="Times New Roman" w:hAnsi="Times New Roman" w:cs="Times New Roman"/>
                <w:sz w:val="24"/>
                <w:szCs w:val="24"/>
              </w:rPr>
            </w:pPr>
            <w:r w:rsidRPr="00C83E99">
              <w:rPr>
                <w:rFonts w:ascii="Times New Roman" w:hAnsi="Times New Roman" w:cs="Times New Roman"/>
                <w:sz w:val="24"/>
                <w:szCs w:val="24"/>
              </w:rPr>
              <w:t>Children’s and adults’ safeguarding require different agencies to work together, but different boards lead them. For children, Local Safeguarding Children Boards (now Safeguarding Partnerships in England) are responsible, while Safeguarding Adults Boards oversee adults. In short, England and Wales share basic safeguarding principles, but they protect adults and children differently for legal, ethical, and practical reasons.</w:t>
            </w:r>
          </w:p>
          <w:p w14:paraId="61CBA13D" w14:textId="77777777" w:rsidR="00C83E99" w:rsidRPr="00C83E99" w:rsidRDefault="00C83E99" w:rsidP="00C83E99">
            <w:pPr>
              <w:rPr>
                <w:rFonts w:ascii="Times New Roman" w:hAnsi="Times New Roman" w:cs="Times New Roman"/>
                <w:sz w:val="24"/>
                <w:szCs w:val="24"/>
              </w:rPr>
            </w:pPr>
          </w:p>
          <w:p w14:paraId="5BF59047" w14:textId="77777777" w:rsidR="00C83E99" w:rsidRPr="00C83E99" w:rsidRDefault="00C83E99" w:rsidP="00C83E99">
            <w:pPr>
              <w:rPr>
                <w:rFonts w:ascii="Times New Roman" w:hAnsi="Times New Roman" w:cs="Times New Roman"/>
                <w:sz w:val="24"/>
                <w:szCs w:val="24"/>
              </w:rPr>
            </w:pPr>
            <w:r w:rsidRPr="00C83E99">
              <w:rPr>
                <w:rFonts w:ascii="Times New Roman" w:hAnsi="Times New Roman" w:cs="Times New Roman"/>
                <w:sz w:val="24"/>
                <w:szCs w:val="24"/>
              </w:rPr>
              <w:t>Word count 362</w:t>
            </w:r>
          </w:p>
          <w:p w14:paraId="76ACDBF1" w14:textId="77777777" w:rsidR="00C83E99" w:rsidRPr="00C83E99" w:rsidRDefault="00C83E99" w:rsidP="00C83E99">
            <w:pPr>
              <w:rPr>
                <w:sz w:val="24"/>
                <w:szCs w:val="24"/>
              </w:rPr>
            </w:pPr>
          </w:p>
          <w:p w14:paraId="795C6051" w14:textId="607E98D2"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p w14:paraId="2AEEFB05" w14:textId="77777777" w:rsidR="00EB75D3" w:rsidRDefault="00EB75D3" w:rsidP="00FC0334">
      <w:pPr>
        <w:rPr>
          <w:sz w:val="24"/>
          <w:szCs w:val="24"/>
        </w:rPr>
      </w:pPr>
    </w:p>
    <w:p w14:paraId="598E76F1" w14:textId="77777777" w:rsidR="00EB75D3" w:rsidRDefault="00EB75D3" w:rsidP="00FC0334">
      <w:pPr>
        <w:rPr>
          <w:sz w:val="24"/>
          <w:szCs w:val="24"/>
        </w:rPr>
      </w:pPr>
    </w:p>
    <w:p w14:paraId="48DB8B40" w14:textId="77777777" w:rsidR="00EB75D3" w:rsidRDefault="00EB75D3" w:rsidP="00FC0334">
      <w:pPr>
        <w:rPr>
          <w:sz w:val="24"/>
          <w:szCs w:val="24"/>
        </w:rPr>
      </w:pPr>
    </w:p>
    <w:p w14:paraId="45419C6F" w14:textId="77777777" w:rsidR="00EB75D3" w:rsidRDefault="00EB75D3" w:rsidP="00FC0334">
      <w:pPr>
        <w:rPr>
          <w:sz w:val="24"/>
          <w:szCs w:val="24"/>
        </w:rPr>
      </w:pPr>
    </w:p>
    <w:p w14:paraId="09B586E0" w14:textId="77777777" w:rsidR="00EB75D3" w:rsidRDefault="00EB75D3" w:rsidP="00FC0334">
      <w:pPr>
        <w:rPr>
          <w:sz w:val="24"/>
          <w:szCs w:val="24"/>
        </w:rPr>
      </w:pPr>
    </w:p>
    <w:p w14:paraId="743B2CE1" w14:textId="77777777" w:rsidR="00EB75D3" w:rsidRDefault="00EB75D3" w:rsidP="00FC0334">
      <w:pPr>
        <w:rPr>
          <w:sz w:val="24"/>
          <w:szCs w:val="24"/>
        </w:rPr>
      </w:pPr>
    </w:p>
    <w:p w14:paraId="2CC58E8C" w14:textId="77777777" w:rsidR="00EB75D3" w:rsidRDefault="00EB75D3" w:rsidP="00FC0334">
      <w:pPr>
        <w:rPr>
          <w:sz w:val="24"/>
          <w:szCs w:val="24"/>
        </w:rPr>
      </w:pPr>
    </w:p>
    <w:p w14:paraId="6C38A517" w14:textId="77777777" w:rsidR="00EB75D3" w:rsidRDefault="00EB75D3" w:rsidP="00FC0334">
      <w:pPr>
        <w:rPr>
          <w:sz w:val="24"/>
          <w:szCs w:val="24"/>
        </w:rPr>
      </w:pPr>
    </w:p>
    <w:p w14:paraId="41E88999" w14:textId="77777777" w:rsidR="00EB75D3" w:rsidRDefault="00EB75D3" w:rsidP="00FC0334">
      <w:pPr>
        <w:rPr>
          <w:sz w:val="24"/>
          <w:szCs w:val="24"/>
        </w:rPr>
      </w:pPr>
    </w:p>
    <w:p w14:paraId="67E3997C" w14:textId="77777777" w:rsidR="00EB75D3" w:rsidRDefault="00EB75D3" w:rsidP="00FC0334">
      <w:pPr>
        <w:rPr>
          <w:sz w:val="24"/>
          <w:szCs w:val="24"/>
        </w:rPr>
      </w:pPr>
    </w:p>
    <w:p w14:paraId="64C61CE5" w14:textId="77777777" w:rsidR="00EB75D3" w:rsidRDefault="00EB75D3" w:rsidP="00FC0334">
      <w:pPr>
        <w:rPr>
          <w:sz w:val="24"/>
          <w:szCs w:val="24"/>
        </w:rPr>
      </w:pPr>
    </w:p>
    <w:p w14:paraId="471482AA" w14:textId="77777777" w:rsidR="00EB75D3" w:rsidRDefault="00EB75D3" w:rsidP="00FC0334">
      <w:pPr>
        <w:rPr>
          <w:sz w:val="24"/>
          <w:szCs w:val="24"/>
        </w:rPr>
      </w:pPr>
    </w:p>
    <w:p w14:paraId="28FDE700" w14:textId="77777777" w:rsidR="00EB75D3" w:rsidRDefault="00EB75D3" w:rsidP="00FC0334">
      <w:pPr>
        <w:rPr>
          <w:sz w:val="24"/>
          <w:szCs w:val="24"/>
        </w:rPr>
      </w:pPr>
    </w:p>
    <w:p w14:paraId="2DF16D07" w14:textId="77777777" w:rsidR="00EB75D3" w:rsidRPr="00B5633B" w:rsidRDefault="00EB75D3" w:rsidP="00EB75D3">
      <w:pPr>
        <w:rPr>
          <w:color w:val="EE0000"/>
        </w:rPr>
      </w:pPr>
    </w:p>
    <w:p w14:paraId="506F6922" w14:textId="77777777" w:rsidR="00EB75D3" w:rsidRDefault="00EB75D3" w:rsidP="00FC0334">
      <w:pPr>
        <w:rPr>
          <w:sz w:val="24"/>
          <w:szCs w:val="24"/>
        </w:rPr>
      </w:pPr>
    </w:p>
    <w:sectPr w:rsidR="00EB75D3"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CFF26" w14:textId="77777777" w:rsidR="00A612C2" w:rsidRDefault="00A612C2">
      <w:r>
        <w:separator/>
      </w:r>
    </w:p>
  </w:endnote>
  <w:endnote w:type="continuationSeparator" w:id="0">
    <w:p w14:paraId="22D73D7A" w14:textId="77777777" w:rsidR="00A612C2" w:rsidRDefault="00A61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18376" w14:textId="77777777" w:rsidR="00A612C2" w:rsidRDefault="00A612C2">
      <w:r>
        <w:separator/>
      </w:r>
    </w:p>
  </w:footnote>
  <w:footnote w:type="continuationSeparator" w:id="0">
    <w:p w14:paraId="695AE073" w14:textId="77777777" w:rsidR="00A612C2" w:rsidRDefault="00A61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2DDE"/>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05A5"/>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17B21"/>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02CE"/>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E7D7C"/>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54EC"/>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12C2"/>
    <w:rsid w:val="00A652F6"/>
    <w:rsid w:val="00A65861"/>
    <w:rsid w:val="00A66370"/>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6C1D"/>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3E99"/>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750A"/>
    <w:rsid w:val="00DC1B10"/>
    <w:rsid w:val="00DC2924"/>
    <w:rsid w:val="00DC4729"/>
    <w:rsid w:val="00DD31C5"/>
    <w:rsid w:val="00DD5020"/>
    <w:rsid w:val="00DD63BE"/>
    <w:rsid w:val="00DE4296"/>
    <w:rsid w:val="00DF2469"/>
    <w:rsid w:val="00DF7899"/>
    <w:rsid w:val="00E0524C"/>
    <w:rsid w:val="00E15751"/>
    <w:rsid w:val="00E17160"/>
    <w:rsid w:val="00E17D41"/>
    <w:rsid w:val="00E2137B"/>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B75D3"/>
    <w:rsid w:val="00EC3A85"/>
    <w:rsid w:val="00EC4B89"/>
    <w:rsid w:val="00EC59A5"/>
    <w:rsid w:val="00EC6E15"/>
    <w:rsid w:val="00ED1B30"/>
    <w:rsid w:val="00ED5D03"/>
    <w:rsid w:val="00EE01ED"/>
    <w:rsid w:val="00EE1AC1"/>
    <w:rsid w:val="00EE39D6"/>
    <w:rsid w:val="00EE3ECC"/>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0BA"/>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1076</Words>
  <Characters>6134</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Rachel Cannon</cp:lastModifiedBy>
  <cp:revision>2</cp:revision>
  <cp:lastPrinted>2020-02-11T19:20:00Z</cp:lastPrinted>
  <dcterms:created xsi:type="dcterms:W3CDTF">2026-10-07T07:54:00Z</dcterms:created>
  <dcterms:modified xsi:type="dcterms:W3CDTF">2026-10-07T07:54:00Z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30b4e481cf8a1b169ac0f0b60fe21887bf4e527b36dcf2a76067cdf45241537a</vt:lpwstr>
  </property>
</Properties>
</file>