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87E35D" w14:textId="77777777" w:rsidR="00692D21" w:rsidRDefault="00692D21">
      <w:pPr>
        <w:rPr>
          <w:b/>
          <w:bCs/>
          <w:sz w:val="32"/>
          <w:szCs w:val="32"/>
        </w:rPr>
      </w:pPr>
    </w:p>
    <w:p w14:paraId="182A177E" w14:textId="77777777" w:rsidR="00692D21" w:rsidRDefault="002D0AC0">
      <w:pPr>
        <w:jc w:val="center"/>
        <w:rPr>
          <w:b/>
          <w:bCs/>
          <w:sz w:val="32"/>
          <w:szCs w:val="32"/>
        </w:rPr>
      </w:pPr>
      <w:r>
        <w:rPr>
          <w:rFonts w:ascii="Arial" w:hAnsi="Arial"/>
          <w:noProof/>
          <w:sz w:val="22"/>
        </w:rPr>
        <w:drawing>
          <wp:inline distT="0" distB="0" distL="0" distR="0" wp14:anchorId="75D372A1" wp14:editId="4BE18BF7">
            <wp:extent cx="2886075" cy="1133475"/>
            <wp:effectExtent l="0" t="0" r="9525" b="9525"/>
            <wp:docPr id="669414241" name="Picture 669414241"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414241" name="Picture 669414241" descr="A white sign with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886075" cy="1133475"/>
                    </a:xfrm>
                    <a:prstGeom prst="rect">
                      <a:avLst/>
                    </a:prstGeom>
                    <a:noFill/>
                    <a:ln>
                      <a:noFill/>
                    </a:ln>
                  </pic:spPr>
                </pic:pic>
              </a:graphicData>
            </a:graphic>
          </wp:inline>
        </w:drawing>
      </w:r>
    </w:p>
    <w:p w14:paraId="21D3F2CD" w14:textId="77777777" w:rsidR="00692D21" w:rsidRDefault="00692D21">
      <w:pPr>
        <w:jc w:val="center"/>
        <w:rPr>
          <w:b/>
          <w:bCs/>
          <w:sz w:val="32"/>
          <w:szCs w:val="32"/>
        </w:rPr>
      </w:pPr>
    </w:p>
    <w:p w14:paraId="5B165486" w14:textId="77777777" w:rsidR="00692D21" w:rsidRDefault="002D0AC0">
      <w:pPr>
        <w:jc w:val="center"/>
        <w:rPr>
          <w:rFonts w:ascii="Sitka Heading Semibold" w:hAnsi="Sitka Heading Semibold" w:cs="Sitka Heading Semibold"/>
        </w:rPr>
      </w:pPr>
      <w:r>
        <w:rPr>
          <w:rFonts w:ascii="Sitka Heading Semibold" w:hAnsi="Sitka Heading Semibold" w:cs="Sitka Heading Semibold"/>
        </w:rPr>
        <w:t>Module Code-BMMB7005D</w:t>
      </w:r>
    </w:p>
    <w:p w14:paraId="02B57F69" w14:textId="77777777" w:rsidR="00692D21" w:rsidRDefault="002D0AC0">
      <w:pPr>
        <w:jc w:val="center"/>
        <w:rPr>
          <w:rFonts w:ascii="Sitka Heading Semibold" w:hAnsi="Sitka Heading Semibold" w:cs="Sitka Heading Semibold"/>
        </w:rPr>
      </w:pPr>
      <w:r>
        <w:rPr>
          <w:rFonts w:ascii="Sitka Heading Semibold" w:hAnsi="Sitka Heading Semibold" w:cs="Sitka Heading Semibold"/>
        </w:rPr>
        <w:t xml:space="preserve">Module Name- Finance For Business Manager </w:t>
      </w:r>
    </w:p>
    <w:p w14:paraId="07E593BF" w14:textId="77777777" w:rsidR="00692D21" w:rsidRDefault="002D0AC0">
      <w:pPr>
        <w:jc w:val="center"/>
        <w:rPr>
          <w:rFonts w:ascii="Sitka Heading Semibold" w:hAnsi="Sitka Heading Semibold" w:cs="Sitka Heading Semibold"/>
        </w:rPr>
      </w:pPr>
      <w:r>
        <w:rPr>
          <w:rFonts w:ascii="Sitka Heading Semibold" w:hAnsi="Sitka Heading Semibold" w:cs="Sitka Heading Semibold"/>
        </w:rPr>
        <w:t xml:space="preserve">Month and Year - January </w:t>
      </w:r>
    </w:p>
    <w:p w14:paraId="0D61CD80" w14:textId="77777777" w:rsidR="00692D21" w:rsidRDefault="002D0AC0">
      <w:pPr>
        <w:jc w:val="center"/>
        <w:rPr>
          <w:rFonts w:ascii="Sitka Heading Semibold" w:hAnsi="Sitka Heading Semibold" w:cs="Sitka Heading Semibold"/>
        </w:rPr>
      </w:pPr>
      <w:r>
        <w:rPr>
          <w:rFonts w:ascii="Sitka Heading Semibold" w:hAnsi="Sitka Heading Semibold" w:cs="Sitka Heading Semibold"/>
        </w:rPr>
        <w:t xml:space="preserve">Student Name -Md Masud Rana </w:t>
      </w:r>
    </w:p>
    <w:p w14:paraId="7C155A10" w14:textId="77777777" w:rsidR="00692D21" w:rsidRDefault="002D0AC0">
      <w:pPr>
        <w:jc w:val="center"/>
        <w:rPr>
          <w:sz w:val="32"/>
          <w:szCs w:val="32"/>
        </w:rPr>
      </w:pPr>
      <w:r>
        <w:rPr>
          <w:rFonts w:ascii="Sitka Heading Semibold" w:hAnsi="Sitka Heading Semibold" w:cs="Sitka Heading Semibold"/>
        </w:rPr>
        <w:t>Student ID-2507015</w:t>
      </w:r>
      <w:r>
        <w:br w:type="page"/>
      </w:r>
    </w:p>
    <w:p w14:paraId="5A2D2011" w14:textId="77777777" w:rsidR="00692D21" w:rsidRDefault="002D0AC0">
      <w:pPr>
        <w:rPr>
          <w:b/>
          <w:bCs/>
          <w:sz w:val="28"/>
          <w:szCs w:val="28"/>
        </w:rPr>
      </w:pPr>
      <w:r>
        <w:rPr>
          <w:b/>
          <w:bCs/>
          <w:sz w:val="28"/>
          <w:szCs w:val="28"/>
        </w:rPr>
        <w:lastRenderedPageBreak/>
        <w:t>Executive Summary</w:t>
      </w:r>
    </w:p>
    <w:p w14:paraId="10342530" w14:textId="77777777" w:rsidR="00692D21" w:rsidRDefault="002D0AC0">
      <w:r>
        <w:t>This report analyses the financial performance and investment decision-making of Shell plc under extensive ratio analysis and fundamental capital investment appraisal methods. Part A involved measuring Shell on a financial basis in terms of profitability, liquidity, efficiency levels, gearing, returns, and investor ratios of a 2-year reporting period (2022-24). The analysis revealed earnings normalisation after the extraordinary market conditions, as can be seen in the loss in profits and ratios of returns,</w:t>
      </w:r>
      <w:r>
        <w:t xml:space="preserve"> and the liquidity and gearing ratios indicated that balance sheets were still stable. Efficiency measures indicated consistent working capital management, and the long cycles of receivables and inventory slightly limited the performance. Comprehensively, Part A has found that Shell is financially sound, strategically disciplined, and in a good position to create long-term value in spite of subdued short-term returns.</w:t>
      </w:r>
    </w:p>
    <w:p w14:paraId="3B836353" w14:textId="77777777" w:rsidR="00692D21" w:rsidRDefault="002D0AC0">
      <w:r>
        <w:t>Part B implemented the techniques of the discounted cash flow to assess three planned investment projects with a discount rate of six per cent. Project C was found to be the most value-added alternative by the Net Present Value analysis, increasing the shareholder wealth by the most considerable absolute value. The supporting information on efficiency and liquidity recovery was presented through the use of Internal Rate of Return and non-discounting techniques, such as payback and profitability index, which</w:t>
      </w:r>
      <w:r>
        <w:t xml:space="preserve"> yield inconsistent rankings because of the variance in the scale and timing of the project. The Net Present Value was highlighted as the central method of decision making in the analysis through the arguments of qualitative factors and the capital rationing arguments. The report has concluded that Project C, which has no constraints in capital, with funding majorly being through retained earnings, with a reasonable amount of debt use, should be chosen. All the findings put in place suggest that disciplined</w:t>
      </w:r>
      <w:r>
        <w:t xml:space="preserve"> capital allocation is in favour of shareholders' wealth maximisation and long-run financial sustainability.</w:t>
      </w:r>
    </w:p>
    <w:p w14:paraId="3A864C88" w14:textId="77777777" w:rsidR="00692D21" w:rsidRDefault="002D0AC0">
      <w:r>
        <w:br w:type="page"/>
      </w:r>
    </w:p>
    <w:sdt>
      <w:sdtPr>
        <w:rPr>
          <w:rFonts w:ascii="Times New Roman" w:eastAsia="Times New Roman" w:hAnsi="Times New Roman" w:cs="Times New Roman"/>
          <w:color w:val="auto"/>
          <w:sz w:val="24"/>
          <w:szCs w:val="24"/>
          <w:lang w:val="en-GB" w:eastAsia="en-IN"/>
        </w:rPr>
        <w:id w:val="1062294761"/>
        <w:docPartObj>
          <w:docPartGallery w:val="Table of Contents"/>
          <w:docPartUnique/>
        </w:docPartObj>
      </w:sdtPr>
      <w:sdtEndPr>
        <w:rPr>
          <w:b/>
          <w:bCs/>
        </w:rPr>
      </w:sdtEndPr>
      <w:sdtContent>
        <w:p w14:paraId="4D32CE07" w14:textId="77777777" w:rsidR="00692D21" w:rsidRDefault="002D0AC0">
          <w:pPr>
            <w:pStyle w:val="TOCHeading1"/>
            <w:jc w:val="cente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Table of Content</w:t>
          </w:r>
        </w:p>
        <w:p w14:paraId="3116CD78" w14:textId="77777777" w:rsidR="00692D21" w:rsidRDefault="002D0AC0">
          <w:pPr>
            <w:pStyle w:val="TOC1"/>
            <w:tabs>
              <w:tab w:val="right" w:leader="dot" w:pos="9019"/>
            </w:tabs>
          </w:pPr>
          <w:r>
            <w:fldChar w:fldCharType="begin"/>
          </w:r>
          <w:r>
            <w:instrText xml:space="preserve"> TOC \o "1-3" \h \z \u </w:instrText>
          </w:r>
          <w:r>
            <w:fldChar w:fldCharType="separate"/>
          </w:r>
          <w:hyperlink w:anchor="_Toc219123418" w:history="1">
            <w:r>
              <w:rPr>
                <w:rStyle w:val="Hyperlink"/>
              </w:rPr>
              <w:t>Part 1: Financial Performance Analysis (Shell Plc)</w:t>
            </w:r>
            <w:r>
              <w:tab/>
            </w:r>
            <w:r>
              <w:fldChar w:fldCharType="begin"/>
            </w:r>
            <w:r>
              <w:instrText xml:space="preserve"> PAGEREF _Toc219123418 \h </w:instrText>
            </w:r>
            <w:r>
              <w:fldChar w:fldCharType="separate"/>
            </w:r>
            <w:r>
              <w:t>3</w:t>
            </w:r>
            <w:r>
              <w:fldChar w:fldCharType="end"/>
            </w:r>
          </w:hyperlink>
        </w:p>
        <w:p w14:paraId="52D52FC9" w14:textId="77777777" w:rsidR="00692D21" w:rsidRDefault="002D0AC0">
          <w:pPr>
            <w:pStyle w:val="TOC2"/>
            <w:tabs>
              <w:tab w:val="right" w:leader="dot" w:pos="9019"/>
            </w:tabs>
          </w:pPr>
          <w:hyperlink w:anchor="_Toc219123419" w:history="1">
            <w:r>
              <w:rPr>
                <w:rStyle w:val="Hyperlink"/>
              </w:rPr>
              <w:t>Introduction</w:t>
            </w:r>
            <w:r>
              <w:tab/>
            </w:r>
            <w:r>
              <w:fldChar w:fldCharType="begin"/>
            </w:r>
            <w:r>
              <w:instrText xml:space="preserve"> PAGEREF _Toc219123419 \h </w:instrText>
            </w:r>
            <w:r>
              <w:fldChar w:fldCharType="separate"/>
            </w:r>
            <w:r>
              <w:t>3</w:t>
            </w:r>
            <w:r>
              <w:fldChar w:fldCharType="end"/>
            </w:r>
          </w:hyperlink>
        </w:p>
        <w:p w14:paraId="57971EE4" w14:textId="77777777" w:rsidR="00692D21" w:rsidRDefault="002D0AC0">
          <w:pPr>
            <w:pStyle w:val="TOC2"/>
            <w:tabs>
              <w:tab w:val="right" w:leader="dot" w:pos="9019"/>
            </w:tabs>
          </w:pPr>
          <w:hyperlink w:anchor="_Toc219123420" w:history="1">
            <w:r>
              <w:rPr>
                <w:rStyle w:val="Hyperlink"/>
              </w:rPr>
              <w:t>Company Background</w:t>
            </w:r>
            <w:r>
              <w:tab/>
            </w:r>
            <w:r>
              <w:fldChar w:fldCharType="begin"/>
            </w:r>
            <w:r>
              <w:instrText xml:space="preserve"> PAGEREF _Toc219123420 \h </w:instrText>
            </w:r>
            <w:r>
              <w:fldChar w:fldCharType="separate"/>
            </w:r>
            <w:r>
              <w:t>3</w:t>
            </w:r>
            <w:r>
              <w:fldChar w:fldCharType="end"/>
            </w:r>
          </w:hyperlink>
        </w:p>
        <w:p w14:paraId="5B88E7BE" w14:textId="77777777" w:rsidR="00692D21" w:rsidRDefault="002D0AC0">
          <w:pPr>
            <w:pStyle w:val="TOC2"/>
            <w:tabs>
              <w:tab w:val="right" w:leader="dot" w:pos="9019"/>
            </w:tabs>
          </w:pPr>
          <w:hyperlink w:anchor="_Toc219123421" w:history="1">
            <w:r>
              <w:rPr>
                <w:rStyle w:val="Hyperlink"/>
              </w:rPr>
              <w:t>Ratio Analysis</w:t>
            </w:r>
            <w:r>
              <w:tab/>
            </w:r>
            <w:r>
              <w:fldChar w:fldCharType="begin"/>
            </w:r>
            <w:r>
              <w:instrText xml:space="preserve"> PAGEREF _Toc219123421 \h </w:instrText>
            </w:r>
            <w:r>
              <w:fldChar w:fldCharType="separate"/>
            </w:r>
            <w:r>
              <w:t>4</w:t>
            </w:r>
            <w:r>
              <w:fldChar w:fldCharType="end"/>
            </w:r>
          </w:hyperlink>
        </w:p>
        <w:p w14:paraId="2E2F58D7" w14:textId="77777777" w:rsidR="00692D21" w:rsidRDefault="002D0AC0">
          <w:pPr>
            <w:pStyle w:val="TOC3"/>
            <w:tabs>
              <w:tab w:val="right" w:leader="dot" w:pos="9019"/>
            </w:tabs>
          </w:pPr>
          <w:hyperlink w:anchor="_Toc219123422" w:history="1">
            <w:r>
              <w:rPr>
                <w:rStyle w:val="Hyperlink"/>
              </w:rPr>
              <w:t>Profitability Analysis</w:t>
            </w:r>
            <w:r>
              <w:tab/>
            </w:r>
            <w:r>
              <w:fldChar w:fldCharType="begin"/>
            </w:r>
            <w:r>
              <w:instrText xml:space="preserve"> PAGEREF _Toc219123422 \h </w:instrText>
            </w:r>
            <w:r>
              <w:fldChar w:fldCharType="separate"/>
            </w:r>
            <w:r>
              <w:t>4</w:t>
            </w:r>
            <w:r>
              <w:fldChar w:fldCharType="end"/>
            </w:r>
          </w:hyperlink>
        </w:p>
        <w:p w14:paraId="696FEA66" w14:textId="77777777" w:rsidR="00692D21" w:rsidRDefault="002D0AC0">
          <w:pPr>
            <w:pStyle w:val="TOC3"/>
            <w:tabs>
              <w:tab w:val="right" w:leader="dot" w:pos="9019"/>
            </w:tabs>
          </w:pPr>
          <w:hyperlink w:anchor="_Toc219123423" w:history="1">
            <w:r>
              <w:rPr>
                <w:rStyle w:val="Hyperlink"/>
              </w:rPr>
              <w:t>Liquidity Analysis</w:t>
            </w:r>
            <w:r>
              <w:tab/>
            </w:r>
            <w:r>
              <w:fldChar w:fldCharType="begin"/>
            </w:r>
            <w:r>
              <w:instrText xml:space="preserve"> PAGEREF _Toc219123423 \h </w:instrText>
            </w:r>
            <w:r>
              <w:fldChar w:fldCharType="separate"/>
            </w:r>
            <w:r>
              <w:t>6</w:t>
            </w:r>
            <w:r>
              <w:fldChar w:fldCharType="end"/>
            </w:r>
          </w:hyperlink>
        </w:p>
        <w:p w14:paraId="05803109" w14:textId="77777777" w:rsidR="00692D21" w:rsidRDefault="002D0AC0">
          <w:pPr>
            <w:pStyle w:val="TOC3"/>
            <w:tabs>
              <w:tab w:val="right" w:leader="dot" w:pos="9019"/>
            </w:tabs>
          </w:pPr>
          <w:hyperlink w:anchor="_Toc219123424" w:history="1">
            <w:r>
              <w:rPr>
                <w:rStyle w:val="Hyperlink"/>
              </w:rPr>
              <w:t>Efficiency Analysis</w:t>
            </w:r>
            <w:r>
              <w:tab/>
            </w:r>
            <w:r>
              <w:fldChar w:fldCharType="begin"/>
            </w:r>
            <w:r>
              <w:instrText xml:space="preserve"> PAGEREF _Toc219123424 \h </w:instrText>
            </w:r>
            <w:r>
              <w:fldChar w:fldCharType="separate"/>
            </w:r>
            <w:r>
              <w:t>7</w:t>
            </w:r>
            <w:r>
              <w:fldChar w:fldCharType="end"/>
            </w:r>
          </w:hyperlink>
        </w:p>
        <w:p w14:paraId="21E5E1EA" w14:textId="77777777" w:rsidR="00692D21" w:rsidRDefault="002D0AC0">
          <w:pPr>
            <w:pStyle w:val="TOC3"/>
            <w:tabs>
              <w:tab w:val="right" w:leader="dot" w:pos="9019"/>
            </w:tabs>
          </w:pPr>
          <w:hyperlink w:anchor="_Toc219123425" w:history="1">
            <w:r>
              <w:rPr>
                <w:rStyle w:val="Hyperlink"/>
              </w:rPr>
              <w:t>Gearing Analysis</w:t>
            </w:r>
            <w:r>
              <w:tab/>
            </w:r>
            <w:r>
              <w:fldChar w:fldCharType="begin"/>
            </w:r>
            <w:r>
              <w:instrText xml:space="preserve"> PAGEREF _Toc219123425 \h </w:instrText>
            </w:r>
            <w:r>
              <w:fldChar w:fldCharType="separate"/>
            </w:r>
            <w:r>
              <w:t>9</w:t>
            </w:r>
            <w:r>
              <w:fldChar w:fldCharType="end"/>
            </w:r>
          </w:hyperlink>
        </w:p>
        <w:p w14:paraId="0B1897F7" w14:textId="77777777" w:rsidR="00692D21" w:rsidRDefault="002D0AC0">
          <w:pPr>
            <w:pStyle w:val="TOC3"/>
            <w:tabs>
              <w:tab w:val="right" w:leader="dot" w:pos="9019"/>
            </w:tabs>
          </w:pPr>
          <w:hyperlink w:anchor="_Toc219123426" w:history="1">
            <w:r>
              <w:rPr>
                <w:rStyle w:val="Hyperlink"/>
              </w:rPr>
              <w:t>Return Ratio Analysis</w:t>
            </w:r>
            <w:r>
              <w:tab/>
            </w:r>
            <w:r>
              <w:fldChar w:fldCharType="begin"/>
            </w:r>
            <w:r>
              <w:instrText xml:space="preserve"> PAGEREF _Toc219123426 \h </w:instrText>
            </w:r>
            <w:r>
              <w:fldChar w:fldCharType="separate"/>
            </w:r>
            <w:r>
              <w:t>10</w:t>
            </w:r>
            <w:r>
              <w:fldChar w:fldCharType="end"/>
            </w:r>
          </w:hyperlink>
        </w:p>
        <w:p w14:paraId="498A9CEC" w14:textId="77777777" w:rsidR="00692D21" w:rsidRDefault="002D0AC0">
          <w:pPr>
            <w:pStyle w:val="TOC3"/>
            <w:tabs>
              <w:tab w:val="right" w:leader="dot" w:pos="9019"/>
            </w:tabs>
          </w:pPr>
          <w:hyperlink w:anchor="_Toc219123427" w:history="1">
            <w:r>
              <w:rPr>
                <w:rStyle w:val="Hyperlink"/>
              </w:rPr>
              <w:t>Investor Ratio Analysis</w:t>
            </w:r>
            <w:r>
              <w:tab/>
            </w:r>
            <w:r>
              <w:fldChar w:fldCharType="begin"/>
            </w:r>
            <w:r>
              <w:instrText xml:space="preserve"> PAGEREF _Toc219123427 \h </w:instrText>
            </w:r>
            <w:r>
              <w:fldChar w:fldCharType="separate"/>
            </w:r>
            <w:r>
              <w:t>11</w:t>
            </w:r>
            <w:r>
              <w:fldChar w:fldCharType="end"/>
            </w:r>
          </w:hyperlink>
        </w:p>
        <w:p w14:paraId="65B2DA6E" w14:textId="77777777" w:rsidR="00692D21" w:rsidRDefault="002D0AC0">
          <w:pPr>
            <w:pStyle w:val="TOC2"/>
            <w:tabs>
              <w:tab w:val="right" w:leader="dot" w:pos="9019"/>
            </w:tabs>
          </w:pPr>
          <w:hyperlink w:anchor="_Toc219123428" w:history="1">
            <w:r>
              <w:rPr>
                <w:rStyle w:val="Hyperlink"/>
              </w:rPr>
              <w:t>Inter-Linking Ratio Analysis</w:t>
            </w:r>
            <w:r>
              <w:tab/>
            </w:r>
            <w:r>
              <w:fldChar w:fldCharType="begin"/>
            </w:r>
            <w:r>
              <w:instrText xml:space="preserve"> PAGEREF _Toc219123428 \h </w:instrText>
            </w:r>
            <w:r>
              <w:fldChar w:fldCharType="separate"/>
            </w:r>
            <w:r>
              <w:t>13</w:t>
            </w:r>
            <w:r>
              <w:fldChar w:fldCharType="end"/>
            </w:r>
          </w:hyperlink>
        </w:p>
        <w:p w14:paraId="19729FDB" w14:textId="77777777" w:rsidR="00692D21" w:rsidRDefault="002D0AC0">
          <w:pPr>
            <w:pStyle w:val="TOC2"/>
            <w:tabs>
              <w:tab w:val="right" w:leader="dot" w:pos="9019"/>
            </w:tabs>
          </w:pPr>
          <w:hyperlink w:anchor="_Toc219123429" w:history="1">
            <w:r>
              <w:rPr>
                <w:rStyle w:val="Hyperlink"/>
              </w:rPr>
              <w:t>Limitations of the Ratio Analysis</w:t>
            </w:r>
            <w:r>
              <w:tab/>
            </w:r>
            <w:r>
              <w:fldChar w:fldCharType="begin"/>
            </w:r>
            <w:r>
              <w:instrText xml:space="preserve"> PAGEREF _Toc219123429 \h </w:instrText>
            </w:r>
            <w:r>
              <w:fldChar w:fldCharType="separate"/>
            </w:r>
            <w:r>
              <w:t>13</w:t>
            </w:r>
            <w:r>
              <w:fldChar w:fldCharType="end"/>
            </w:r>
          </w:hyperlink>
        </w:p>
        <w:p w14:paraId="5D6B4BA1" w14:textId="77777777" w:rsidR="00692D21" w:rsidRDefault="002D0AC0">
          <w:pPr>
            <w:pStyle w:val="TOC2"/>
            <w:tabs>
              <w:tab w:val="right" w:leader="dot" w:pos="9019"/>
            </w:tabs>
          </w:pPr>
          <w:hyperlink w:anchor="_Toc219123430" w:history="1">
            <w:r>
              <w:rPr>
                <w:rStyle w:val="Hyperlink"/>
              </w:rPr>
              <w:t>Recommendations</w:t>
            </w:r>
            <w:r>
              <w:tab/>
            </w:r>
            <w:r>
              <w:fldChar w:fldCharType="begin"/>
            </w:r>
            <w:r>
              <w:instrText xml:space="preserve"> PAGEREF _Toc219123430 \h </w:instrText>
            </w:r>
            <w:r>
              <w:fldChar w:fldCharType="separate"/>
            </w:r>
            <w:r>
              <w:t>14</w:t>
            </w:r>
            <w:r>
              <w:fldChar w:fldCharType="end"/>
            </w:r>
          </w:hyperlink>
        </w:p>
        <w:p w14:paraId="78414CBB" w14:textId="77777777" w:rsidR="00692D21" w:rsidRDefault="002D0AC0">
          <w:pPr>
            <w:pStyle w:val="TOC1"/>
            <w:tabs>
              <w:tab w:val="right" w:leader="dot" w:pos="9019"/>
            </w:tabs>
          </w:pPr>
          <w:hyperlink w:anchor="_Toc219123431" w:history="1">
            <w:r>
              <w:rPr>
                <w:rStyle w:val="Hyperlink"/>
              </w:rPr>
              <w:t>Part 2: Capital Investment Appraisal (Westward Plc)</w:t>
            </w:r>
            <w:r>
              <w:tab/>
            </w:r>
            <w:r>
              <w:fldChar w:fldCharType="begin"/>
            </w:r>
            <w:r>
              <w:instrText xml:space="preserve"> PAGEREF _Toc219123431 \h </w:instrText>
            </w:r>
            <w:r>
              <w:fldChar w:fldCharType="separate"/>
            </w:r>
            <w:r>
              <w:t>15</w:t>
            </w:r>
            <w:r>
              <w:fldChar w:fldCharType="end"/>
            </w:r>
          </w:hyperlink>
        </w:p>
        <w:p w14:paraId="7C299BB0" w14:textId="77777777" w:rsidR="00692D21" w:rsidRDefault="002D0AC0">
          <w:pPr>
            <w:pStyle w:val="TOC2"/>
            <w:tabs>
              <w:tab w:val="right" w:leader="dot" w:pos="9019"/>
            </w:tabs>
          </w:pPr>
          <w:hyperlink w:anchor="_Toc219123432" w:history="1">
            <w:r>
              <w:rPr>
                <w:rStyle w:val="Hyperlink"/>
              </w:rPr>
              <w:t>Introduction</w:t>
            </w:r>
            <w:r>
              <w:tab/>
            </w:r>
            <w:r>
              <w:fldChar w:fldCharType="begin"/>
            </w:r>
            <w:r>
              <w:instrText xml:space="preserve"> PAGEREF _Toc219123432 \h </w:instrText>
            </w:r>
            <w:r>
              <w:fldChar w:fldCharType="separate"/>
            </w:r>
            <w:r>
              <w:t>15</w:t>
            </w:r>
            <w:r>
              <w:fldChar w:fldCharType="end"/>
            </w:r>
          </w:hyperlink>
        </w:p>
        <w:p w14:paraId="6346B595" w14:textId="77777777" w:rsidR="00692D21" w:rsidRDefault="002D0AC0">
          <w:pPr>
            <w:pStyle w:val="TOC2"/>
            <w:tabs>
              <w:tab w:val="right" w:leader="dot" w:pos="9019"/>
            </w:tabs>
          </w:pPr>
          <w:hyperlink w:anchor="_Toc219123433" w:history="1">
            <w:r>
              <w:rPr>
                <w:rStyle w:val="Hyperlink"/>
              </w:rPr>
              <w:t>Project Overview</w:t>
            </w:r>
            <w:r>
              <w:tab/>
            </w:r>
            <w:r>
              <w:fldChar w:fldCharType="begin"/>
            </w:r>
            <w:r>
              <w:instrText xml:space="preserve"> PAGEREF _Toc219123433 \h </w:instrText>
            </w:r>
            <w:r>
              <w:fldChar w:fldCharType="separate"/>
            </w:r>
            <w:r>
              <w:t>15</w:t>
            </w:r>
            <w:r>
              <w:fldChar w:fldCharType="end"/>
            </w:r>
          </w:hyperlink>
        </w:p>
        <w:p w14:paraId="2AB0FEB4" w14:textId="77777777" w:rsidR="00692D21" w:rsidRDefault="002D0AC0">
          <w:pPr>
            <w:pStyle w:val="TOC2"/>
            <w:tabs>
              <w:tab w:val="right" w:leader="dot" w:pos="9019"/>
            </w:tabs>
          </w:pPr>
          <w:hyperlink w:anchor="_Toc219123434" w:history="1">
            <w:r>
              <w:rPr>
                <w:rStyle w:val="Hyperlink"/>
              </w:rPr>
              <w:t>Investment Appraisals Calculations and Workings</w:t>
            </w:r>
            <w:r>
              <w:tab/>
            </w:r>
            <w:r>
              <w:fldChar w:fldCharType="begin"/>
            </w:r>
            <w:r>
              <w:instrText xml:space="preserve"> PAGEREF _Toc219123434 \h </w:instrText>
            </w:r>
            <w:r>
              <w:fldChar w:fldCharType="separate"/>
            </w:r>
            <w:r>
              <w:t>16</w:t>
            </w:r>
            <w:r>
              <w:fldChar w:fldCharType="end"/>
            </w:r>
          </w:hyperlink>
        </w:p>
        <w:p w14:paraId="6328169B" w14:textId="77777777" w:rsidR="00692D21" w:rsidRDefault="002D0AC0">
          <w:pPr>
            <w:pStyle w:val="TOC2"/>
            <w:tabs>
              <w:tab w:val="right" w:leader="dot" w:pos="9019"/>
            </w:tabs>
          </w:pPr>
          <w:hyperlink w:anchor="_Toc219123435" w:history="1">
            <w:r>
              <w:rPr>
                <w:rStyle w:val="Hyperlink"/>
              </w:rPr>
              <w:t>NPV Evaluation</w:t>
            </w:r>
            <w:r>
              <w:tab/>
            </w:r>
            <w:r>
              <w:fldChar w:fldCharType="begin"/>
            </w:r>
            <w:r>
              <w:instrText xml:space="preserve"> PAGEREF _Toc219123435 \h </w:instrText>
            </w:r>
            <w:r>
              <w:fldChar w:fldCharType="separate"/>
            </w:r>
            <w:r>
              <w:t>17</w:t>
            </w:r>
            <w:r>
              <w:fldChar w:fldCharType="end"/>
            </w:r>
          </w:hyperlink>
        </w:p>
        <w:p w14:paraId="13F822A3" w14:textId="77777777" w:rsidR="00692D21" w:rsidRDefault="002D0AC0">
          <w:pPr>
            <w:pStyle w:val="TOC2"/>
            <w:tabs>
              <w:tab w:val="right" w:leader="dot" w:pos="9019"/>
            </w:tabs>
          </w:pPr>
          <w:hyperlink w:anchor="_Toc219123436" w:history="1">
            <w:r>
              <w:rPr>
                <w:rStyle w:val="Hyperlink"/>
              </w:rPr>
              <w:t>IRR Analysis</w:t>
            </w:r>
            <w:r>
              <w:tab/>
            </w:r>
            <w:r>
              <w:fldChar w:fldCharType="begin"/>
            </w:r>
            <w:r>
              <w:instrText xml:space="preserve"> PAGEREF _Toc219123436 \h </w:instrText>
            </w:r>
            <w:r>
              <w:fldChar w:fldCharType="separate"/>
            </w:r>
            <w:r>
              <w:t>17</w:t>
            </w:r>
            <w:r>
              <w:fldChar w:fldCharType="end"/>
            </w:r>
          </w:hyperlink>
        </w:p>
        <w:p w14:paraId="31557107" w14:textId="77777777" w:rsidR="00692D21" w:rsidRDefault="002D0AC0">
          <w:pPr>
            <w:pStyle w:val="TOC2"/>
            <w:tabs>
              <w:tab w:val="right" w:leader="dot" w:pos="9019"/>
            </w:tabs>
          </w:pPr>
          <w:hyperlink w:anchor="_Toc219123437" w:history="1">
            <w:r>
              <w:rPr>
                <w:rStyle w:val="Hyperlink"/>
              </w:rPr>
              <w:t>Interpretation of Results</w:t>
            </w:r>
            <w:r>
              <w:tab/>
            </w:r>
            <w:r>
              <w:fldChar w:fldCharType="begin"/>
            </w:r>
            <w:r>
              <w:instrText xml:space="preserve"> PAGEREF _Toc219123437 \h </w:instrText>
            </w:r>
            <w:r>
              <w:fldChar w:fldCharType="separate"/>
            </w:r>
            <w:r>
              <w:t>18</w:t>
            </w:r>
            <w:r>
              <w:fldChar w:fldCharType="end"/>
            </w:r>
          </w:hyperlink>
        </w:p>
        <w:p w14:paraId="35DDDAA8" w14:textId="77777777" w:rsidR="00692D21" w:rsidRDefault="002D0AC0">
          <w:pPr>
            <w:pStyle w:val="TOC2"/>
            <w:tabs>
              <w:tab w:val="right" w:leader="dot" w:pos="9019"/>
            </w:tabs>
          </w:pPr>
          <w:hyperlink w:anchor="_Toc219123438" w:history="1">
            <w:r>
              <w:rPr>
                <w:rStyle w:val="Hyperlink"/>
              </w:rPr>
              <w:t>Theoretical Justification</w:t>
            </w:r>
            <w:r>
              <w:tab/>
            </w:r>
            <w:r>
              <w:fldChar w:fldCharType="begin"/>
            </w:r>
            <w:r>
              <w:instrText xml:space="preserve"> PAGEREF _Toc219123438 \h </w:instrText>
            </w:r>
            <w:r>
              <w:fldChar w:fldCharType="separate"/>
            </w:r>
            <w:r>
              <w:t>18</w:t>
            </w:r>
            <w:r>
              <w:fldChar w:fldCharType="end"/>
            </w:r>
          </w:hyperlink>
        </w:p>
        <w:p w14:paraId="1B1A32F4" w14:textId="77777777" w:rsidR="00692D21" w:rsidRDefault="002D0AC0">
          <w:pPr>
            <w:pStyle w:val="TOC2"/>
            <w:tabs>
              <w:tab w:val="right" w:leader="dot" w:pos="9019"/>
            </w:tabs>
          </w:pPr>
          <w:hyperlink w:anchor="_Toc219123439" w:history="1">
            <w:r>
              <w:rPr>
                <w:rStyle w:val="Hyperlink"/>
              </w:rPr>
              <w:t>Non-Discounting Methods</w:t>
            </w:r>
            <w:r>
              <w:tab/>
            </w:r>
            <w:r>
              <w:fldChar w:fldCharType="begin"/>
            </w:r>
            <w:r>
              <w:instrText xml:space="preserve"> PAGEREF _Toc219123439 \h </w:instrText>
            </w:r>
            <w:r>
              <w:fldChar w:fldCharType="separate"/>
            </w:r>
            <w:r>
              <w:t>19</w:t>
            </w:r>
            <w:r>
              <w:fldChar w:fldCharType="end"/>
            </w:r>
          </w:hyperlink>
        </w:p>
        <w:p w14:paraId="57217EE6" w14:textId="77777777" w:rsidR="00692D21" w:rsidRDefault="002D0AC0">
          <w:pPr>
            <w:pStyle w:val="TOC2"/>
            <w:tabs>
              <w:tab w:val="right" w:leader="dot" w:pos="9019"/>
            </w:tabs>
          </w:pPr>
          <w:hyperlink w:anchor="_Toc219123440" w:history="1">
            <w:r>
              <w:rPr>
                <w:rStyle w:val="Hyperlink"/>
              </w:rPr>
              <w:t>Qualitative Decision Factors</w:t>
            </w:r>
            <w:r>
              <w:tab/>
            </w:r>
            <w:r>
              <w:fldChar w:fldCharType="begin"/>
            </w:r>
            <w:r>
              <w:instrText xml:space="preserve"> PAGEREF _Toc219123440 \h </w:instrText>
            </w:r>
            <w:r>
              <w:fldChar w:fldCharType="separate"/>
            </w:r>
            <w:r>
              <w:t>19</w:t>
            </w:r>
            <w:r>
              <w:fldChar w:fldCharType="end"/>
            </w:r>
          </w:hyperlink>
        </w:p>
        <w:p w14:paraId="3B0E299A" w14:textId="77777777" w:rsidR="00692D21" w:rsidRDefault="002D0AC0">
          <w:pPr>
            <w:pStyle w:val="TOC2"/>
            <w:tabs>
              <w:tab w:val="right" w:leader="dot" w:pos="9019"/>
            </w:tabs>
          </w:pPr>
          <w:hyperlink w:anchor="_Toc219123441" w:history="1">
            <w:r>
              <w:rPr>
                <w:rStyle w:val="Hyperlink"/>
              </w:rPr>
              <w:t>Capital Rationing Analysis</w:t>
            </w:r>
            <w:r>
              <w:tab/>
            </w:r>
            <w:r>
              <w:fldChar w:fldCharType="begin"/>
            </w:r>
            <w:r>
              <w:instrText xml:space="preserve"> PAGEREF _Toc219123441 \h </w:instrText>
            </w:r>
            <w:r>
              <w:fldChar w:fldCharType="separate"/>
            </w:r>
            <w:r>
              <w:t>20</w:t>
            </w:r>
            <w:r>
              <w:fldChar w:fldCharType="end"/>
            </w:r>
          </w:hyperlink>
        </w:p>
        <w:p w14:paraId="295ECFF0" w14:textId="77777777" w:rsidR="00692D21" w:rsidRDefault="002D0AC0">
          <w:pPr>
            <w:pStyle w:val="TOC2"/>
            <w:tabs>
              <w:tab w:val="right" w:leader="dot" w:pos="9019"/>
            </w:tabs>
          </w:pPr>
          <w:hyperlink w:anchor="_Toc219123442" w:history="1">
            <w:r>
              <w:rPr>
                <w:rStyle w:val="Hyperlink"/>
              </w:rPr>
              <w:t>Funding the Investment Programme</w:t>
            </w:r>
            <w:r>
              <w:tab/>
            </w:r>
            <w:r>
              <w:fldChar w:fldCharType="begin"/>
            </w:r>
            <w:r>
              <w:instrText xml:space="preserve"> PAGEREF _Toc219123442 \h </w:instrText>
            </w:r>
            <w:r>
              <w:fldChar w:fldCharType="separate"/>
            </w:r>
            <w:r>
              <w:t>20</w:t>
            </w:r>
            <w:r>
              <w:fldChar w:fldCharType="end"/>
            </w:r>
          </w:hyperlink>
        </w:p>
        <w:p w14:paraId="355BFF9B" w14:textId="77777777" w:rsidR="00692D21" w:rsidRDefault="002D0AC0">
          <w:pPr>
            <w:pStyle w:val="TOC2"/>
            <w:tabs>
              <w:tab w:val="right" w:leader="dot" w:pos="9019"/>
            </w:tabs>
          </w:pPr>
          <w:hyperlink w:anchor="_Toc219123443" w:history="1">
            <w:r>
              <w:rPr>
                <w:rStyle w:val="Hyperlink"/>
              </w:rPr>
              <w:t>Conclusion</w:t>
            </w:r>
            <w:r>
              <w:tab/>
            </w:r>
            <w:r>
              <w:fldChar w:fldCharType="begin"/>
            </w:r>
            <w:r>
              <w:instrText xml:space="preserve"> PAGEREF _Toc219123443 \h </w:instrText>
            </w:r>
            <w:r>
              <w:fldChar w:fldCharType="separate"/>
            </w:r>
            <w:r>
              <w:t>21</w:t>
            </w:r>
            <w:r>
              <w:fldChar w:fldCharType="end"/>
            </w:r>
          </w:hyperlink>
        </w:p>
        <w:p w14:paraId="2569B9D9" w14:textId="77777777" w:rsidR="00692D21" w:rsidRDefault="002D0AC0">
          <w:pPr>
            <w:pStyle w:val="TOC1"/>
            <w:tabs>
              <w:tab w:val="right" w:leader="dot" w:pos="9019"/>
            </w:tabs>
          </w:pPr>
          <w:hyperlink w:anchor="_Toc219123444" w:history="1">
            <w:r>
              <w:rPr>
                <w:rStyle w:val="Hyperlink"/>
              </w:rPr>
              <w:t>References</w:t>
            </w:r>
            <w:r>
              <w:tab/>
            </w:r>
            <w:r>
              <w:fldChar w:fldCharType="begin"/>
            </w:r>
            <w:r>
              <w:instrText xml:space="preserve"> PAGEREF _Toc219123444 \h </w:instrText>
            </w:r>
            <w:r>
              <w:fldChar w:fldCharType="separate"/>
            </w:r>
            <w:r>
              <w:t>22</w:t>
            </w:r>
            <w:r>
              <w:fldChar w:fldCharType="end"/>
            </w:r>
          </w:hyperlink>
        </w:p>
        <w:p w14:paraId="640B79D2" w14:textId="77777777" w:rsidR="00692D21" w:rsidRDefault="002D0AC0">
          <w:r>
            <w:rPr>
              <w:b/>
              <w:bCs/>
            </w:rPr>
            <w:fldChar w:fldCharType="end"/>
          </w:r>
        </w:p>
      </w:sdtContent>
    </w:sdt>
    <w:p w14:paraId="274D4BC7" w14:textId="77777777" w:rsidR="00692D21" w:rsidRDefault="002D0AC0">
      <w:r>
        <w:br w:type="page"/>
      </w:r>
    </w:p>
    <w:p w14:paraId="5B60C6A4" w14:textId="77777777" w:rsidR="00692D21" w:rsidRDefault="002D0AC0">
      <w:pPr>
        <w:pStyle w:val="Heading1"/>
      </w:pPr>
      <w:bookmarkStart w:id="0" w:name="_tp68kihytxv8" w:colFirst="0" w:colLast="0"/>
      <w:bookmarkStart w:id="1" w:name="_Toc219123418"/>
      <w:bookmarkEnd w:id="0"/>
      <w:r>
        <w:lastRenderedPageBreak/>
        <w:t>Part 1: Financial Performance Analysis (Shell Plc)</w:t>
      </w:r>
      <w:bookmarkEnd w:id="1"/>
    </w:p>
    <w:p w14:paraId="2AB16802" w14:textId="77777777" w:rsidR="00692D21" w:rsidRDefault="002D0AC0">
      <w:pPr>
        <w:pStyle w:val="Heading2"/>
      </w:pPr>
      <w:bookmarkStart w:id="2" w:name="_9v50xc4jkmra" w:colFirst="0" w:colLast="0"/>
      <w:bookmarkStart w:id="3" w:name="_Toc219123419"/>
      <w:bookmarkEnd w:id="2"/>
      <w:r>
        <w:t>Introduction</w:t>
      </w:r>
      <w:bookmarkEnd w:id="3"/>
    </w:p>
    <w:p w14:paraId="72EFD3D0" w14:textId="77777777" w:rsidR="00692D21" w:rsidRDefault="002D0AC0">
      <w:r>
        <w:t>The financial statement analysis is an important instrument that is applied to gauge corporate performance, financial strength, and strategic sustainability in the multifaceted and capital-surprised industry. The given report uses the latest ratio analysis methods in evaluating the financial standing and performance of Shell Plc, a transnational integrated energy firm, which is in the highly volatile international energy market. This analysis is meant to compare trends in profitability, liquidity and effici</w:t>
      </w:r>
      <w:r>
        <w:t>ency, gearing and investor-related performance over the period under analysis and to correlate any numerical results with the strategic and operative reality. Geopolitical turmoil, fluctuations in commodity prices, and rapid pressures in energy transition have increased the levels of uncertainty experienced in the global energy sector and have a substantial effect on financial performance and managerial decision-making. The latest corporate reporting focuses on rigorous capital allocation, creation of share</w:t>
      </w:r>
      <w:r>
        <w:t>holder value and emissions reduction as a simultaneous strategy in integrated energy companies ( Shell Plc, 2023). The present report thus takes a critical and interpretative approach, other than a descriptive approach, as far as financial ratios are aligned to the operating model and the strategic goals of Shell. The purpose of the analysis is to inform the stakeholders with the help of translating accounting results into meaningful financial insights and to conclude the analysis with recommendations which</w:t>
      </w:r>
      <w:r>
        <w:t xml:space="preserve"> can be evidenced to enhance the financial sustainability and creation of long-term value.</w:t>
      </w:r>
    </w:p>
    <w:p w14:paraId="759DD084" w14:textId="77777777" w:rsidR="00692D21" w:rsidRDefault="002D0AC0">
      <w:pPr>
        <w:pStyle w:val="Heading2"/>
      </w:pPr>
      <w:bookmarkStart w:id="4" w:name="_rq9a5venqqsc" w:colFirst="0" w:colLast="0"/>
      <w:bookmarkStart w:id="5" w:name="_Toc219123420"/>
      <w:bookmarkEnd w:id="4"/>
      <w:r>
        <w:t>Company Background</w:t>
      </w:r>
      <w:bookmarkEnd w:id="5"/>
    </w:p>
    <w:p w14:paraId="42553ED4" w14:textId="77777777" w:rsidR="00692D21" w:rsidRDefault="002D0AC0">
      <w:r>
        <w:t>Shell Plc is an international integrated energy company that operates in over seventy countries and has a diversified portfolio that includes upstream, integrated gas, downstream and renewable energy operations. The integrated business model of the company allows the value creation of the company in the energy value chain of production, trading, refining, and marketing, with substantial technological and logistical strengths. The Three Shell Shell Shell has a strategic direction that is informed by its Powe</w:t>
      </w:r>
      <w:r>
        <w:t xml:space="preserve">ring Progress framework, which focuses on creating shareholder value and working towards targeting net-zero emissions by 2050 by focusing on disciplined investment and portfolio optimisation (Shell Plc, 2023). It functions in a capital-intensive environment that is characterised by long project lifespan, sensitive to the prices of the commodities and heavily regulated. In the current annual report, Shell has focused </w:t>
      </w:r>
      <w:r>
        <w:lastRenderedPageBreak/>
        <w:t>on balance sheet strength, cost discipline and strong cash flow as the means to manoeuvre in</w:t>
      </w:r>
      <w:r>
        <w:t xml:space="preserve"> volatile markets and finance the energy transition (Shell Plc, 2024). This positioning factor has a direct effect on financial ratio parameters associated with gearing, profitability, and liquidity, and as a result, Shell is an appropriate target of the financial analysis. It is essential to know the scale, integrated nature, and strategic priorities of the company. Therefore, to analyse its financial performance reasonably and assess the financial results' sustainability in a changing global energy enviro</w:t>
      </w:r>
      <w:r>
        <w:t>nment.</w:t>
      </w:r>
    </w:p>
    <w:p w14:paraId="5B5833FD" w14:textId="77777777" w:rsidR="00692D21" w:rsidRDefault="002D0AC0">
      <w:pPr>
        <w:pStyle w:val="Heading2"/>
      </w:pPr>
      <w:bookmarkStart w:id="6" w:name="_8pq1k8spl9rl" w:colFirst="0" w:colLast="0"/>
      <w:bookmarkStart w:id="7" w:name="_Toc219123421"/>
      <w:bookmarkEnd w:id="6"/>
      <w:r>
        <w:t>Ratio Analysis</w:t>
      </w:r>
      <w:bookmarkEnd w:id="7"/>
    </w:p>
    <w:p w14:paraId="61CF5D1B" w14:textId="77777777" w:rsidR="00692D21" w:rsidRDefault="002D0AC0">
      <w:pPr>
        <w:pStyle w:val="Heading3"/>
      </w:pPr>
      <w:bookmarkStart w:id="8" w:name="_oytjvcjgxhlr" w:colFirst="0" w:colLast="0"/>
      <w:bookmarkStart w:id="9" w:name="_Toc219123422"/>
      <w:bookmarkEnd w:id="8"/>
      <w:r>
        <w:t>Profitability Analysis</w:t>
      </w:r>
      <w:bookmarkEnd w:id="9"/>
    </w:p>
    <w:tbl>
      <w:tblPr>
        <w:tblStyle w:val="Style12"/>
        <w:tblW w:w="9015" w:type="dxa"/>
        <w:tblInd w:w="0" w:type="dxa"/>
        <w:tblLayout w:type="fixed"/>
        <w:tblLook w:val="04A0" w:firstRow="1" w:lastRow="0" w:firstColumn="1" w:lastColumn="0" w:noHBand="0" w:noVBand="1"/>
      </w:tblPr>
      <w:tblGrid>
        <w:gridCol w:w="2205"/>
        <w:gridCol w:w="1395"/>
        <w:gridCol w:w="2580"/>
        <w:gridCol w:w="1080"/>
        <w:gridCol w:w="960"/>
        <w:gridCol w:w="795"/>
      </w:tblGrid>
      <w:tr w:rsidR="00692D21" w14:paraId="4E05ED43" w14:textId="77777777">
        <w:trPr>
          <w:trHeight w:val="515"/>
        </w:trPr>
        <w:tc>
          <w:tcPr>
            <w:tcW w:w="22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33B9BC" w14:textId="77777777" w:rsidR="00692D21" w:rsidRDefault="002D0AC0">
            <w:pPr>
              <w:spacing w:before="0" w:after="0" w:line="240" w:lineRule="auto"/>
              <w:rPr>
                <w:b/>
                <w:bCs/>
              </w:rPr>
            </w:pPr>
            <w:r>
              <w:rPr>
                <w:b/>
                <w:bCs/>
              </w:rPr>
              <w:t>Formula</w:t>
            </w:r>
          </w:p>
        </w:tc>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6954D6" w14:textId="77777777" w:rsidR="00692D21" w:rsidRDefault="002D0AC0">
            <w:pPr>
              <w:spacing w:before="0" w:after="0" w:line="240" w:lineRule="auto"/>
              <w:rPr>
                <w:b/>
                <w:bCs/>
              </w:rPr>
            </w:pPr>
            <w:r>
              <w:rPr>
                <w:b/>
                <w:bCs/>
              </w:rPr>
              <w:t>Ratio Type</w:t>
            </w:r>
          </w:p>
        </w:tc>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E87306" w14:textId="77777777" w:rsidR="00692D21" w:rsidRDefault="002D0AC0">
            <w:pPr>
              <w:spacing w:before="0" w:after="0" w:line="240" w:lineRule="auto"/>
              <w:rPr>
                <w:b/>
                <w:bCs/>
              </w:rPr>
            </w:pPr>
            <w:r>
              <w:rPr>
                <w:b/>
                <w:bCs/>
              </w:rPr>
              <w:t>Ratio Name</w:t>
            </w:r>
          </w:p>
        </w:tc>
        <w:tc>
          <w:tcPr>
            <w:tcW w:w="10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91B2D9" w14:textId="77777777" w:rsidR="00692D21" w:rsidRDefault="002D0AC0">
            <w:pPr>
              <w:spacing w:before="0" w:after="0" w:line="240" w:lineRule="auto"/>
              <w:rPr>
                <w:b/>
                <w:bCs/>
              </w:rPr>
            </w:pPr>
            <w:r>
              <w:rPr>
                <w:b/>
                <w:bCs/>
              </w:rPr>
              <w:t>2024</w:t>
            </w: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8730D4" w14:textId="77777777" w:rsidR="00692D21" w:rsidRDefault="002D0AC0">
            <w:pPr>
              <w:spacing w:before="0" w:after="0" w:line="240" w:lineRule="auto"/>
              <w:rPr>
                <w:b/>
                <w:bCs/>
              </w:rPr>
            </w:pPr>
            <w:r>
              <w:rPr>
                <w:b/>
                <w:bCs/>
              </w:rPr>
              <w:t>2023</w:t>
            </w:r>
          </w:p>
        </w:tc>
        <w:tc>
          <w:tcPr>
            <w:tcW w:w="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693AEA" w14:textId="77777777" w:rsidR="00692D21" w:rsidRDefault="002D0AC0">
            <w:pPr>
              <w:spacing w:before="0" w:after="0" w:line="240" w:lineRule="auto"/>
              <w:rPr>
                <w:b/>
                <w:bCs/>
              </w:rPr>
            </w:pPr>
            <w:r>
              <w:rPr>
                <w:b/>
                <w:bCs/>
              </w:rPr>
              <w:t>2022</w:t>
            </w:r>
          </w:p>
        </w:tc>
      </w:tr>
      <w:tr w:rsidR="00692D21" w14:paraId="387ECC18" w14:textId="77777777">
        <w:trPr>
          <w:trHeight w:val="515"/>
        </w:trPr>
        <w:tc>
          <w:tcPr>
            <w:tcW w:w="22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6BFD67" w14:textId="77777777" w:rsidR="00692D21" w:rsidRDefault="002D0AC0">
            <w:pPr>
              <w:spacing w:before="0" w:after="0" w:line="240" w:lineRule="auto"/>
              <w:rPr>
                <w:i/>
                <w:iCs/>
              </w:rPr>
            </w:pPr>
            <w:r>
              <w:rPr>
                <w:i/>
                <w:iCs/>
              </w:rPr>
              <w:t>(Gross Profit ÷ Revenue) x 100</w:t>
            </w:r>
          </w:p>
        </w:tc>
        <w:tc>
          <w:tcPr>
            <w:tcW w:w="1395"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E53EFF" w14:textId="77777777" w:rsidR="00692D21" w:rsidRDefault="002D0AC0">
            <w:pPr>
              <w:spacing w:before="0" w:after="0" w:line="240" w:lineRule="auto"/>
            </w:pPr>
            <w:r>
              <w:t>Profitability</w:t>
            </w:r>
          </w:p>
        </w:tc>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AE89A9" w14:textId="77777777" w:rsidR="00692D21" w:rsidRDefault="002D0AC0">
            <w:pPr>
              <w:spacing w:before="0" w:after="0" w:line="240" w:lineRule="auto"/>
            </w:pPr>
            <w:r>
              <w:t>Gross Profit Margin</w:t>
            </w:r>
          </w:p>
        </w:tc>
        <w:tc>
          <w:tcPr>
            <w:tcW w:w="1080"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38E40E1C" w14:textId="77777777" w:rsidR="00692D21" w:rsidRDefault="002D0AC0">
            <w:pPr>
              <w:spacing w:before="0" w:after="0" w:line="240" w:lineRule="auto"/>
            </w:pPr>
            <w:r>
              <w:t>34.91%</w:t>
            </w:r>
          </w:p>
        </w:tc>
        <w:tc>
          <w:tcPr>
            <w:tcW w:w="960"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1FFE0970" w14:textId="77777777" w:rsidR="00692D21" w:rsidRDefault="002D0AC0">
            <w:pPr>
              <w:spacing w:before="0" w:after="0" w:line="240" w:lineRule="auto"/>
            </w:pPr>
            <w:r>
              <w:t>34.13%</w:t>
            </w:r>
          </w:p>
        </w:tc>
        <w:tc>
          <w:tcPr>
            <w:tcW w:w="795"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6FBCC92E" w14:textId="77777777" w:rsidR="00692D21" w:rsidRDefault="002D0AC0">
            <w:pPr>
              <w:spacing w:before="0" w:after="0" w:line="240" w:lineRule="auto"/>
            </w:pPr>
            <w:r>
              <w:t>33.07%</w:t>
            </w:r>
          </w:p>
        </w:tc>
      </w:tr>
      <w:tr w:rsidR="00692D21" w14:paraId="5E3E7C5C" w14:textId="77777777">
        <w:trPr>
          <w:trHeight w:val="515"/>
        </w:trPr>
        <w:tc>
          <w:tcPr>
            <w:tcW w:w="22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687B39" w14:textId="77777777" w:rsidR="00692D21" w:rsidRDefault="002D0AC0">
            <w:pPr>
              <w:spacing w:before="0" w:after="0" w:line="240" w:lineRule="auto"/>
              <w:rPr>
                <w:i/>
                <w:iCs/>
              </w:rPr>
            </w:pPr>
            <w:r>
              <w:rPr>
                <w:i/>
                <w:iCs/>
              </w:rPr>
              <w:t>(Operating Profit ÷ Revenue) x 100</w:t>
            </w:r>
          </w:p>
        </w:tc>
        <w:tc>
          <w:tcPr>
            <w:tcW w:w="1395"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4C36FE" w14:textId="77777777" w:rsidR="00692D21" w:rsidRDefault="00692D21"/>
        </w:tc>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E6565D" w14:textId="77777777" w:rsidR="00692D21" w:rsidRDefault="002D0AC0">
            <w:pPr>
              <w:spacing w:before="0" w:after="0" w:line="240" w:lineRule="auto"/>
            </w:pPr>
            <w:r>
              <w:t>Operating Profit Margin</w:t>
            </w:r>
          </w:p>
        </w:tc>
        <w:tc>
          <w:tcPr>
            <w:tcW w:w="1080"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278BE815" w14:textId="77777777" w:rsidR="00692D21" w:rsidRDefault="002D0AC0">
            <w:pPr>
              <w:spacing w:before="0" w:after="0" w:line="240" w:lineRule="auto"/>
            </w:pPr>
            <w:r>
              <w:t>12.35%</w:t>
            </w:r>
          </w:p>
        </w:tc>
        <w:tc>
          <w:tcPr>
            <w:tcW w:w="960"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3D532D3E" w14:textId="77777777" w:rsidR="00692D21" w:rsidRDefault="002D0AC0">
            <w:pPr>
              <w:spacing w:before="0" w:after="0" w:line="240" w:lineRule="auto"/>
            </w:pPr>
            <w:r>
              <w:t>11.49%</w:t>
            </w:r>
          </w:p>
        </w:tc>
        <w:tc>
          <w:tcPr>
            <w:tcW w:w="795"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3AFB8588" w14:textId="77777777" w:rsidR="00692D21" w:rsidRDefault="002D0AC0">
            <w:pPr>
              <w:spacing w:before="0" w:after="0" w:line="240" w:lineRule="auto"/>
            </w:pPr>
            <w:r>
              <w:t>17.61%</w:t>
            </w:r>
          </w:p>
        </w:tc>
      </w:tr>
      <w:tr w:rsidR="00692D21" w14:paraId="6FDDEBE0" w14:textId="77777777">
        <w:trPr>
          <w:trHeight w:val="515"/>
        </w:trPr>
        <w:tc>
          <w:tcPr>
            <w:tcW w:w="22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35B9FA" w14:textId="77777777" w:rsidR="00692D21" w:rsidRDefault="002D0AC0">
            <w:pPr>
              <w:spacing w:before="0" w:after="0" w:line="240" w:lineRule="auto"/>
              <w:rPr>
                <w:i/>
                <w:iCs/>
              </w:rPr>
            </w:pPr>
            <w:r>
              <w:rPr>
                <w:i/>
                <w:iCs/>
              </w:rPr>
              <w:t>(Net Profit ÷ Revenue) x 100</w:t>
            </w:r>
          </w:p>
        </w:tc>
        <w:tc>
          <w:tcPr>
            <w:tcW w:w="1395"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2C7C85" w14:textId="77777777" w:rsidR="00692D21" w:rsidRDefault="00692D21"/>
        </w:tc>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B1C5D8" w14:textId="77777777" w:rsidR="00692D21" w:rsidRDefault="002D0AC0">
            <w:pPr>
              <w:spacing w:before="0" w:after="0" w:line="240" w:lineRule="auto"/>
            </w:pPr>
            <w:r>
              <w:t>Net Profit Margin</w:t>
            </w:r>
          </w:p>
        </w:tc>
        <w:tc>
          <w:tcPr>
            <w:tcW w:w="1080"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4DFFCCE7" w14:textId="77777777" w:rsidR="00692D21" w:rsidRDefault="002D0AC0">
            <w:pPr>
              <w:spacing w:before="0" w:after="0" w:line="240" w:lineRule="auto"/>
            </w:pPr>
            <w:r>
              <w:t>5.81%</w:t>
            </w:r>
          </w:p>
        </w:tc>
        <w:tc>
          <w:tcPr>
            <w:tcW w:w="960"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6964A729" w14:textId="77777777" w:rsidR="00692D21" w:rsidRDefault="002D0AC0">
            <w:pPr>
              <w:spacing w:before="0" w:after="0" w:line="240" w:lineRule="auto"/>
            </w:pPr>
            <w:r>
              <w:t>6.20%</w:t>
            </w:r>
          </w:p>
        </w:tc>
        <w:tc>
          <w:tcPr>
            <w:tcW w:w="795"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556DC9A7" w14:textId="77777777" w:rsidR="00692D21" w:rsidRDefault="002D0AC0">
            <w:pPr>
              <w:spacing w:before="0" w:after="0" w:line="240" w:lineRule="auto"/>
            </w:pPr>
            <w:r>
              <w:t>11.24%</w:t>
            </w:r>
          </w:p>
        </w:tc>
      </w:tr>
    </w:tbl>
    <w:p w14:paraId="2FAED2E8" w14:textId="77777777" w:rsidR="00692D21" w:rsidRDefault="002D0AC0">
      <w:pPr>
        <w:jc w:val="center"/>
        <w:rPr>
          <w:b/>
          <w:bCs/>
        </w:rPr>
      </w:pPr>
      <w:r>
        <w:rPr>
          <w:b/>
          <w:bCs/>
        </w:rPr>
        <w:t>Table 1: Profitability Ratios Calculation</w:t>
      </w:r>
    </w:p>
    <w:p w14:paraId="60DDE2B9" w14:textId="77777777" w:rsidR="00692D21" w:rsidRDefault="002D0AC0">
      <w:pPr>
        <w:jc w:val="center"/>
      </w:pPr>
      <w:r>
        <w:t>(Source:  Self-Developed)</w:t>
      </w:r>
    </w:p>
    <w:p w14:paraId="3B4FC83F" w14:textId="77777777" w:rsidR="00692D21" w:rsidRDefault="002D0AC0">
      <w:pPr>
        <w:jc w:val="center"/>
      </w:pPr>
      <w:r>
        <w:rPr>
          <w:noProof/>
        </w:rPr>
        <w:drawing>
          <wp:inline distT="114300" distB="114300" distL="114300" distR="114300" wp14:anchorId="26C357C7" wp14:editId="2F0B26FD">
            <wp:extent cx="5730875" cy="314960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referRelativeResize="0"/>
                  </pic:nvPicPr>
                  <pic:blipFill>
                    <a:blip r:embed="rId8"/>
                    <a:srcRect/>
                    <a:stretch>
                      <a:fillRect/>
                    </a:stretch>
                  </pic:blipFill>
                  <pic:spPr>
                    <a:xfrm>
                      <a:off x="0" y="0"/>
                      <a:ext cx="5731200" cy="3149600"/>
                    </a:xfrm>
                    <a:prstGeom prst="rect">
                      <a:avLst/>
                    </a:prstGeom>
                    <a:ln w="25400">
                      <a:solidFill>
                        <a:srgbClr val="000000"/>
                      </a:solidFill>
                      <a:prstDash val="solid"/>
                    </a:ln>
                  </pic:spPr>
                </pic:pic>
              </a:graphicData>
            </a:graphic>
          </wp:inline>
        </w:drawing>
      </w:r>
    </w:p>
    <w:p w14:paraId="7EC1E815" w14:textId="77777777" w:rsidR="00692D21" w:rsidRDefault="002D0AC0">
      <w:pPr>
        <w:jc w:val="center"/>
        <w:rPr>
          <w:b/>
          <w:bCs/>
        </w:rPr>
      </w:pPr>
      <w:r>
        <w:rPr>
          <w:b/>
          <w:bCs/>
        </w:rPr>
        <w:t>Graph 1: Profitability Ratios</w:t>
      </w:r>
    </w:p>
    <w:p w14:paraId="6FF16D9B" w14:textId="77777777" w:rsidR="00692D21" w:rsidRDefault="002D0AC0">
      <w:pPr>
        <w:jc w:val="center"/>
      </w:pPr>
      <w:r>
        <w:t>(Source:  Excel-Generated)</w:t>
      </w:r>
    </w:p>
    <w:p w14:paraId="1C06B671" w14:textId="77777777" w:rsidR="00692D21" w:rsidRDefault="002D0AC0">
      <w:r>
        <w:t>The profitability ratios determine a firm in terms of its capacity to make profits on its revenues and control costs in both operational and non-operational processes. Gross profit margin did not change significantly in the period between 2022 and 2024 at Shell plc; it may be observed that there was a slight rise in the margins of the company, from 33.07 to 34.91, which is a sign that there was good management of the costs in core business activities despite spiking up and down energy markets (Fattouh and F</w:t>
      </w:r>
      <w:r>
        <w:t xml:space="preserve">arren-Price, 2024). This stability is indicative of the integrated operating model and pricing discipline of Shell amongst its upstream and integrated gas segments. </w:t>
      </w:r>
    </w:p>
    <w:p w14:paraId="4891CC84" w14:textId="77777777" w:rsidR="00692D21" w:rsidRDefault="002D0AC0">
      <w:r>
        <w:t xml:space="preserve">The focus of corporate disclosures is on portfolio optimisation and disciplined capital deployment, which is used to maintain margin resilience during macroeconomic uncertainty. Operating profit margins, though, dropped substantially and consistently within the past year, from 17.61% in 2022 to 12.35% in 2024, which is an indicator of rising operating pressures due to growing operating costs, transition-related spending, and less-than-average contribution of extraordinarily high post-pandemic energy prices </w:t>
      </w:r>
      <w:r>
        <w:t xml:space="preserve">(Arampatzi </w:t>
      </w:r>
      <w:r>
        <w:rPr>
          <w:i/>
          <w:iCs/>
        </w:rPr>
        <w:t>et al.</w:t>
      </w:r>
      <w:r>
        <w:t>, 2025). Net profit margins also had the same decline pattern, where the margin has dropped to 5.81% where both cost increase and taxation effects, and stabilised commodity prices are evident. Comprehensively, the profitability trends indicate that Shell is sustained in terms of its operational strength, but the level of profits has settled to normal after the cyclical peaks.</w:t>
      </w:r>
    </w:p>
    <w:p w14:paraId="1C5FB806" w14:textId="77777777" w:rsidR="00692D21" w:rsidRDefault="002D0AC0">
      <w:pPr>
        <w:pStyle w:val="Heading3"/>
      </w:pPr>
      <w:bookmarkStart w:id="10" w:name="_fry0q9narm79" w:colFirst="0" w:colLast="0"/>
      <w:bookmarkStart w:id="11" w:name="_Toc219123423"/>
      <w:bookmarkEnd w:id="10"/>
      <w:r>
        <w:t>Liquidity Analysis</w:t>
      </w:r>
      <w:bookmarkEnd w:id="11"/>
    </w:p>
    <w:tbl>
      <w:tblPr>
        <w:tblStyle w:val="Style13"/>
        <w:tblW w:w="9025" w:type="dxa"/>
        <w:tblInd w:w="0" w:type="dxa"/>
        <w:tblLayout w:type="fixed"/>
        <w:tblLook w:val="04A0" w:firstRow="1" w:lastRow="0" w:firstColumn="1" w:lastColumn="0" w:noHBand="0" w:noVBand="1"/>
      </w:tblPr>
      <w:tblGrid>
        <w:gridCol w:w="3144"/>
        <w:gridCol w:w="1449"/>
        <w:gridCol w:w="2090"/>
        <w:gridCol w:w="767"/>
        <w:gridCol w:w="767"/>
        <w:gridCol w:w="808"/>
      </w:tblGrid>
      <w:tr w:rsidR="00692D21" w14:paraId="0E2840DA" w14:textId="77777777">
        <w:trPr>
          <w:trHeight w:val="515"/>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239061" w14:textId="77777777" w:rsidR="00692D21" w:rsidRDefault="002D0AC0">
            <w:pPr>
              <w:spacing w:before="0" w:after="0" w:line="240" w:lineRule="auto"/>
              <w:rPr>
                <w:b/>
                <w:bCs/>
              </w:rPr>
            </w:pPr>
            <w:r>
              <w:rPr>
                <w:b/>
                <w:bCs/>
              </w:rPr>
              <w:t>Formula</w:t>
            </w:r>
          </w:p>
        </w:tc>
        <w:tc>
          <w:tcPr>
            <w:tcW w:w="14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6696AE" w14:textId="77777777" w:rsidR="00692D21" w:rsidRDefault="002D0AC0">
            <w:pPr>
              <w:spacing w:before="0" w:after="0" w:line="240" w:lineRule="auto"/>
              <w:rPr>
                <w:b/>
                <w:bCs/>
              </w:rPr>
            </w:pPr>
            <w:r>
              <w:rPr>
                <w:b/>
                <w:bCs/>
              </w:rPr>
              <w:t>Ratio Type</w:t>
            </w:r>
          </w:p>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AF68F4" w14:textId="77777777" w:rsidR="00692D21" w:rsidRDefault="002D0AC0">
            <w:pPr>
              <w:spacing w:before="0" w:after="0" w:line="240" w:lineRule="auto"/>
              <w:rPr>
                <w:b/>
                <w:bCs/>
              </w:rPr>
            </w:pPr>
            <w:r>
              <w:rPr>
                <w:b/>
                <w:bCs/>
              </w:rPr>
              <w:t>Ratio Name</w:t>
            </w:r>
          </w:p>
        </w:tc>
        <w:tc>
          <w:tcPr>
            <w:tcW w:w="7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5A2703" w14:textId="77777777" w:rsidR="00692D21" w:rsidRDefault="002D0AC0">
            <w:pPr>
              <w:spacing w:before="0" w:after="0" w:line="240" w:lineRule="auto"/>
              <w:rPr>
                <w:b/>
                <w:bCs/>
              </w:rPr>
            </w:pPr>
            <w:r>
              <w:rPr>
                <w:b/>
                <w:bCs/>
              </w:rPr>
              <w:t>2024</w:t>
            </w:r>
          </w:p>
        </w:tc>
        <w:tc>
          <w:tcPr>
            <w:tcW w:w="7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979E25" w14:textId="77777777" w:rsidR="00692D21" w:rsidRDefault="002D0AC0">
            <w:pPr>
              <w:spacing w:before="0" w:after="0" w:line="240" w:lineRule="auto"/>
              <w:rPr>
                <w:b/>
                <w:bCs/>
              </w:rPr>
            </w:pPr>
            <w:r>
              <w:rPr>
                <w:b/>
                <w:bCs/>
              </w:rPr>
              <w:t>2023</w:t>
            </w: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9AB541" w14:textId="77777777" w:rsidR="00692D21" w:rsidRDefault="002D0AC0">
            <w:pPr>
              <w:spacing w:before="0" w:after="0" w:line="240" w:lineRule="auto"/>
              <w:rPr>
                <w:b/>
                <w:bCs/>
              </w:rPr>
            </w:pPr>
            <w:r>
              <w:rPr>
                <w:b/>
                <w:bCs/>
              </w:rPr>
              <w:t>2022</w:t>
            </w:r>
          </w:p>
        </w:tc>
      </w:tr>
      <w:tr w:rsidR="00692D21" w14:paraId="68445403" w14:textId="77777777">
        <w:trPr>
          <w:trHeight w:val="515"/>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4CB48D" w14:textId="77777777" w:rsidR="00692D21" w:rsidRDefault="002D0AC0">
            <w:pPr>
              <w:spacing w:before="0" w:after="0" w:line="240" w:lineRule="auto"/>
              <w:rPr>
                <w:i/>
                <w:iCs/>
              </w:rPr>
            </w:pPr>
            <w:r>
              <w:rPr>
                <w:i/>
                <w:iCs/>
              </w:rPr>
              <w:t>Current Assets ÷ Current Liabilities</w:t>
            </w:r>
          </w:p>
        </w:tc>
        <w:tc>
          <w:tcPr>
            <w:tcW w:w="1449"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B75864" w14:textId="77777777" w:rsidR="00692D21" w:rsidRDefault="002D0AC0">
            <w:pPr>
              <w:spacing w:before="0" w:after="0" w:line="240" w:lineRule="auto"/>
            </w:pPr>
            <w:r>
              <w:t>Liquidity</w:t>
            </w:r>
          </w:p>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C6E5FE" w14:textId="77777777" w:rsidR="00692D21" w:rsidRDefault="002D0AC0">
            <w:pPr>
              <w:spacing w:before="0" w:after="0" w:line="240" w:lineRule="auto"/>
            </w:pPr>
            <w:r>
              <w:t>Current Ratio</w:t>
            </w:r>
          </w:p>
        </w:tc>
        <w:tc>
          <w:tcPr>
            <w:tcW w:w="767"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6B72302A" w14:textId="77777777" w:rsidR="00692D21" w:rsidRDefault="002D0AC0">
            <w:pPr>
              <w:spacing w:before="0" w:after="0" w:line="240" w:lineRule="auto"/>
            </w:pPr>
            <w:r>
              <w:t>1.27</w:t>
            </w:r>
          </w:p>
        </w:tc>
        <w:tc>
          <w:tcPr>
            <w:tcW w:w="767"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16AEB4DF" w14:textId="77777777" w:rsidR="00692D21" w:rsidRDefault="002D0AC0">
            <w:pPr>
              <w:spacing w:before="0" w:after="0" w:line="240" w:lineRule="auto"/>
            </w:pPr>
            <w:r>
              <w:t>1.40</w:t>
            </w:r>
          </w:p>
        </w:tc>
        <w:tc>
          <w:tcPr>
            <w:tcW w:w="808"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475D7AFF" w14:textId="77777777" w:rsidR="00692D21" w:rsidRDefault="002D0AC0">
            <w:pPr>
              <w:spacing w:before="0" w:after="0" w:line="240" w:lineRule="auto"/>
            </w:pPr>
            <w:r>
              <w:t>1.38</w:t>
            </w:r>
          </w:p>
        </w:tc>
      </w:tr>
      <w:tr w:rsidR="00692D21" w14:paraId="321E8942" w14:textId="77777777">
        <w:trPr>
          <w:trHeight w:val="830"/>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57ECF4" w14:textId="77777777" w:rsidR="00692D21" w:rsidRDefault="002D0AC0">
            <w:pPr>
              <w:spacing w:before="0" w:after="0" w:line="240" w:lineRule="auto"/>
              <w:rPr>
                <w:i/>
                <w:iCs/>
              </w:rPr>
            </w:pPr>
            <w:r>
              <w:rPr>
                <w:i/>
                <w:iCs/>
              </w:rPr>
              <w:t>(Current Assets - Inventory) ÷ Current Liabilities</w:t>
            </w:r>
          </w:p>
        </w:tc>
        <w:tc>
          <w:tcPr>
            <w:tcW w:w="1449"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2A1BC3" w14:textId="77777777" w:rsidR="00692D21" w:rsidRDefault="00692D21"/>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7800DA" w14:textId="77777777" w:rsidR="00692D21" w:rsidRDefault="002D0AC0">
            <w:pPr>
              <w:spacing w:before="0" w:after="0" w:line="240" w:lineRule="auto"/>
            </w:pPr>
            <w:r>
              <w:t>Quick Ratio</w:t>
            </w:r>
          </w:p>
        </w:tc>
        <w:tc>
          <w:tcPr>
            <w:tcW w:w="767"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40C56C15" w14:textId="77777777" w:rsidR="00692D21" w:rsidRDefault="002D0AC0">
            <w:pPr>
              <w:spacing w:before="0" w:after="0" w:line="240" w:lineRule="auto"/>
            </w:pPr>
            <w:r>
              <w:t>1.02</w:t>
            </w:r>
          </w:p>
        </w:tc>
        <w:tc>
          <w:tcPr>
            <w:tcW w:w="767"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70D04701" w14:textId="77777777" w:rsidR="00692D21" w:rsidRDefault="002D0AC0">
            <w:pPr>
              <w:spacing w:before="0" w:after="0" w:line="240" w:lineRule="auto"/>
            </w:pPr>
            <w:r>
              <w:t>1.13</w:t>
            </w:r>
          </w:p>
        </w:tc>
        <w:tc>
          <w:tcPr>
            <w:tcW w:w="808"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0140E85B" w14:textId="77777777" w:rsidR="00692D21" w:rsidRDefault="002D0AC0">
            <w:pPr>
              <w:spacing w:before="0" w:after="0" w:line="240" w:lineRule="auto"/>
            </w:pPr>
            <w:r>
              <w:t>1.12</w:t>
            </w:r>
          </w:p>
        </w:tc>
      </w:tr>
    </w:tbl>
    <w:p w14:paraId="5884642B" w14:textId="77777777" w:rsidR="00692D21" w:rsidRDefault="002D0AC0">
      <w:pPr>
        <w:jc w:val="center"/>
        <w:rPr>
          <w:b/>
          <w:bCs/>
        </w:rPr>
      </w:pPr>
      <w:r>
        <w:rPr>
          <w:b/>
          <w:bCs/>
        </w:rPr>
        <w:t>Table 2: Liquidity Ratios Calculation</w:t>
      </w:r>
    </w:p>
    <w:p w14:paraId="6A03BDFE" w14:textId="77777777" w:rsidR="00692D21" w:rsidRDefault="002D0AC0">
      <w:pPr>
        <w:jc w:val="center"/>
      </w:pPr>
      <w:r>
        <w:t>(Source:  Self-Developed)</w:t>
      </w:r>
    </w:p>
    <w:p w14:paraId="2C9C9EE1" w14:textId="77777777" w:rsidR="00692D21" w:rsidRDefault="002D0AC0">
      <w:pPr>
        <w:jc w:val="center"/>
      </w:pPr>
      <w:r>
        <w:rPr>
          <w:noProof/>
        </w:rPr>
        <w:drawing>
          <wp:inline distT="114300" distB="114300" distL="114300" distR="114300" wp14:anchorId="59E38C81" wp14:editId="09920D7A">
            <wp:extent cx="5730875" cy="3543300"/>
            <wp:effectExtent l="25400" t="25400" r="25400" b="25400"/>
            <wp:docPr id="2" name="image7.png"/>
            <wp:cNvGraphicFramePr/>
            <a:graphic xmlns:a="http://schemas.openxmlformats.org/drawingml/2006/main">
              <a:graphicData uri="http://schemas.openxmlformats.org/drawingml/2006/picture">
                <pic:pic xmlns:pic="http://schemas.openxmlformats.org/drawingml/2006/picture">
                  <pic:nvPicPr>
                    <pic:cNvPr id="2" name="image7.png"/>
                    <pic:cNvPicPr preferRelativeResize="0"/>
                  </pic:nvPicPr>
                  <pic:blipFill>
                    <a:blip r:embed="rId9"/>
                    <a:srcRect/>
                    <a:stretch>
                      <a:fillRect/>
                    </a:stretch>
                  </pic:blipFill>
                  <pic:spPr>
                    <a:xfrm>
                      <a:off x="0" y="0"/>
                      <a:ext cx="5731200" cy="3543300"/>
                    </a:xfrm>
                    <a:prstGeom prst="rect">
                      <a:avLst/>
                    </a:prstGeom>
                    <a:ln w="25400">
                      <a:solidFill>
                        <a:srgbClr val="000000"/>
                      </a:solidFill>
                      <a:prstDash val="solid"/>
                    </a:ln>
                  </pic:spPr>
                </pic:pic>
              </a:graphicData>
            </a:graphic>
          </wp:inline>
        </w:drawing>
      </w:r>
    </w:p>
    <w:p w14:paraId="0F87DCE8" w14:textId="77777777" w:rsidR="00692D21" w:rsidRDefault="002D0AC0">
      <w:pPr>
        <w:jc w:val="center"/>
        <w:rPr>
          <w:b/>
          <w:bCs/>
        </w:rPr>
      </w:pPr>
      <w:r>
        <w:rPr>
          <w:b/>
          <w:bCs/>
        </w:rPr>
        <w:t>Graph 2: Liquidity Ratios</w:t>
      </w:r>
    </w:p>
    <w:p w14:paraId="6A32687A" w14:textId="77777777" w:rsidR="00692D21" w:rsidRDefault="002D0AC0">
      <w:pPr>
        <w:jc w:val="center"/>
      </w:pPr>
      <w:r>
        <w:t>(Source:  Excel-Generated)</w:t>
      </w:r>
    </w:p>
    <w:p w14:paraId="2ADEF301" w14:textId="77777777" w:rsidR="00692D21" w:rsidRDefault="002D0AC0">
      <w:r>
        <w:t>Liquidity ratios assess the ability of an organisation to cover its short-term obligations using its current assets, hence they consider the short-term financial stability. The current ratio dropped to 1.27 in 2024, but this figure is still significantly above the traditional ratio of unity, and Shell does not face any financial difficulties in the near future. The slight decrease indicates the tight working capital management instead of the urgent liquidity pressure, especially in a capital-intensive secto</w:t>
      </w:r>
      <w:r>
        <w:t>r where strategic deployment of cash is prioritised. The same thing is reflected in the ratio change of the quick ratio, which declined between 1.13 and 1.02 during the same period, which is a slight decline in non-inventory coverage by highly liquid assets. The financial structure of Shell focuses on ensuring balance sheet health and giving back funds to its shareholders, and, to some degree, this is the reason why Shell shows a moderate liquidity stance in recent years (Potharla, 2025). Notably, the ratio</w:t>
      </w:r>
      <w:r>
        <w:t>s have consistently maintained high levels above the crucial levels, thereby showing that liquidity management is in a defensive mode. Overall, the liquidity position of Shell seems adequate to facilitate the current operation and capital binding, but further enhancement might be limited by the further distribution of shares to shareholders.</w:t>
      </w:r>
    </w:p>
    <w:p w14:paraId="461D294E" w14:textId="77777777" w:rsidR="00692D21" w:rsidRDefault="002D0AC0">
      <w:pPr>
        <w:pStyle w:val="Heading3"/>
      </w:pPr>
      <w:bookmarkStart w:id="12" w:name="_n359xph28sie" w:colFirst="0" w:colLast="0"/>
      <w:bookmarkStart w:id="13" w:name="_Toc219123424"/>
      <w:bookmarkEnd w:id="12"/>
      <w:r>
        <w:t>Efficiency Analysis</w:t>
      </w:r>
      <w:bookmarkEnd w:id="13"/>
    </w:p>
    <w:tbl>
      <w:tblPr>
        <w:tblStyle w:val="Style14"/>
        <w:tblW w:w="9025" w:type="dxa"/>
        <w:tblInd w:w="0" w:type="dxa"/>
        <w:tblLayout w:type="fixed"/>
        <w:tblLook w:val="04A0" w:firstRow="1" w:lastRow="0" w:firstColumn="1" w:lastColumn="0" w:noHBand="0" w:noVBand="1"/>
      </w:tblPr>
      <w:tblGrid>
        <w:gridCol w:w="3144"/>
        <w:gridCol w:w="1449"/>
        <w:gridCol w:w="2090"/>
        <w:gridCol w:w="767"/>
        <w:gridCol w:w="767"/>
        <w:gridCol w:w="808"/>
      </w:tblGrid>
      <w:tr w:rsidR="00692D21" w14:paraId="13E18C5B" w14:textId="77777777">
        <w:trPr>
          <w:trHeight w:val="830"/>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C67B29" w14:textId="77777777" w:rsidR="00692D21" w:rsidRDefault="002D0AC0">
            <w:pPr>
              <w:spacing w:before="0" w:after="0" w:line="240" w:lineRule="auto"/>
              <w:rPr>
                <w:b/>
                <w:bCs/>
              </w:rPr>
            </w:pPr>
            <w:r>
              <w:rPr>
                <w:b/>
                <w:bCs/>
              </w:rPr>
              <w:t>Formula</w:t>
            </w:r>
          </w:p>
        </w:tc>
        <w:tc>
          <w:tcPr>
            <w:tcW w:w="14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6FCE54" w14:textId="77777777" w:rsidR="00692D21" w:rsidRDefault="002D0AC0">
            <w:pPr>
              <w:spacing w:before="0" w:after="0" w:line="240" w:lineRule="auto"/>
              <w:rPr>
                <w:b/>
                <w:bCs/>
              </w:rPr>
            </w:pPr>
            <w:r>
              <w:rPr>
                <w:b/>
                <w:bCs/>
              </w:rPr>
              <w:t>Ratio Type</w:t>
            </w:r>
          </w:p>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4B3EB7" w14:textId="77777777" w:rsidR="00692D21" w:rsidRDefault="002D0AC0">
            <w:pPr>
              <w:spacing w:before="0" w:after="0" w:line="240" w:lineRule="auto"/>
              <w:rPr>
                <w:b/>
                <w:bCs/>
              </w:rPr>
            </w:pPr>
            <w:r>
              <w:rPr>
                <w:b/>
                <w:bCs/>
              </w:rPr>
              <w:t>Ratio Name</w:t>
            </w:r>
          </w:p>
        </w:tc>
        <w:tc>
          <w:tcPr>
            <w:tcW w:w="7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B1AFEC" w14:textId="77777777" w:rsidR="00692D21" w:rsidRDefault="002D0AC0">
            <w:pPr>
              <w:spacing w:before="0" w:after="0" w:line="240" w:lineRule="auto"/>
              <w:rPr>
                <w:b/>
                <w:bCs/>
              </w:rPr>
            </w:pPr>
            <w:r>
              <w:rPr>
                <w:b/>
                <w:bCs/>
              </w:rPr>
              <w:t>2024</w:t>
            </w:r>
          </w:p>
        </w:tc>
        <w:tc>
          <w:tcPr>
            <w:tcW w:w="7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B6C87B" w14:textId="77777777" w:rsidR="00692D21" w:rsidRDefault="002D0AC0">
            <w:pPr>
              <w:spacing w:before="0" w:after="0" w:line="240" w:lineRule="auto"/>
              <w:rPr>
                <w:b/>
                <w:bCs/>
              </w:rPr>
            </w:pPr>
            <w:r>
              <w:rPr>
                <w:b/>
                <w:bCs/>
              </w:rPr>
              <w:t>2023</w:t>
            </w: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35BEB1" w14:textId="77777777" w:rsidR="00692D21" w:rsidRDefault="002D0AC0">
            <w:pPr>
              <w:spacing w:before="0" w:after="0" w:line="240" w:lineRule="auto"/>
              <w:rPr>
                <w:b/>
                <w:bCs/>
              </w:rPr>
            </w:pPr>
            <w:r>
              <w:rPr>
                <w:b/>
                <w:bCs/>
              </w:rPr>
              <w:t>2022</w:t>
            </w:r>
          </w:p>
        </w:tc>
      </w:tr>
      <w:tr w:rsidR="00692D21" w14:paraId="692D2924" w14:textId="77777777">
        <w:trPr>
          <w:trHeight w:val="830"/>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D242CB" w14:textId="77777777" w:rsidR="00692D21" w:rsidRDefault="002D0AC0">
            <w:pPr>
              <w:spacing w:before="0" w:after="0" w:line="240" w:lineRule="auto"/>
              <w:rPr>
                <w:i/>
                <w:iCs/>
              </w:rPr>
            </w:pPr>
            <w:r>
              <w:rPr>
                <w:i/>
                <w:iCs/>
              </w:rPr>
              <w:t>(Average Inventory ÷ Cost of Goods Sold) x 365</w:t>
            </w:r>
          </w:p>
        </w:tc>
        <w:tc>
          <w:tcPr>
            <w:tcW w:w="1449"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594760" w14:textId="77777777" w:rsidR="00692D21" w:rsidRDefault="002D0AC0">
            <w:pPr>
              <w:spacing w:before="0" w:after="0" w:line="240" w:lineRule="auto"/>
            </w:pPr>
            <w:r>
              <w:t>Efficiency</w:t>
            </w:r>
          </w:p>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1421B7" w14:textId="77777777" w:rsidR="00692D21" w:rsidRDefault="002D0AC0">
            <w:pPr>
              <w:spacing w:before="0" w:after="0" w:line="240" w:lineRule="auto"/>
            </w:pPr>
            <w:r>
              <w:t>Inventory Turnover Days</w:t>
            </w:r>
          </w:p>
        </w:tc>
        <w:tc>
          <w:tcPr>
            <w:tcW w:w="767"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765E3C46" w14:textId="77777777" w:rsidR="00692D21" w:rsidRDefault="002D0AC0">
            <w:pPr>
              <w:spacing w:before="0" w:after="0" w:line="240" w:lineRule="auto"/>
            </w:pPr>
            <w:r>
              <w:t>48</w:t>
            </w:r>
          </w:p>
        </w:tc>
        <w:tc>
          <w:tcPr>
            <w:tcW w:w="767"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183B3E9F" w14:textId="77777777" w:rsidR="00692D21" w:rsidRDefault="002D0AC0">
            <w:pPr>
              <w:spacing w:before="0" w:after="0" w:line="240" w:lineRule="auto"/>
            </w:pPr>
            <w:r>
              <w:t>50</w:t>
            </w:r>
          </w:p>
        </w:tc>
        <w:tc>
          <w:tcPr>
            <w:tcW w:w="808"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33DE1089" w14:textId="77777777" w:rsidR="00692D21" w:rsidRDefault="002D0AC0">
            <w:pPr>
              <w:spacing w:before="0" w:after="0" w:line="240" w:lineRule="auto"/>
            </w:pPr>
            <w:r>
              <w:t>40</w:t>
            </w:r>
          </w:p>
        </w:tc>
      </w:tr>
      <w:tr w:rsidR="00692D21" w14:paraId="15090EE5" w14:textId="77777777">
        <w:trPr>
          <w:trHeight w:val="830"/>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902DF6" w14:textId="77777777" w:rsidR="00692D21" w:rsidRDefault="002D0AC0">
            <w:pPr>
              <w:spacing w:before="0" w:after="0" w:line="240" w:lineRule="auto"/>
              <w:rPr>
                <w:i/>
                <w:iCs/>
              </w:rPr>
            </w:pPr>
            <w:r>
              <w:rPr>
                <w:i/>
                <w:iCs/>
              </w:rPr>
              <w:t>(Average Accounts Receivable ÷ Total Revenue) x 365</w:t>
            </w:r>
          </w:p>
        </w:tc>
        <w:tc>
          <w:tcPr>
            <w:tcW w:w="1449"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3FEEB7" w14:textId="77777777" w:rsidR="00692D21" w:rsidRDefault="00692D21"/>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B5ACBB" w14:textId="77777777" w:rsidR="00692D21" w:rsidRDefault="002D0AC0">
            <w:pPr>
              <w:spacing w:before="0" w:after="0" w:line="240" w:lineRule="auto"/>
            </w:pPr>
            <w:r>
              <w:t>Recievable Turnover Days</w:t>
            </w:r>
          </w:p>
        </w:tc>
        <w:tc>
          <w:tcPr>
            <w:tcW w:w="767"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61B0825C" w14:textId="77777777" w:rsidR="00692D21" w:rsidRDefault="002D0AC0">
            <w:pPr>
              <w:spacing w:before="0" w:after="0" w:line="240" w:lineRule="auto"/>
            </w:pPr>
            <w:r>
              <w:t>63</w:t>
            </w:r>
          </w:p>
        </w:tc>
        <w:tc>
          <w:tcPr>
            <w:tcW w:w="767"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4B85EA00" w14:textId="77777777" w:rsidR="00692D21" w:rsidRDefault="002D0AC0">
            <w:pPr>
              <w:spacing w:before="0" w:after="0" w:line="240" w:lineRule="auto"/>
            </w:pPr>
            <w:r>
              <w:t>68</w:t>
            </w:r>
          </w:p>
        </w:tc>
        <w:tc>
          <w:tcPr>
            <w:tcW w:w="808"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6B6ECF06" w14:textId="77777777" w:rsidR="00692D21" w:rsidRDefault="002D0AC0">
            <w:pPr>
              <w:spacing w:before="0" w:after="0" w:line="240" w:lineRule="auto"/>
            </w:pPr>
            <w:r>
              <w:t>57</w:t>
            </w:r>
          </w:p>
        </w:tc>
      </w:tr>
      <w:tr w:rsidR="00692D21" w14:paraId="3406AF5E" w14:textId="77777777">
        <w:trPr>
          <w:trHeight w:val="830"/>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8D2875" w14:textId="77777777" w:rsidR="00692D21" w:rsidRDefault="002D0AC0">
            <w:pPr>
              <w:spacing w:before="0" w:after="0" w:line="240" w:lineRule="auto"/>
              <w:rPr>
                <w:i/>
                <w:iCs/>
              </w:rPr>
            </w:pPr>
            <w:r>
              <w:rPr>
                <w:i/>
                <w:iCs/>
              </w:rPr>
              <w:t>(Average Accounts Payable ÷ Cost of Goods Sold) x 365</w:t>
            </w:r>
          </w:p>
        </w:tc>
        <w:tc>
          <w:tcPr>
            <w:tcW w:w="1449"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55CC00" w14:textId="77777777" w:rsidR="00692D21" w:rsidRDefault="00692D21"/>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FD804" w14:textId="77777777" w:rsidR="00692D21" w:rsidRDefault="002D0AC0">
            <w:pPr>
              <w:spacing w:before="0" w:after="0" w:line="240" w:lineRule="auto"/>
            </w:pPr>
            <w:r>
              <w:t>Payable Turnover Days</w:t>
            </w:r>
          </w:p>
        </w:tc>
        <w:tc>
          <w:tcPr>
            <w:tcW w:w="767"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668EFE3F" w14:textId="77777777" w:rsidR="00692D21" w:rsidRDefault="002D0AC0">
            <w:pPr>
              <w:spacing w:before="0" w:after="0" w:line="240" w:lineRule="auto"/>
            </w:pPr>
            <w:r>
              <w:t>66</w:t>
            </w:r>
          </w:p>
        </w:tc>
        <w:tc>
          <w:tcPr>
            <w:tcW w:w="767"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16BCAD34" w14:textId="77777777" w:rsidR="00692D21" w:rsidRDefault="002D0AC0">
            <w:pPr>
              <w:spacing w:before="0" w:after="0" w:line="240" w:lineRule="auto"/>
            </w:pPr>
            <w:r>
              <w:t>66</w:t>
            </w:r>
          </w:p>
        </w:tc>
        <w:tc>
          <w:tcPr>
            <w:tcW w:w="808"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5F4D5019" w14:textId="77777777" w:rsidR="00692D21" w:rsidRDefault="002D0AC0">
            <w:pPr>
              <w:spacing w:before="0" w:after="0" w:line="240" w:lineRule="auto"/>
            </w:pPr>
            <w:r>
              <w:t>52</w:t>
            </w:r>
          </w:p>
        </w:tc>
      </w:tr>
      <w:tr w:rsidR="00692D21" w14:paraId="2C81CB86" w14:textId="77777777">
        <w:trPr>
          <w:trHeight w:val="830"/>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826C48" w14:textId="77777777" w:rsidR="00692D21" w:rsidRDefault="002D0AC0">
            <w:pPr>
              <w:spacing w:before="0" w:after="0" w:line="240" w:lineRule="auto"/>
              <w:rPr>
                <w:i/>
                <w:iCs/>
              </w:rPr>
            </w:pPr>
            <w:r>
              <w:rPr>
                <w:i/>
                <w:iCs/>
              </w:rPr>
              <w:t>Recievable Turnover Days + Inventory Turnover Days - Payable Turnover Days</w:t>
            </w:r>
          </w:p>
        </w:tc>
        <w:tc>
          <w:tcPr>
            <w:tcW w:w="1449"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80FCC4" w14:textId="77777777" w:rsidR="00692D21" w:rsidRDefault="00692D21"/>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6DD9B8" w14:textId="77777777" w:rsidR="00692D21" w:rsidRDefault="002D0AC0">
            <w:pPr>
              <w:spacing w:before="0" w:after="0" w:line="240" w:lineRule="auto"/>
            </w:pPr>
            <w:r>
              <w:t>Working Capital Cycle</w:t>
            </w:r>
          </w:p>
        </w:tc>
        <w:tc>
          <w:tcPr>
            <w:tcW w:w="767"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354664FA" w14:textId="77777777" w:rsidR="00692D21" w:rsidRDefault="002D0AC0">
            <w:pPr>
              <w:spacing w:before="0" w:after="0" w:line="240" w:lineRule="auto"/>
            </w:pPr>
            <w:r>
              <w:t>45</w:t>
            </w:r>
          </w:p>
        </w:tc>
        <w:tc>
          <w:tcPr>
            <w:tcW w:w="767"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689C8B55" w14:textId="77777777" w:rsidR="00692D21" w:rsidRDefault="002D0AC0">
            <w:pPr>
              <w:spacing w:before="0" w:after="0" w:line="240" w:lineRule="auto"/>
            </w:pPr>
            <w:r>
              <w:t>51</w:t>
            </w:r>
          </w:p>
        </w:tc>
        <w:tc>
          <w:tcPr>
            <w:tcW w:w="808"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589A24C7" w14:textId="77777777" w:rsidR="00692D21" w:rsidRDefault="002D0AC0">
            <w:pPr>
              <w:spacing w:before="0" w:after="0" w:line="240" w:lineRule="auto"/>
            </w:pPr>
            <w:r>
              <w:t>45</w:t>
            </w:r>
          </w:p>
        </w:tc>
      </w:tr>
    </w:tbl>
    <w:p w14:paraId="0A69965F" w14:textId="77777777" w:rsidR="00692D21" w:rsidRDefault="002D0AC0">
      <w:pPr>
        <w:jc w:val="center"/>
        <w:rPr>
          <w:b/>
          <w:bCs/>
        </w:rPr>
      </w:pPr>
      <w:r>
        <w:rPr>
          <w:b/>
          <w:bCs/>
        </w:rPr>
        <w:t>Table 3: Efficiency Ratios Calculation</w:t>
      </w:r>
    </w:p>
    <w:p w14:paraId="0FBA60F4" w14:textId="77777777" w:rsidR="00692D21" w:rsidRDefault="002D0AC0">
      <w:pPr>
        <w:jc w:val="center"/>
      </w:pPr>
      <w:r>
        <w:t>(Source:  Self-Developed)</w:t>
      </w:r>
    </w:p>
    <w:p w14:paraId="7C262B15" w14:textId="77777777" w:rsidR="00692D21" w:rsidRDefault="002D0AC0">
      <w:pPr>
        <w:jc w:val="center"/>
      </w:pPr>
      <w:r>
        <w:rPr>
          <w:noProof/>
        </w:rPr>
        <w:drawing>
          <wp:inline distT="114300" distB="114300" distL="114300" distR="114300" wp14:anchorId="431BC847" wp14:editId="1BDF2629">
            <wp:extent cx="5730875" cy="2984500"/>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referRelativeResize="0"/>
                  </pic:nvPicPr>
                  <pic:blipFill>
                    <a:blip r:embed="rId10"/>
                    <a:srcRect/>
                    <a:stretch>
                      <a:fillRect/>
                    </a:stretch>
                  </pic:blipFill>
                  <pic:spPr>
                    <a:xfrm>
                      <a:off x="0" y="0"/>
                      <a:ext cx="5731200" cy="2984500"/>
                    </a:xfrm>
                    <a:prstGeom prst="rect">
                      <a:avLst/>
                    </a:prstGeom>
                    <a:ln w="25400">
                      <a:solidFill>
                        <a:srgbClr val="000000"/>
                      </a:solidFill>
                      <a:prstDash val="solid"/>
                    </a:ln>
                  </pic:spPr>
                </pic:pic>
              </a:graphicData>
            </a:graphic>
          </wp:inline>
        </w:drawing>
      </w:r>
    </w:p>
    <w:p w14:paraId="5F4FB88B" w14:textId="77777777" w:rsidR="00692D21" w:rsidRDefault="002D0AC0">
      <w:pPr>
        <w:jc w:val="center"/>
        <w:rPr>
          <w:b/>
          <w:bCs/>
        </w:rPr>
      </w:pPr>
      <w:r>
        <w:rPr>
          <w:b/>
          <w:bCs/>
        </w:rPr>
        <w:t>Graph 3: Efficiency Ratios</w:t>
      </w:r>
    </w:p>
    <w:p w14:paraId="10678657" w14:textId="77777777" w:rsidR="00692D21" w:rsidRDefault="002D0AC0">
      <w:pPr>
        <w:jc w:val="center"/>
      </w:pPr>
      <w:r>
        <w:t>(Source:  Excel-Generated)</w:t>
      </w:r>
    </w:p>
    <w:p w14:paraId="6E9962E9" w14:textId="77777777" w:rsidR="00692D21" w:rsidRDefault="002D0AC0">
      <w:r>
        <w:t xml:space="preserve">Efficiency ratios demonstrate the efficiency of use of assets and the management of working capital elements by a firm to facilitate the generation of revenue. The inventory turnover days at Shell went up to 48 days as of 2024, compared to 40 days in 2022, indicating that Shell is less efficient at converting inventory into sales, which could be an indicator of logistical challenges and demand response in refining and downstream activities (Sarfo </w:t>
      </w:r>
      <w:r>
        <w:rPr>
          <w:i/>
          <w:iCs/>
        </w:rPr>
        <w:t>et al.</w:t>
      </w:r>
      <w:r>
        <w:t xml:space="preserve">, 2025). The days of receivable turnover were also at an all-time high, with the company extending its credit terms to 63 days in 2024, and this implies that the company uses more trade receivables to maintain commercial relations. </w:t>
      </w:r>
    </w:p>
    <w:p w14:paraId="0D748467" w14:textId="77777777" w:rsidR="00692D21" w:rsidRDefault="002D0AC0">
      <w:r>
        <w:t>The payable turnover days at 66 days have not been increasing over time to 2023 and 2024, showing that Shell can maintain the balance of financing its suppliers without outwardly boosting the short-term pressure. This led to an increase in the working capital cycle, which was 51 days in 2023 and 45 days in 2024, with an improvement in the coordination of inventory, receivables, and payables. Energy companies of scale and nature of contracts can have long working capital cycles as integrated energy companies</w:t>
      </w:r>
      <w:r>
        <w:t>; this is recognised in recent energy industry analysis (Morão, 2025). These efficiency measures indicate the professionally directed operation management, but there is still room to optimise it further.</w:t>
      </w:r>
    </w:p>
    <w:p w14:paraId="4A080B5B" w14:textId="77777777" w:rsidR="00692D21" w:rsidRDefault="002D0AC0">
      <w:pPr>
        <w:pStyle w:val="Heading3"/>
      </w:pPr>
      <w:bookmarkStart w:id="14" w:name="_50id10pcxrku" w:colFirst="0" w:colLast="0"/>
      <w:bookmarkStart w:id="15" w:name="_Toc219123425"/>
      <w:bookmarkEnd w:id="14"/>
      <w:r>
        <w:t>Gearing Analysis</w:t>
      </w:r>
      <w:bookmarkEnd w:id="15"/>
    </w:p>
    <w:tbl>
      <w:tblPr>
        <w:tblStyle w:val="Style15"/>
        <w:tblW w:w="9025" w:type="dxa"/>
        <w:tblInd w:w="0" w:type="dxa"/>
        <w:tblLayout w:type="fixed"/>
        <w:tblLook w:val="04A0" w:firstRow="1" w:lastRow="0" w:firstColumn="1" w:lastColumn="0" w:noHBand="0" w:noVBand="1"/>
      </w:tblPr>
      <w:tblGrid>
        <w:gridCol w:w="3144"/>
        <w:gridCol w:w="1449"/>
        <w:gridCol w:w="2090"/>
        <w:gridCol w:w="767"/>
        <w:gridCol w:w="767"/>
        <w:gridCol w:w="808"/>
      </w:tblGrid>
      <w:tr w:rsidR="00692D21" w14:paraId="63BCB31B" w14:textId="77777777">
        <w:trPr>
          <w:trHeight w:val="515"/>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A874C8" w14:textId="77777777" w:rsidR="00692D21" w:rsidRDefault="002D0AC0">
            <w:pPr>
              <w:spacing w:before="0" w:after="0" w:line="240" w:lineRule="auto"/>
              <w:rPr>
                <w:b/>
                <w:bCs/>
              </w:rPr>
            </w:pPr>
            <w:r>
              <w:rPr>
                <w:b/>
                <w:bCs/>
              </w:rPr>
              <w:t>Formula</w:t>
            </w:r>
          </w:p>
        </w:tc>
        <w:tc>
          <w:tcPr>
            <w:tcW w:w="14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94E484" w14:textId="77777777" w:rsidR="00692D21" w:rsidRDefault="002D0AC0">
            <w:pPr>
              <w:spacing w:before="0" w:after="0" w:line="240" w:lineRule="auto"/>
              <w:rPr>
                <w:b/>
                <w:bCs/>
              </w:rPr>
            </w:pPr>
            <w:r>
              <w:rPr>
                <w:b/>
                <w:bCs/>
              </w:rPr>
              <w:t>Ratio Type</w:t>
            </w:r>
          </w:p>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0F56D9" w14:textId="77777777" w:rsidR="00692D21" w:rsidRDefault="002D0AC0">
            <w:pPr>
              <w:spacing w:before="0" w:after="0" w:line="240" w:lineRule="auto"/>
              <w:rPr>
                <w:b/>
                <w:bCs/>
              </w:rPr>
            </w:pPr>
            <w:r>
              <w:rPr>
                <w:b/>
                <w:bCs/>
              </w:rPr>
              <w:t>Ratio Name</w:t>
            </w:r>
          </w:p>
        </w:tc>
        <w:tc>
          <w:tcPr>
            <w:tcW w:w="7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8393D5" w14:textId="77777777" w:rsidR="00692D21" w:rsidRDefault="002D0AC0">
            <w:pPr>
              <w:spacing w:before="0" w:after="0" w:line="240" w:lineRule="auto"/>
              <w:rPr>
                <w:b/>
                <w:bCs/>
              </w:rPr>
            </w:pPr>
            <w:r>
              <w:rPr>
                <w:b/>
                <w:bCs/>
              </w:rPr>
              <w:t>2024</w:t>
            </w:r>
          </w:p>
        </w:tc>
        <w:tc>
          <w:tcPr>
            <w:tcW w:w="7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CB136A" w14:textId="77777777" w:rsidR="00692D21" w:rsidRDefault="002D0AC0">
            <w:pPr>
              <w:spacing w:before="0" w:after="0" w:line="240" w:lineRule="auto"/>
              <w:rPr>
                <w:b/>
                <w:bCs/>
              </w:rPr>
            </w:pPr>
            <w:r>
              <w:rPr>
                <w:b/>
                <w:bCs/>
              </w:rPr>
              <w:t>2023</w:t>
            </w: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B4BCD2" w14:textId="77777777" w:rsidR="00692D21" w:rsidRDefault="002D0AC0">
            <w:pPr>
              <w:spacing w:before="0" w:after="0" w:line="240" w:lineRule="auto"/>
              <w:rPr>
                <w:b/>
                <w:bCs/>
              </w:rPr>
            </w:pPr>
            <w:r>
              <w:rPr>
                <w:b/>
                <w:bCs/>
              </w:rPr>
              <w:t>2022</w:t>
            </w:r>
          </w:p>
        </w:tc>
      </w:tr>
      <w:tr w:rsidR="00692D21" w14:paraId="2FDA7795" w14:textId="77777777">
        <w:trPr>
          <w:trHeight w:val="515"/>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300573" w14:textId="77777777" w:rsidR="00692D21" w:rsidRDefault="002D0AC0">
            <w:pPr>
              <w:spacing w:before="0" w:after="0" w:line="240" w:lineRule="auto"/>
              <w:rPr>
                <w:i/>
                <w:iCs/>
              </w:rPr>
            </w:pPr>
            <w:r>
              <w:rPr>
                <w:i/>
                <w:iCs/>
              </w:rPr>
              <w:t>Long-term debt ÷ Total Equity</w:t>
            </w:r>
          </w:p>
        </w:tc>
        <w:tc>
          <w:tcPr>
            <w:tcW w:w="1449"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4DE32C" w14:textId="77777777" w:rsidR="00692D21" w:rsidRDefault="002D0AC0">
            <w:pPr>
              <w:spacing w:before="0" w:after="0" w:line="240" w:lineRule="auto"/>
            </w:pPr>
            <w:r>
              <w:t>Gearing</w:t>
            </w:r>
          </w:p>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10D305" w14:textId="77777777" w:rsidR="00692D21" w:rsidRDefault="002D0AC0">
            <w:pPr>
              <w:spacing w:before="0" w:after="0" w:line="240" w:lineRule="auto"/>
            </w:pPr>
            <w:r>
              <w:t>Debt-to-Equity Ratio</w:t>
            </w:r>
          </w:p>
        </w:tc>
        <w:tc>
          <w:tcPr>
            <w:tcW w:w="767"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1D7C3DF6" w14:textId="77777777" w:rsidR="00692D21" w:rsidRDefault="002D0AC0">
            <w:pPr>
              <w:spacing w:before="0" w:after="0" w:line="240" w:lineRule="auto"/>
            </w:pPr>
            <w:r>
              <w:t>0.36</w:t>
            </w:r>
          </w:p>
        </w:tc>
        <w:tc>
          <w:tcPr>
            <w:tcW w:w="767"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4261C35C" w14:textId="77777777" w:rsidR="00692D21" w:rsidRDefault="002D0AC0">
            <w:pPr>
              <w:spacing w:before="0" w:after="0" w:line="240" w:lineRule="auto"/>
            </w:pPr>
            <w:r>
              <w:t>0.38</w:t>
            </w:r>
          </w:p>
        </w:tc>
        <w:tc>
          <w:tcPr>
            <w:tcW w:w="808"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3B9074B8" w14:textId="77777777" w:rsidR="00692D21" w:rsidRDefault="002D0AC0">
            <w:pPr>
              <w:spacing w:before="0" w:after="0" w:line="240" w:lineRule="auto"/>
            </w:pPr>
            <w:r>
              <w:t>0.39</w:t>
            </w:r>
          </w:p>
        </w:tc>
      </w:tr>
      <w:tr w:rsidR="00692D21" w14:paraId="5E80C385" w14:textId="77777777">
        <w:trPr>
          <w:trHeight w:val="515"/>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2A6691" w14:textId="77777777" w:rsidR="00692D21" w:rsidRDefault="002D0AC0">
            <w:pPr>
              <w:spacing w:before="0" w:after="0" w:line="240" w:lineRule="auto"/>
              <w:rPr>
                <w:i/>
                <w:iCs/>
              </w:rPr>
            </w:pPr>
            <w:r>
              <w:rPr>
                <w:i/>
                <w:iCs/>
              </w:rPr>
              <w:t>EBIT ÷ Interest Expense</w:t>
            </w:r>
          </w:p>
        </w:tc>
        <w:tc>
          <w:tcPr>
            <w:tcW w:w="1449"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ADC7E7" w14:textId="77777777" w:rsidR="00692D21" w:rsidRDefault="00692D21"/>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DAD318" w14:textId="77777777" w:rsidR="00692D21" w:rsidRDefault="002D0AC0">
            <w:pPr>
              <w:spacing w:before="0" w:after="0" w:line="240" w:lineRule="auto"/>
            </w:pPr>
            <w:r>
              <w:t>Interest Cover</w:t>
            </w:r>
          </w:p>
        </w:tc>
        <w:tc>
          <w:tcPr>
            <w:tcW w:w="767"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4AE101F4" w14:textId="77777777" w:rsidR="00692D21" w:rsidRDefault="002D0AC0">
            <w:pPr>
              <w:spacing w:before="0" w:after="0" w:line="240" w:lineRule="auto"/>
            </w:pPr>
            <w:r>
              <w:t>7.46</w:t>
            </w:r>
          </w:p>
        </w:tc>
        <w:tc>
          <w:tcPr>
            <w:tcW w:w="767"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3514DD5C" w14:textId="77777777" w:rsidR="00692D21" w:rsidRDefault="002D0AC0">
            <w:pPr>
              <w:spacing w:before="0" w:after="0" w:line="240" w:lineRule="auto"/>
            </w:pPr>
            <w:r>
              <w:t>7.94</w:t>
            </w:r>
          </w:p>
        </w:tc>
        <w:tc>
          <w:tcPr>
            <w:tcW w:w="808"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7C7CE597" w14:textId="77777777" w:rsidR="00692D21" w:rsidRDefault="002D0AC0">
            <w:pPr>
              <w:spacing w:before="0" w:after="0" w:line="240" w:lineRule="auto"/>
            </w:pPr>
            <w:r>
              <w:t>21.38</w:t>
            </w:r>
          </w:p>
        </w:tc>
      </w:tr>
      <w:tr w:rsidR="00692D21" w14:paraId="6307BEB5" w14:textId="77777777">
        <w:trPr>
          <w:trHeight w:val="515"/>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D9B44A" w14:textId="77777777" w:rsidR="00692D21" w:rsidRDefault="002D0AC0">
            <w:pPr>
              <w:spacing w:before="0" w:after="0" w:line="240" w:lineRule="auto"/>
              <w:rPr>
                <w:i/>
                <w:iCs/>
              </w:rPr>
            </w:pPr>
            <w:r>
              <w:rPr>
                <w:i/>
                <w:iCs/>
              </w:rPr>
              <w:t>Long-term debt ÷ Total Assets</w:t>
            </w:r>
          </w:p>
        </w:tc>
        <w:tc>
          <w:tcPr>
            <w:tcW w:w="1449"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E62EBC" w14:textId="77777777" w:rsidR="00692D21" w:rsidRDefault="00692D21"/>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9BB073" w14:textId="77777777" w:rsidR="00692D21" w:rsidRDefault="002D0AC0">
            <w:pPr>
              <w:spacing w:before="0" w:after="0" w:line="240" w:lineRule="auto"/>
            </w:pPr>
            <w:r>
              <w:t>Debt-to-Assets Ratio</w:t>
            </w:r>
          </w:p>
        </w:tc>
        <w:tc>
          <w:tcPr>
            <w:tcW w:w="767"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4ACCF090" w14:textId="77777777" w:rsidR="00692D21" w:rsidRDefault="002D0AC0">
            <w:pPr>
              <w:spacing w:before="0" w:after="0" w:line="240" w:lineRule="auto"/>
            </w:pPr>
            <w:r>
              <w:t>0.17</w:t>
            </w:r>
          </w:p>
        </w:tc>
        <w:tc>
          <w:tcPr>
            <w:tcW w:w="767"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33359469" w14:textId="77777777" w:rsidR="00692D21" w:rsidRDefault="002D0AC0">
            <w:pPr>
              <w:spacing w:before="0" w:after="0" w:line="240" w:lineRule="auto"/>
            </w:pPr>
            <w:r>
              <w:t>0.18</w:t>
            </w:r>
          </w:p>
        </w:tc>
        <w:tc>
          <w:tcPr>
            <w:tcW w:w="808"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298B60A7" w14:textId="77777777" w:rsidR="00692D21" w:rsidRDefault="002D0AC0">
            <w:pPr>
              <w:spacing w:before="0" w:after="0" w:line="240" w:lineRule="auto"/>
            </w:pPr>
            <w:r>
              <w:t>0.17</w:t>
            </w:r>
          </w:p>
        </w:tc>
      </w:tr>
    </w:tbl>
    <w:p w14:paraId="3B2C1001" w14:textId="77777777" w:rsidR="00692D21" w:rsidRDefault="002D0AC0">
      <w:pPr>
        <w:jc w:val="center"/>
        <w:rPr>
          <w:b/>
          <w:bCs/>
        </w:rPr>
      </w:pPr>
      <w:r>
        <w:rPr>
          <w:b/>
          <w:bCs/>
        </w:rPr>
        <w:t>Table 4: Gearing Ratios Calculation</w:t>
      </w:r>
    </w:p>
    <w:p w14:paraId="246EBF92" w14:textId="77777777" w:rsidR="00692D21" w:rsidRDefault="002D0AC0">
      <w:pPr>
        <w:jc w:val="center"/>
      </w:pPr>
      <w:r>
        <w:t>(Source:  Self-Developed)</w:t>
      </w:r>
    </w:p>
    <w:p w14:paraId="47B80946" w14:textId="77777777" w:rsidR="00692D21" w:rsidRDefault="002D0AC0">
      <w:pPr>
        <w:jc w:val="center"/>
      </w:pPr>
      <w:r>
        <w:rPr>
          <w:noProof/>
        </w:rPr>
        <w:drawing>
          <wp:inline distT="114300" distB="114300" distL="114300" distR="114300" wp14:anchorId="5AC7A89E" wp14:editId="389C984E">
            <wp:extent cx="5730875" cy="17399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11"/>
                    <a:srcRect/>
                    <a:stretch>
                      <a:fillRect/>
                    </a:stretch>
                  </pic:blipFill>
                  <pic:spPr>
                    <a:xfrm>
                      <a:off x="0" y="0"/>
                      <a:ext cx="5731200" cy="1739900"/>
                    </a:xfrm>
                    <a:prstGeom prst="rect">
                      <a:avLst/>
                    </a:prstGeom>
                    <a:ln w="25400">
                      <a:solidFill>
                        <a:srgbClr val="000000"/>
                      </a:solidFill>
                      <a:prstDash val="solid"/>
                    </a:ln>
                  </pic:spPr>
                </pic:pic>
              </a:graphicData>
            </a:graphic>
          </wp:inline>
        </w:drawing>
      </w:r>
    </w:p>
    <w:p w14:paraId="7A4895F9" w14:textId="77777777" w:rsidR="00692D21" w:rsidRDefault="002D0AC0">
      <w:pPr>
        <w:jc w:val="center"/>
        <w:rPr>
          <w:b/>
          <w:bCs/>
        </w:rPr>
      </w:pPr>
      <w:r>
        <w:rPr>
          <w:b/>
          <w:bCs/>
        </w:rPr>
        <w:t>Graph 4: Gearing Ratios</w:t>
      </w:r>
    </w:p>
    <w:p w14:paraId="4DAE5F9A" w14:textId="77777777" w:rsidR="00692D21" w:rsidRDefault="002D0AC0">
      <w:pPr>
        <w:jc w:val="center"/>
      </w:pPr>
      <w:r>
        <w:t>(Source:  Excel-Generated)</w:t>
      </w:r>
    </w:p>
    <w:p w14:paraId="3596713C" w14:textId="77777777" w:rsidR="00692D21" w:rsidRDefault="002D0AC0">
      <w:r>
        <w:t>Gearing ratios determine how much the company is dependent on debt financing and its ability to sustain the servicing of interest. The debt-to-equity ratio of Shell was also decreasing but slowly, i.e. the gradual fortification of the equity base as compared with long-term debt in 2021 by 0.39 and then 0.36 in 2022 and 2024, respectively. Such reduction is due to active deleveraging policies and retained earnings build-ups after high cash-generating periods. The Interest cover, however, deteriorated conside</w:t>
      </w:r>
      <w:r>
        <w:t>rably, was 21.38 times in 2022 and 7.46 times in 2024, mainly because of lower operating profits and higher interest expense. Corporate strategy statements emphasise the commitment of Shell to the top in terms of keeping investment grade credit measures and investing in energy transition programmes and dividends to shareholders (Osmundsen and Gjesdal, 2024). The debt-to-assets ratio has been steadied at around 0.17 -0.18, which confirms that the total financial leverage is also moderate and managed. Taken t</w:t>
      </w:r>
      <w:r>
        <w:t>ogether, gearing measures indicate that Shell still has considerable financial manoeuvrability, but the deteriorating earnings coverage should be followed up in a renewing profit landscape.</w:t>
      </w:r>
    </w:p>
    <w:p w14:paraId="6782DFEA" w14:textId="77777777" w:rsidR="00692D21" w:rsidRDefault="002D0AC0">
      <w:pPr>
        <w:pStyle w:val="Heading3"/>
      </w:pPr>
      <w:bookmarkStart w:id="16" w:name="_sxpr23y1xmb" w:colFirst="0" w:colLast="0"/>
      <w:bookmarkStart w:id="17" w:name="_Toc219123426"/>
      <w:bookmarkEnd w:id="16"/>
      <w:r>
        <w:t>Return Ratio Analysis</w:t>
      </w:r>
      <w:bookmarkEnd w:id="17"/>
    </w:p>
    <w:tbl>
      <w:tblPr>
        <w:tblStyle w:val="Style16"/>
        <w:tblW w:w="9025" w:type="dxa"/>
        <w:tblInd w:w="0" w:type="dxa"/>
        <w:tblLayout w:type="fixed"/>
        <w:tblLook w:val="04A0" w:firstRow="1" w:lastRow="0" w:firstColumn="1" w:lastColumn="0" w:noHBand="0" w:noVBand="1"/>
      </w:tblPr>
      <w:tblGrid>
        <w:gridCol w:w="3144"/>
        <w:gridCol w:w="1449"/>
        <w:gridCol w:w="2090"/>
        <w:gridCol w:w="767"/>
        <w:gridCol w:w="767"/>
        <w:gridCol w:w="808"/>
      </w:tblGrid>
      <w:tr w:rsidR="00692D21" w14:paraId="2FDFAD9F" w14:textId="77777777">
        <w:trPr>
          <w:trHeight w:val="515"/>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D4FB09" w14:textId="77777777" w:rsidR="00692D21" w:rsidRDefault="002D0AC0">
            <w:pPr>
              <w:spacing w:before="0" w:after="0" w:line="240" w:lineRule="auto"/>
              <w:rPr>
                <w:b/>
                <w:bCs/>
              </w:rPr>
            </w:pPr>
            <w:r>
              <w:rPr>
                <w:b/>
                <w:bCs/>
              </w:rPr>
              <w:t>Formula</w:t>
            </w:r>
          </w:p>
        </w:tc>
        <w:tc>
          <w:tcPr>
            <w:tcW w:w="14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AF58BE" w14:textId="77777777" w:rsidR="00692D21" w:rsidRDefault="002D0AC0">
            <w:pPr>
              <w:spacing w:before="0" w:after="0" w:line="240" w:lineRule="auto"/>
              <w:rPr>
                <w:b/>
                <w:bCs/>
              </w:rPr>
            </w:pPr>
            <w:r>
              <w:rPr>
                <w:b/>
                <w:bCs/>
              </w:rPr>
              <w:t>Ratio Type</w:t>
            </w:r>
          </w:p>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EC4E02" w14:textId="77777777" w:rsidR="00692D21" w:rsidRDefault="002D0AC0">
            <w:pPr>
              <w:spacing w:before="0" w:after="0" w:line="240" w:lineRule="auto"/>
              <w:rPr>
                <w:b/>
                <w:bCs/>
              </w:rPr>
            </w:pPr>
            <w:r>
              <w:rPr>
                <w:b/>
                <w:bCs/>
              </w:rPr>
              <w:t>Ratio Name</w:t>
            </w:r>
          </w:p>
        </w:tc>
        <w:tc>
          <w:tcPr>
            <w:tcW w:w="7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798C86" w14:textId="77777777" w:rsidR="00692D21" w:rsidRDefault="002D0AC0">
            <w:pPr>
              <w:spacing w:before="0" w:after="0" w:line="240" w:lineRule="auto"/>
              <w:rPr>
                <w:b/>
                <w:bCs/>
              </w:rPr>
            </w:pPr>
            <w:r>
              <w:rPr>
                <w:b/>
                <w:bCs/>
              </w:rPr>
              <w:t>2024</w:t>
            </w:r>
          </w:p>
        </w:tc>
        <w:tc>
          <w:tcPr>
            <w:tcW w:w="7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10DCCD" w14:textId="77777777" w:rsidR="00692D21" w:rsidRDefault="002D0AC0">
            <w:pPr>
              <w:spacing w:before="0" w:after="0" w:line="240" w:lineRule="auto"/>
              <w:rPr>
                <w:b/>
                <w:bCs/>
              </w:rPr>
            </w:pPr>
            <w:r>
              <w:rPr>
                <w:b/>
                <w:bCs/>
              </w:rPr>
              <w:t>2023</w:t>
            </w: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F38270" w14:textId="77777777" w:rsidR="00692D21" w:rsidRDefault="002D0AC0">
            <w:pPr>
              <w:spacing w:before="0" w:after="0" w:line="240" w:lineRule="auto"/>
              <w:rPr>
                <w:b/>
                <w:bCs/>
              </w:rPr>
            </w:pPr>
            <w:r>
              <w:rPr>
                <w:b/>
                <w:bCs/>
              </w:rPr>
              <w:t>2022</w:t>
            </w:r>
          </w:p>
        </w:tc>
      </w:tr>
      <w:tr w:rsidR="00692D21" w14:paraId="3286139E" w14:textId="77777777">
        <w:trPr>
          <w:trHeight w:val="515"/>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1489AD" w14:textId="77777777" w:rsidR="00692D21" w:rsidRDefault="002D0AC0">
            <w:pPr>
              <w:spacing w:before="0" w:after="0" w:line="240" w:lineRule="auto"/>
              <w:rPr>
                <w:i/>
                <w:iCs/>
              </w:rPr>
            </w:pPr>
            <w:r>
              <w:rPr>
                <w:i/>
                <w:iCs/>
              </w:rPr>
              <w:t>Profit after Tax ÷ Average Total Assets</w:t>
            </w:r>
          </w:p>
        </w:tc>
        <w:tc>
          <w:tcPr>
            <w:tcW w:w="1449"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F26E51" w14:textId="77777777" w:rsidR="00692D21" w:rsidRDefault="002D0AC0">
            <w:pPr>
              <w:spacing w:before="0" w:after="0" w:line="240" w:lineRule="auto"/>
            </w:pPr>
            <w:r>
              <w:t>Return</w:t>
            </w:r>
          </w:p>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7EE34E" w14:textId="77777777" w:rsidR="00692D21" w:rsidRDefault="002D0AC0">
            <w:pPr>
              <w:spacing w:before="0" w:after="0" w:line="240" w:lineRule="auto"/>
            </w:pPr>
            <w:r>
              <w:t>Return on Assets (%)</w:t>
            </w:r>
          </w:p>
        </w:tc>
        <w:tc>
          <w:tcPr>
            <w:tcW w:w="767"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0EE304ED" w14:textId="77777777" w:rsidR="00692D21" w:rsidRDefault="002D0AC0">
            <w:pPr>
              <w:spacing w:before="0" w:after="0" w:line="240" w:lineRule="auto"/>
            </w:pPr>
            <w:r>
              <w:t>4.16%</w:t>
            </w:r>
          </w:p>
        </w:tc>
        <w:tc>
          <w:tcPr>
            <w:tcW w:w="767"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3640A68E" w14:textId="77777777" w:rsidR="00692D21" w:rsidRDefault="002D0AC0">
            <w:pPr>
              <w:spacing w:before="0" w:after="0" w:line="240" w:lineRule="auto"/>
            </w:pPr>
            <w:r>
              <w:t>4.62%</w:t>
            </w:r>
          </w:p>
        </w:tc>
        <w:tc>
          <w:tcPr>
            <w:tcW w:w="808"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694260BD" w14:textId="77777777" w:rsidR="00692D21" w:rsidRDefault="002D0AC0">
            <w:pPr>
              <w:spacing w:before="0" w:after="0" w:line="240" w:lineRule="auto"/>
            </w:pPr>
            <w:r>
              <w:t>10.12%</w:t>
            </w:r>
          </w:p>
        </w:tc>
      </w:tr>
      <w:tr w:rsidR="00692D21" w14:paraId="779BDF99" w14:textId="77777777">
        <w:trPr>
          <w:trHeight w:val="830"/>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AB6FE2" w14:textId="77777777" w:rsidR="00692D21" w:rsidRDefault="002D0AC0">
            <w:pPr>
              <w:spacing w:before="0" w:after="0" w:line="240" w:lineRule="auto"/>
              <w:rPr>
                <w:i/>
                <w:iCs/>
              </w:rPr>
            </w:pPr>
            <w:r>
              <w:rPr>
                <w:i/>
                <w:iCs/>
              </w:rPr>
              <w:t>EBIT ÷ (Total Assets - Total Current Liabilities)</w:t>
            </w:r>
          </w:p>
        </w:tc>
        <w:tc>
          <w:tcPr>
            <w:tcW w:w="1449"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F028FD" w14:textId="77777777" w:rsidR="00692D21" w:rsidRDefault="00692D21"/>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613D5E" w14:textId="77777777" w:rsidR="00692D21" w:rsidRDefault="002D0AC0">
            <w:pPr>
              <w:spacing w:before="0" w:after="0" w:line="240" w:lineRule="auto"/>
            </w:pPr>
            <w:r>
              <w:t>Return on Capital Employed  (%)</w:t>
            </w:r>
          </w:p>
        </w:tc>
        <w:tc>
          <w:tcPr>
            <w:tcW w:w="767"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147BEF41" w14:textId="77777777" w:rsidR="00692D21" w:rsidRDefault="002D0AC0">
            <w:pPr>
              <w:spacing w:before="0" w:after="0" w:line="240" w:lineRule="auto"/>
            </w:pPr>
            <w:r>
              <w:t>19.80%</w:t>
            </w:r>
          </w:p>
        </w:tc>
        <w:tc>
          <w:tcPr>
            <w:tcW w:w="767"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71965B9D" w14:textId="77777777" w:rsidR="00692D21" w:rsidRDefault="002D0AC0">
            <w:pPr>
              <w:spacing w:before="0" w:after="0" w:line="240" w:lineRule="auto"/>
            </w:pPr>
            <w:r>
              <w:t>19.71%</w:t>
            </w:r>
          </w:p>
        </w:tc>
        <w:tc>
          <w:tcPr>
            <w:tcW w:w="808"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30458F6C" w14:textId="77777777" w:rsidR="00692D21" w:rsidRDefault="002D0AC0">
            <w:pPr>
              <w:spacing w:before="0" w:after="0" w:line="240" w:lineRule="auto"/>
            </w:pPr>
            <w:r>
              <w:t>35.30%</w:t>
            </w:r>
          </w:p>
        </w:tc>
      </w:tr>
      <w:tr w:rsidR="00692D21" w14:paraId="75C1092F" w14:textId="77777777">
        <w:trPr>
          <w:trHeight w:val="830"/>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DDE7B8" w14:textId="77777777" w:rsidR="00692D21" w:rsidRDefault="002D0AC0">
            <w:pPr>
              <w:spacing w:before="0" w:after="0" w:line="240" w:lineRule="auto"/>
              <w:rPr>
                <w:i/>
                <w:iCs/>
              </w:rPr>
            </w:pPr>
            <w:r>
              <w:rPr>
                <w:i/>
                <w:iCs/>
              </w:rPr>
              <w:t>Profit after Tax ÷ Average Shareholders' Equity</w:t>
            </w:r>
          </w:p>
        </w:tc>
        <w:tc>
          <w:tcPr>
            <w:tcW w:w="1449"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0F5057" w14:textId="77777777" w:rsidR="00692D21" w:rsidRDefault="00692D21"/>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89F2EB" w14:textId="77777777" w:rsidR="00692D21" w:rsidRDefault="002D0AC0">
            <w:pPr>
              <w:spacing w:before="0" w:after="0" w:line="240" w:lineRule="auto"/>
            </w:pPr>
            <w:r>
              <w:t>Return on Equity  (%)</w:t>
            </w:r>
          </w:p>
        </w:tc>
        <w:tc>
          <w:tcPr>
            <w:tcW w:w="767"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06390EFF" w14:textId="77777777" w:rsidR="00692D21" w:rsidRDefault="002D0AC0">
            <w:pPr>
              <w:spacing w:before="0" w:after="0" w:line="240" w:lineRule="auto"/>
            </w:pPr>
            <w:r>
              <w:t>8.97%</w:t>
            </w:r>
          </w:p>
        </w:tc>
        <w:tc>
          <w:tcPr>
            <w:tcW w:w="767"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5600F625" w14:textId="77777777" w:rsidR="00692D21" w:rsidRDefault="002D0AC0">
            <w:pPr>
              <w:spacing w:before="0" w:after="0" w:line="240" w:lineRule="auto"/>
            </w:pPr>
            <w:r>
              <w:t>10.31%</w:t>
            </w:r>
          </w:p>
        </w:tc>
        <w:tc>
          <w:tcPr>
            <w:tcW w:w="808"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7DEFDB67" w14:textId="77777777" w:rsidR="00692D21" w:rsidRDefault="002D0AC0">
            <w:pPr>
              <w:spacing w:before="0" w:after="0" w:line="240" w:lineRule="auto"/>
            </w:pPr>
            <w:r>
              <w:t>23.31%</w:t>
            </w:r>
          </w:p>
        </w:tc>
      </w:tr>
    </w:tbl>
    <w:p w14:paraId="098A3934" w14:textId="77777777" w:rsidR="00692D21" w:rsidRDefault="002D0AC0">
      <w:pPr>
        <w:jc w:val="center"/>
        <w:rPr>
          <w:b/>
          <w:bCs/>
        </w:rPr>
      </w:pPr>
      <w:r>
        <w:rPr>
          <w:b/>
          <w:bCs/>
        </w:rPr>
        <w:t>Table 5: Return Ratios Calculation</w:t>
      </w:r>
    </w:p>
    <w:p w14:paraId="16C12D60" w14:textId="77777777" w:rsidR="00692D21" w:rsidRDefault="002D0AC0">
      <w:pPr>
        <w:jc w:val="center"/>
      </w:pPr>
      <w:r>
        <w:t>(Source:  Self-Developed)</w:t>
      </w:r>
    </w:p>
    <w:p w14:paraId="0BF6792B" w14:textId="77777777" w:rsidR="00692D21" w:rsidRDefault="002D0AC0">
      <w:pPr>
        <w:jc w:val="center"/>
      </w:pPr>
      <w:r>
        <w:rPr>
          <w:noProof/>
        </w:rPr>
        <w:drawing>
          <wp:inline distT="114300" distB="114300" distL="114300" distR="114300" wp14:anchorId="6A8BB92E" wp14:editId="0D4C198B">
            <wp:extent cx="5730875" cy="3251200"/>
            <wp:effectExtent l="25400" t="25400" r="25400" b="25400"/>
            <wp:docPr id="7" name="image6.png"/>
            <wp:cNvGraphicFramePr/>
            <a:graphic xmlns:a="http://schemas.openxmlformats.org/drawingml/2006/main">
              <a:graphicData uri="http://schemas.openxmlformats.org/drawingml/2006/picture">
                <pic:pic xmlns:pic="http://schemas.openxmlformats.org/drawingml/2006/picture">
                  <pic:nvPicPr>
                    <pic:cNvPr id="7" name="image6.png"/>
                    <pic:cNvPicPr preferRelativeResize="0"/>
                  </pic:nvPicPr>
                  <pic:blipFill>
                    <a:blip r:embed="rId12"/>
                    <a:srcRect/>
                    <a:stretch>
                      <a:fillRect/>
                    </a:stretch>
                  </pic:blipFill>
                  <pic:spPr>
                    <a:xfrm>
                      <a:off x="0" y="0"/>
                      <a:ext cx="5731200" cy="3251200"/>
                    </a:xfrm>
                    <a:prstGeom prst="rect">
                      <a:avLst/>
                    </a:prstGeom>
                    <a:ln w="25400">
                      <a:solidFill>
                        <a:srgbClr val="000000"/>
                      </a:solidFill>
                      <a:prstDash val="solid"/>
                    </a:ln>
                  </pic:spPr>
                </pic:pic>
              </a:graphicData>
            </a:graphic>
          </wp:inline>
        </w:drawing>
      </w:r>
    </w:p>
    <w:p w14:paraId="0993306E" w14:textId="77777777" w:rsidR="00692D21" w:rsidRDefault="002D0AC0">
      <w:pPr>
        <w:jc w:val="center"/>
        <w:rPr>
          <w:b/>
          <w:bCs/>
        </w:rPr>
      </w:pPr>
      <w:r>
        <w:rPr>
          <w:b/>
          <w:bCs/>
        </w:rPr>
        <w:t>Graph 5: Return Ratios</w:t>
      </w:r>
    </w:p>
    <w:p w14:paraId="6EB59C36" w14:textId="77777777" w:rsidR="00692D21" w:rsidRDefault="002D0AC0">
      <w:pPr>
        <w:jc w:val="center"/>
      </w:pPr>
      <w:r>
        <w:t>(Source:  Excel-Generated)</w:t>
      </w:r>
    </w:p>
    <w:p w14:paraId="4836C2EC" w14:textId="77777777" w:rsidR="00692D21" w:rsidRDefault="002D0AC0">
      <w:r>
        <w:t>Return ratios are used to assess the competence of firms in turning invested capital and assets into accounting profit, thus efficiency in management and quality of capital allocation are measured. In Shell Plc, the ratio of returns on assets decreased drastically in 2024 by 4.16 as compared to 10.12 in 2022, indicating that the ratio of profits generated to the investment base significantly decreased. This decline points to the modest earnings stabilisation after extraordinary conditions in the energy mark</w:t>
      </w:r>
      <w:r>
        <w:t xml:space="preserve">et as well as a continuing, high and capital-intensive assets base (Christophers, 2021). The focus in corporate reporting emphasises further investment in upstream, LNG, and other transition-related assets that cause a temporary reduction in asset-based returns in times of earnings normalisation. </w:t>
      </w:r>
    </w:p>
    <w:p w14:paraId="77E0A296" w14:textId="77777777" w:rsidR="00692D21" w:rsidRDefault="002D0AC0">
      <w:r>
        <w:t>The return on capital employed also traced the same pattern, declining to 35.30% in 2022, down to 19.80% in 202,4, indicating inefficiency in the operation, though capital management was strict. There was a fall in both the net returns and the equity base as the previously recorded returns of 23.31% were reduced to a lower rate of 8.97% due to decreased net profits and improved equity base caused by retained earnings and lower leverage. This result can be attributed to the fact that Shell plc has prioritise</w:t>
      </w:r>
      <w:r>
        <w:t>d balance sheet resilience and long-term value creation due to its strategic focus, which mechanically reduces the measures of returns in the short term (Hajiyev, Abdullayeva and Abdullayeva, 2024). Overall, the fact that there is a normalisation and not structural weakness, particularly of figures in return ratios, suggests that a long-term recovery will be determined by a greater increase in earnings momentum.</w:t>
      </w:r>
    </w:p>
    <w:p w14:paraId="7FCA3FF0" w14:textId="77777777" w:rsidR="00692D21" w:rsidRDefault="002D0AC0">
      <w:pPr>
        <w:pStyle w:val="Heading3"/>
      </w:pPr>
      <w:bookmarkStart w:id="18" w:name="_5yh5jzqsgt0i" w:colFirst="0" w:colLast="0"/>
      <w:bookmarkStart w:id="19" w:name="_Toc219123427"/>
      <w:bookmarkEnd w:id="18"/>
      <w:r>
        <w:t>Investor Ratio Analysis</w:t>
      </w:r>
      <w:bookmarkEnd w:id="19"/>
    </w:p>
    <w:tbl>
      <w:tblPr>
        <w:tblStyle w:val="Style17"/>
        <w:tblW w:w="9025" w:type="dxa"/>
        <w:tblInd w:w="0" w:type="dxa"/>
        <w:tblLayout w:type="fixed"/>
        <w:tblLook w:val="04A0" w:firstRow="1" w:lastRow="0" w:firstColumn="1" w:lastColumn="0" w:noHBand="0" w:noVBand="1"/>
      </w:tblPr>
      <w:tblGrid>
        <w:gridCol w:w="3144"/>
        <w:gridCol w:w="1449"/>
        <w:gridCol w:w="2090"/>
        <w:gridCol w:w="767"/>
        <w:gridCol w:w="767"/>
        <w:gridCol w:w="808"/>
      </w:tblGrid>
      <w:tr w:rsidR="00692D21" w14:paraId="1F629F1B" w14:textId="77777777">
        <w:trPr>
          <w:trHeight w:val="515"/>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03C62A" w14:textId="77777777" w:rsidR="00692D21" w:rsidRDefault="002D0AC0">
            <w:pPr>
              <w:spacing w:before="0" w:after="0" w:line="240" w:lineRule="auto"/>
              <w:rPr>
                <w:b/>
                <w:bCs/>
              </w:rPr>
            </w:pPr>
            <w:r>
              <w:rPr>
                <w:b/>
                <w:bCs/>
              </w:rPr>
              <w:t>Formula</w:t>
            </w:r>
          </w:p>
        </w:tc>
        <w:tc>
          <w:tcPr>
            <w:tcW w:w="14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D5E2FE" w14:textId="77777777" w:rsidR="00692D21" w:rsidRDefault="002D0AC0">
            <w:pPr>
              <w:spacing w:before="0" w:after="0" w:line="240" w:lineRule="auto"/>
              <w:rPr>
                <w:b/>
                <w:bCs/>
              </w:rPr>
            </w:pPr>
            <w:r>
              <w:rPr>
                <w:b/>
                <w:bCs/>
              </w:rPr>
              <w:t>Ratio Type</w:t>
            </w:r>
          </w:p>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720AC7" w14:textId="77777777" w:rsidR="00692D21" w:rsidRDefault="002D0AC0">
            <w:pPr>
              <w:spacing w:before="0" w:after="0" w:line="240" w:lineRule="auto"/>
              <w:rPr>
                <w:b/>
                <w:bCs/>
              </w:rPr>
            </w:pPr>
            <w:r>
              <w:rPr>
                <w:b/>
                <w:bCs/>
              </w:rPr>
              <w:t>Ratio Name</w:t>
            </w:r>
          </w:p>
        </w:tc>
        <w:tc>
          <w:tcPr>
            <w:tcW w:w="7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1472B3" w14:textId="77777777" w:rsidR="00692D21" w:rsidRDefault="002D0AC0">
            <w:pPr>
              <w:spacing w:before="0" w:after="0" w:line="240" w:lineRule="auto"/>
              <w:rPr>
                <w:b/>
                <w:bCs/>
              </w:rPr>
            </w:pPr>
            <w:r>
              <w:rPr>
                <w:b/>
                <w:bCs/>
              </w:rPr>
              <w:t>2024</w:t>
            </w:r>
          </w:p>
        </w:tc>
        <w:tc>
          <w:tcPr>
            <w:tcW w:w="7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8100FD" w14:textId="77777777" w:rsidR="00692D21" w:rsidRDefault="002D0AC0">
            <w:pPr>
              <w:spacing w:before="0" w:after="0" w:line="240" w:lineRule="auto"/>
              <w:rPr>
                <w:b/>
                <w:bCs/>
              </w:rPr>
            </w:pPr>
            <w:r>
              <w:rPr>
                <w:b/>
                <w:bCs/>
              </w:rPr>
              <w:t>2023</w:t>
            </w: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0FBA15" w14:textId="77777777" w:rsidR="00692D21" w:rsidRDefault="002D0AC0">
            <w:pPr>
              <w:spacing w:before="0" w:after="0" w:line="240" w:lineRule="auto"/>
              <w:rPr>
                <w:b/>
                <w:bCs/>
              </w:rPr>
            </w:pPr>
            <w:r>
              <w:rPr>
                <w:b/>
                <w:bCs/>
              </w:rPr>
              <w:t>2022</w:t>
            </w:r>
          </w:p>
        </w:tc>
      </w:tr>
      <w:tr w:rsidR="00692D21" w14:paraId="290F1442" w14:textId="77777777">
        <w:trPr>
          <w:trHeight w:val="515"/>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7EA2BB" w14:textId="77777777" w:rsidR="00692D21" w:rsidRDefault="002D0AC0">
            <w:pPr>
              <w:spacing w:before="0" w:after="0" w:line="240" w:lineRule="auto"/>
              <w:rPr>
                <w:i/>
                <w:iCs/>
              </w:rPr>
            </w:pPr>
            <w:r>
              <w:rPr>
                <w:i/>
                <w:iCs/>
              </w:rPr>
              <w:t>Obtained from Annual Report</w:t>
            </w:r>
          </w:p>
        </w:tc>
        <w:tc>
          <w:tcPr>
            <w:tcW w:w="1449"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35A432" w14:textId="77777777" w:rsidR="00692D21" w:rsidRDefault="002D0AC0">
            <w:pPr>
              <w:spacing w:before="0" w:after="0" w:line="240" w:lineRule="auto"/>
            </w:pPr>
            <w:r>
              <w:t>Investor</w:t>
            </w:r>
          </w:p>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E8D7D9" w14:textId="77777777" w:rsidR="00692D21" w:rsidRDefault="002D0AC0">
            <w:pPr>
              <w:spacing w:before="0" w:after="0" w:line="240" w:lineRule="auto"/>
            </w:pPr>
            <w:r>
              <w:t>EPS (Basic)</w:t>
            </w:r>
          </w:p>
        </w:tc>
        <w:tc>
          <w:tcPr>
            <w:tcW w:w="767"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49AD76D3" w14:textId="77777777" w:rsidR="00692D21" w:rsidRDefault="002D0AC0">
            <w:pPr>
              <w:spacing w:before="0" w:after="0" w:line="240" w:lineRule="auto"/>
            </w:pPr>
            <w:r>
              <w:t>2.55</w:t>
            </w:r>
          </w:p>
        </w:tc>
        <w:tc>
          <w:tcPr>
            <w:tcW w:w="767"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1EB45213" w14:textId="77777777" w:rsidR="00692D21" w:rsidRDefault="002D0AC0">
            <w:pPr>
              <w:spacing w:before="0" w:after="0" w:line="240" w:lineRule="auto"/>
            </w:pPr>
            <w:r>
              <w:t>2.88</w:t>
            </w:r>
          </w:p>
        </w:tc>
        <w:tc>
          <w:tcPr>
            <w:tcW w:w="808"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06BD5914" w14:textId="77777777" w:rsidR="00692D21" w:rsidRDefault="002D0AC0">
            <w:pPr>
              <w:spacing w:before="0" w:after="0" w:line="240" w:lineRule="auto"/>
            </w:pPr>
            <w:r>
              <w:t>5.76</w:t>
            </w:r>
          </w:p>
        </w:tc>
      </w:tr>
      <w:tr w:rsidR="00692D21" w14:paraId="1FC94027" w14:textId="77777777">
        <w:trPr>
          <w:trHeight w:val="830"/>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88E019" w14:textId="77777777" w:rsidR="00692D21" w:rsidRDefault="002D0AC0">
            <w:pPr>
              <w:spacing w:before="0" w:after="0" w:line="240" w:lineRule="auto"/>
              <w:rPr>
                <w:i/>
                <w:iCs/>
              </w:rPr>
            </w:pPr>
            <w:r>
              <w:rPr>
                <w:i/>
                <w:iCs/>
              </w:rPr>
              <w:t>Obtained from Tradingview</w:t>
            </w:r>
          </w:p>
        </w:tc>
        <w:tc>
          <w:tcPr>
            <w:tcW w:w="1449"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09FACC" w14:textId="77777777" w:rsidR="00692D21" w:rsidRDefault="00692D21"/>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E7242C" w14:textId="77777777" w:rsidR="00692D21" w:rsidRDefault="002D0AC0">
            <w:pPr>
              <w:spacing w:before="0" w:after="0" w:line="240" w:lineRule="auto"/>
            </w:pPr>
            <w:r>
              <w:t>Stock Price (As on 31st December of that year)</w:t>
            </w:r>
          </w:p>
        </w:tc>
        <w:tc>
          <w:tcPr>
            <w:tcW w:w="767"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2B639170" w14:textId="77777777" w:rsidR="00692D21" w:rsidRDefault="002D0AC0">
            <w:pPr>
              <w:spacing w:before="0" w:after="0" w:line="240" w:lineRule="auto"/>
            </w:pPr>
            <w:r>
              <w:t>62.65</w:t>
            </w:r>
          </w:p>
        </w:tc>
        <w:tc>
          <w:tcPr>
            <w:tcW w:w="767"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25CF4D48" w14:textId="77777777" w:rsidR="00692D21" w:rsidRDefault="002D0AC0">
            <w:pPr>
              <w:spacing w:before="0" w:after="0" w:line="240" w:lineRule="auto"/>
            </w:pPr>
            <w:r>
              <w:t>65.80</w:t>
            </w:r>
          </w:p>
        </w:tc>
        <w:tc>
          <w:tcPr>
            <w:tcW w:w="808"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1CD48399" w14:textId="77777777" w:rsidR="00692D21" w:rsidRDefault="002D0AC0">
            <w:pPr>
              <w:spacing w:before="0" w:after="0" w:line="240" w:lineRule="auto"/>
            </w:pPr>
            <w:r>
              <w:t>59.95</w:t>
            </w:r>
          </w:p>
        </w:tc>
      </w:tr>
      <w:tr w:rsidR="00692D21" w14:paraId="1521C53A" w14:textId="77777777">
        <w:trPr>
          <w:trHeight w:val="515"/>
        </w:trPr>
        <w:tc>
          <w:tcPr>
            <w:tcW w:w="31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AEDB28" w14:textId="77777777" w:rsidR="00692D21" w:rsidRDefault="002D0AC0">
            <w:pPr>
              <w:spacing w:before="0" w:after="0" w:line="240" w:lineRule="auto"/>
              <w:rPr>
                <w:i/>
                <w:iCs/>
              </w:rPr>
            </w:pPr>
            <w:r>
              <w:rPr>
                <w:i/>
                <w:iCs/>
              </w:rPr>
              <w:t>Stock Price ÷ EPS</w:t>
            </w:r>
          </w:p>
        </w:tc>
        <w:tc>
          <w:tcPr>
            <w:tcW w:w="1449"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1A4FD7" w14:textId="77777777" w:rsidR="00692D21" w:rsidRDefault="00692D21"/>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75E1CA" w14:textId="77777777" w:rsidR="00692D21" w:rsidRDefault="002D0AC0">
            <w:pPr>
              <w:spacing w:before="0" w:after="0" w:line="240" w:lineRule="auto"/>
            </w:pPr>
            <w:r>
              <w:t>P/E Ratio</w:t>
            </w:r>
          </w:p>
        </w:tc>
        <w:tc>
          <w:tcPr>
            <w:tcW w:w="767"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4663F7CC" w14:textId="77777777" w:rsidR="00692D21" w:rsidRDefault="002D0AC0">
            <w:pPr>
              <w:spacing w:before="0" w:after="0" w:line="240" w:lineRule="auto"/>
            </w:pPr>
            <w:r>
              <w:t>24.57</w:t>
            </w:r>
          </w:p>
        </w:tc>
        <w:tc>
          <w:tcPr>
            <w:tcW w:w="767"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042618DE" w14:textId="77777777" w:rsidR="00692D21" w:rsidRDefault="002D0AC0">
            <w:pPr>
              <w:spacing w:before="0" w:after="0" w:line="240" w:lineRule="auto"/>
            </w:pPr>
            <w:r>
              <w:t>22.85</w:t>
            </w:r>
          </w:p>
        </w:tc>
        <w:tc>
          <w:tcPr>
            <w:tcW w:w="808"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4494A243" w14:textId="77777777" w:rsidR="00692D21" w:rsidRDefault="002D0AC0">
            <w:pPr>
              <w:spacing w:before="0" w:after="0" w:line="240" w:lineRule="auto"/>
            </w:pPr>
            <w:r>
              <w:t>10.41</w:t>
            </w:r>
          </w:p>
        </w:tc>
      </w:tr>
      <w:tr w:rsidR="00692D21" w14:paraId="042677F4" w14:textId="77777777">
        <w:trPr>
          <w:trHeight w:val="515"/>
        </w:trPr>
        <w:tc>
          <w:tcPr>
            <w:tcW w:w="3142"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97F03A" w14:textId="77777777" w:rsidR="00692D21" w:rsidRDefault="002D0AC0">
            <w:pPr>
              <w:spacing w:before="0" w:after="0" w:line="240" w:lineRule="auto"/>
              <w:rPr>
                <w:i/>
                <w:iCs/>
              </w:rPr>
            </w:pPr>
            <w:r>
              <w:rPr>
                <w:i/>
                <w:iCs/>
              </w:rPr>
              <w:t>Obtained from Tradingview</w:t>
            </w:r>
          </w:p>
        </w:tc>
        <w:tc>
          <w:tcPr>
            <w:tcW w:w="1449"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E7B6B7" w14:textId="77777777" w:rsidR="00692D21" w:rsidRDefault="00692D21"/>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59558F" w14:textId="77777777" w:rsidR="00692D21" w:rsidRDefault="002D0AC0">
            <w:pPr>
              <w:spacing w:before="0" w:after="0" w:line="240" w:lineRule="auto"/>
            </w:pPr>
            <w:r>
              <w:t>Dividends per share (FY)</w:t>
            </w:r>
          </w:p>
        </w:tc>
        <w:tc>
          <w:tcPr>
            <w:tcW w:w="767"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103428F1" w14:textId="77777777" w:rsidR="00692D21" w:rsidRDefault="002D0AC0">
            <w:pPr>
              <w:spacing w:before="0" w:after="0" w:line="240" w:lineRule="auto"/>
            </w:pPr>
            <w:r>
              <w:t>2.78</w:t>
            </w:r>
          </w:p>
        </w:tc>
        <w:tc>
          <w:tcPr>
            <w:tcW w:w="767"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3C135ECC" w14:textId="77777777" w:rsidR="00692D21" w:rsidRDefault="002D0AC0">
            <w:pPr>
              <w:spacing w:before="0" w:after="0" w:line="240" w:lineRule="auto"/>
            </w:pPr>
            <w:r>
              <w:t>2.59</w:t>
            </w:r>
          </w:p>
        </w:tc>
        <w:tc>
          <w:tcPr>
            <w:tcW w:w="808"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4E288942" w14:textId="77777777" w:rsidR="00692D21" w:rsidRDefault="002D0AC0">
            <w:pPr>
              <w:spacing w:before="0" w:after="0" w:line="240" w:lineRule="auto"/>
            </w:pPr>
            <w:r>
              <w:t>2.08</w:t>
            </w:r>
          </w:p>
        </w:tc>
      </w:tr>
      <w:tr w:rsidR="00692D21" w14:paraId="711675B3" w14:textId="77777777">
        <w:trPr>
          <w:trHeight w:val="515"/>
        </w:trPr>
        <w:tc>
          <w:tcPr>
            <w:tcW w:w="3142"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D49059" w14:textId="77777777" w:rsidR="00692D21" w:rsidRDefault="00692D21"/>
        </w:tc>
        <w:tc>
          <w:tcPr>
            <w:tcW w:w="1449"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B295D3" w14:textId="77777777" w:rsidR="00692D21" w:rsidRDefault="00692D21"/>
        </w:tc>
        <w:tc>
          <w:tcPr>
            <w:tcW w:w="20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2AA448" w14:textId="77777777" w:rsidR="00692D21" w:rsidRDefault="002D0AC0">
            <w:pPr>
              <w:spacing w:before="0" w:after="0" w:line="240" w:lineRule="auto"/>
            </w:pPr>
            <w:r>
              <w:t>Dividend yield (FY) %</w:t>
            </w:r>
          </w:p>
        </w:tc>
        <w:tc>
          <w:tcPr>
            <w:tcW w:w="767" w:type="dxa"/>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1BED35D3" w14:textId="77777777" w:rsidR="00692D21" w:rsidRDefault="002D0AC0">
            <w:pPr>
              <w:spacing w:before="0" w:after="0" w:line="240" w:lineRule="auto"/>
            </w:pPr>
            <w:r>
              <w:t>4.44</w:t>
            </w:r>
          </w:p>
        </w:tc>
        <w:tc>
          <w:tcPr>
            <w:tcW w:w="767" w:type="dxa"/>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7636A70E" w14:textId="77777777" w:rsidR="00692D21" w:rsidRDefault="002D0AC0">
            <w:pPr>
              <w:spacing w:before="0" w:after="0" w:line="240" w:lineRule="auto"/>
            </w:pPr>
            <w:r>
              <w:t>3.93</w:t>
            </w:r>
          </w:p>
        </w:tc>
        <w:tc>
          <w:tcPr>
            <w:tcW w:w="808" w:type="dxa"/>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29B3C843" w14:textId="77777777" w:rsidR="00692D21" w:rsidRDefault="002D0AC0">
            <w:pPr>
              <w:spacing w:before="0" w:after="0" w:line="240" w:lineRule="auto"/>
            </w:pPr>
            <w:r>
              <w:t>3.64</w:t>
            </w:r>
          </w:p>
        </w:tc>
      </w:tr>
    </w:tbl>
    <w:p w14:paraId="05AE392F" w14:textId="77777777" w:rsidR="00692D21" w:rsidRDefault="002D0AC0">
      <w:pPr>
        <w:jc w:val="center"/>
        <w:rPr>
          <w:b/>
          <w:bCs/>
        </w:rPr>
      </w:pPr>
      <w:r>
        <w:rPr>
          <w:b/>
          <w:bCs/>
        </w:rPr>
        <w:t>Table 6: Investor Ratios Calculation</w:t>
      </w:r>
    </w:p>
    <w:p w14:paraId="07D47BCC" w14:textId="77777777" w:rsidR="00692D21" w:rsidRDefault="002D0AC0">
      <w:pPr>
        <w:jc w:val="center"/>
      </w:pPr>
      <w:r>
        <w:t>(Source:  Self-Developed)</w:t>
      </w:r>
    </w:p>
    <w:p w14:paraId="7D9DEBAA" w14:textId="77777777" w:rsidR="00692D21" w:rsidRDefault="002D0AC0">
      <w:pPr>
        <w:jc w:val="center"/>
      </w:pPr>
      <w:r>
        <w:rPr>
          <w:noProof/>
        </w:rPr>
        <w:drawing>
          <wp:inline distT="114300" distB="114300" distL="114300" distR="114300" wp14:anchorId="3B7C9854" wp14:editId="35EC9626">
            <wp:extent cx="5730875" cy="3403600"/>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referRelativeResize="0"/>
                  </pic:nvPicPr>
                  <pic:blipFill>
                    <a:blip r:embed="rId13"/>
                    <a:srcRect/>
                    <a:stretch>
                      <a:fillRect/>
                    </a:stretch>
                  </pic:blipFill>
                  <pic:spPr>
                    <a:xfrm>
                      <a:off x="0" y="0"/>
                      <a:ext cx="5731200" cy="3403600"/>
                    </a:xfrm>
                    <a:prstGeom prst="rect">
                      <a:avLst/>
                    </a:prstGeom>
                    <a:ln w="25400">
                      <a:solidFill>
                        <a:srgbClr val="000000"/>
                      </a:solidFill>
                      <a:prstDash val="solid"/>
                    </a:ln>
                  </pic:spPr>
                </pic:pic>
              </a:graphicData>
            </a:graphic>
          </wp:inline>
        </w:drawing>
      </w:r>
    </w:p>
    <w:p w14:paraId="2E66DF8E" w14:textId="77777777" w:rsidR="00692D21" w:rsidRDefault="002D0AC0">
      <w:pPr>
        <w:jc w:val="center"/>
        <w:rPr>
          <w:b/>
          <w:bCs/>
        </w:rPr>
      </w:pPr>
      <w:r>
        <w:rPr>
          <w:b/>
          <w:bCs/>
        </w:rPr>
        <w:t>Graph 5: Investor Ratios</w:t>
      </w:r>
    </w:p>
    <w:p w14:paraId="3B9B1BBC" w14:textId="77777777" w:rsidR="00692D21" w:rsidRDefault="002D0AC0">
      <w:pPr>
        <w:jc w:val="center"/>
      </w:pPr>
      <w:r>
        <w:t>(Source:  Excel-Generated)</w:t>
      </w:r>
    </w:p>
    <w:p w14:paraId="4883CA45" w14:textId="77777777" w:rsidR="00692D21" w:rsidRDefault="002D0AC0">
      <w:r>
        <w:t xml:space="preserve">The investor ratios give an idea of market perception, distribution of earnings and returns received by shareholders. Basic earnings per share dropped significantly between 5.76 in 2022 and 2.55 in 2024 because of lower profitability and the lack of amazing market conditions in the energy industry that had previously overstated earnings. This notwithstanding, the share price of Shell was relatively lenient, and its price to earnings ratio increased as a result of this decline, giving the company a price of </w:t>
      </w:r>
      <w:r>
        <w:t>10.41 to 24.57, indicating that investors believed in its long-term strategic positioning, and not its long-term earnings. Dividend per share also rose consistently between 2.08 and 2.78, confirming the efforts made by Shell to give forward-looking shareholders returns. In 2024, dividend yield stood at 4.44 per cent and is more income appealing as compared to other peers and fixed income options. The communication issued by management focuses on the capital discipline and the ongoing payments to the shareho</w:t>
      </w:r>
      <w:r>
        <w:t>lders as the key elements of shareholder value creation (GRAHAM, 2022). Investor ratios: In general, the investor ratio shows high confidence in the market, supported by a solid balance sheet and a clear strategic focus in the middle of the cyclical earnings moderation.</w:t>
      </w:r>
    </w:p>
    <w:p w14:paraId="02F3A425" w14:textId="77777777" w:rsidR="00692D21" w:rsidRDefault="002D0AC0">
      <w:pPr>
        <w:pStyle w:val="Heading2"/>
      </w:pPr>
      <w:bookmarkStart w:id="20" w:name="_ijqq0yca3gx4" w:colFirst="0" w:colLast="0"/>
      <w:bookmarkStart w:id="21" w:name="_Toc219123428"/>
      <w:bookmarkEnd w:id="20"/>
      <w:r>
        <w:t>Inter-Linking Ratio Analysis</w:t>
      </w:r>
      <w:bookmarkEnd w:id="21"/>
    </w:p>
    <w:tbl>
      <w:tblPr>
        <w:tblStyle w:val="Style18"/>
        <w:tblW w:w="9025" w:type="dxa"/>
        <w:tblInd w:w="0" w:type="dxa"/>
        <w:tblLayout w:type="fixed"/>
        <w:tblLook w:val="04A0" w:firstRow="1" w:lastRow="0" w:firstColumn="1" w:lastColumn="0" w:noHBand="0" w:noVBand="1"/>
      </w:tblPr>
      <w:tblGrid>
        <w:gridCol w:w="1748"/>
        <w:gridCol w:w="3130"/>
        <w:gridCol w:w="4147"/>
      </w:tblGrid>
      <w:tr w:rsidR="00692D21" w14:paraId="123E8D46" w14:textId="77777777">
        <w:trPr>
          <w:trHeight w:val="725"/>
        </w:trPr>
        <w:tc>
          <w:tcPr>
            <w:tcW w:w="17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ECC235" w14:textId="77777777" w:rsidR="00692D21" w:rsidRDefault="002D0AC0">
            <w:pPr>
              <w:spacing w:before="0" w:after="0" w:line="240" w:lineRule="auto"/>
              <w:rPr>
                <w:b/>
                <w:bCs/>
              </w:rPr>
            </w:pPr>
            <w:r>
              <w:rPr>
                <w:b/>
                <w:bCs/>
              </w:rPr>
              <w:t>Linked Ratio Area</w:t>
            </w:r>
          </w:p>
        </w:tc>
        <w:tc>
          <w:tcPr>
            <w:tcW w:w="31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E34FE3" w14:textId="77777777" w:rsidR="00692D21" w:rsidRDefault="002D0AC0">
            <w:pPr>
              <w:spacing w:before="0" w:after="0" w:line="240" w:lineRule="auto"/>
              <w:rPr>
                <w:b/>
                <w:bCs/>
              </w:rPr>
            </w:pPr>
            <w:r>
              <w:rPr>
                <w:b/>
                <w:bCs/>
              </w:rPr>
              <w:t>Observed Relationship</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7C7FC6" w14:textId="77777777" w:rsidR="00692D21" w:rsidRDefault="002D0AC0">
            <w:pPr>
              <w:spacing w:before="0" w:after="0" w:line="240" w:lineRule="auto"/>
              <w:rPr>
                <w:b/>
                <w:bCs/>
              </w:rPr>
            </w:pPr>
            <w:r>
              <w:rPr>
                <w:b/>
                <w:bCs/>
              </w:rPr>
              <w:t>Integrated Interpretation</w:t>
            </w:r>
          </w:p>
        </w:tc>
      </w:tr>
      <w:tr w:rsidR="00692D21" w14:paraId="2DEE9A1C" w14:textId="77777777">
        <w:trPr>
          <w:trHeight w:val="1220"/>
        </w:trPr>
        <w:tc>
          <w:tcPr>
            <w:tcW w:w="17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BE6EB4" w14:textId="77777777" w:rsidR="00692D21" w:rsidRDefault="002D0AC0">
            <w:pPr>
              <w:spacing w:before="0" w:after="0" w:line="240" w:lineRule="auto"/>
              <w:rPr>
                <w:b/>
                <w:bCs/>
              </w:rPr>
            </w:pPr>
            <w:r>
              <w:rPr>
                <w:b/>
                <w:bCs/>
              </w:rPr>
              <w:t>Profitability and Returns</w:t>
            </w:r>
          </w:p>
        </w:tc>
        <w:tc>
          <w:tcPr>
            <w:tcW w:w="31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A9B2AE" w14:textId="77777777" w:rsidR="00692D21" w:rsidRDefault="002D0AC0">
            <w:pPr>
              <w:spacing w:before="0" w:after="0" w:line="240" w:lineRule="auto"/>
            </w:pPr>
            <w:r>
              <w:t>Declining operating and net profit margins coincided with reductions in ROA, ROCE, and ROE</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387508" w14:textId="77777777" w:rsidR="00692D21" w:rsidRDefault="002D0AC0">
            <w:pPr>
              <w:spacing w:before="0" w:after="0" w:line="240" w:lineRule="auto"/>
            </w:pPr>
            <w:r>
              <w:t>Lower earnings generation directly weakened return ratios despite a largely stable capital and asset base</w:t>
            </w:r>
          </w:p>
        </w:tc>
      </w:tr>
      <w:tr w:rsidR="00692D21" w14:paraId="6028B084" w14:textId="77777777">
        <w:trPr>
          <w:trHeight w:val="965"/>
        </w:trPr>
        <w:tc>
          <w:tcPr>
            <w:tcW w:w="17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9AF4B9" w14:textId="77777777" w:rsidR="00692D21" w:rsidRDefault="002D0AC0">
            <w:pPr>
              <w:spacing w:before="0" w:after="0" w:line="240" w:lineRule="auto"/>
              <w:rPr>
                <w:b/>
                <w:bCs/>
              </w:rPr>
            </w:pPr>
            <w:r>
              <w:rPr>
                <w:b/>
                <w:bCs/>
              </w:rPr>
              <w:t>Returns and Gearing</w:t>
            </w:r>
          </w:p>
        </w:tc>
        <w:tc>
          <w:tcPr>
            <w:tcW w:w="31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AB1ACD" w14:textId="77777777" w:rsidR="00692D21" w:rsidRDefault="002D0AC0">
            <w:pPr>
              <w:spacing w:before="0" w:after="0" w:line="240" w:lineRule="auto"/>
            </w:pPr>
            <w:r>
              <w:t>ROCE declined alongside a sharp fall in interest cover</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2FE9CB" w14:textId="77777777" w:rsidR="00692D21" w:rsidRDefault="002D0AC0">
            <w:pPr>
              <w:spacing w:before="0" w:after="0" w:line="240" w:lineRule="auto"/>
            </w:pPr>
            <w:r>
              <w:t>Reduced operating earnings, rather than increased leverage, constrained returns and debt servicing capacity (Arhinful and Radmehr, 2023)</w:t>
            </w:r>
          </w:p>
        </w:tc>
      </w:tr>
      <w:tr w:rsidR="00692D21" w14:paraId="73632A9E" w14:textId="77777777">
        <w:trPr>
          <w:trHeight w:val="965"/>
        </w:trPr>
        <w:tc>
          <w:tcPr>
            <w:tcW w:w="17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089266" w14:textId="77777777" w:rsidR="00692D21" w:rsidRDefault="002D0AC0">
            <w:pPr>
              <w:spacing w:before="0" w:after="0" w:line="240" w:lineRule="auto"/>
              <w:rPr>
                <w:b/>
                <w:bCs/>
              </w:rPr>
            </w:pPr>
            <w:r>
              <w:rPr>
                <w:b/>
                <w:bCs/>
              </w:rPr>
              <w:t>Gearing and Liquidity</w:t>
            </w:r>
          </w:p>
        </w:tc>
        <w:tc>
          <w:tcPr>
            <w:tcW w:w="31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E50063" w14:textId="77777777" w:rsidR="00692D21" w:rsidRDefault="002D0AC0">
            <w:pPr>
              <w:spacing w:before="0" w:after="0" w:line="240" w:lineRule="auto"/>
            </w:pPr>
            <w:r>
              <w:t>Debt-to-equity remained conservative while liquidity ratios stayed above unity</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4CABB0" w14:textId="77777777" w:rsidR="00692D21" w:rsidRDefault="002D0AC0">
            <w:pPr>
              <w:spacing w:before="0" w:after="0" w:line="240" w:lineRule="auto"/>
            </w:pPr>
            <w:r>
              <w:t>Balance sheet resilience was maintained despite earnings normalisation</w:t>
            </w:r>
          </w:p>
        </w:tc>
      </w:tr>
      <w:tr w:rsidR="00692D21" w14:paraId="7E819EDC" w14:textId="77777777">
        <w:trPr>
          <w:trHeight w:val="965"/>
        </w:trPr>
        <w:tc>
          <w:tcPr>
            <w:tcW w:w="17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66EBA1" w14:textId="77777777" w:rsidR="00692D21" w:rsidRDefault="002D0AC0">
            <w:pPr>
              <w:spacing w:before="0" w:after="0" w:line="240" w:lineRule="auto"/>
              <w:rPr>
                <w:b/>
                <w:bCs/>
              </w:rPr>
            </w:pPr>
            <w:r>
              <w:rPr>
                <w:b/>
                <w:bCs/>
              </w:rPr>
              <w:t>Efficiency and Profitability</w:t>
            </w:r>
          </w:p>
        </w:tc>
        <w:tc>
          <w:tcPr>
            <w:tcW w:w="31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6A5F7A" w14:textId="77777777" w:rsidR="00692D21" w:rsidRDefault="002D0AC0">
            <w:pPr>
              <w:spacing w:before="0" w:after="0" w:line="240" w:lineRule="auto"/>
            </w:pPr>
            <w:r>
              <w:t>Elevated receivable and inventory days persisted alongside margin compression</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DD7295" w14:textId="77777777" w:rsidR="00692D21" w:rsidRDefault="002D0AC0">
            <w:pPr>
              <w:spacing w:before="0" w:after="0" w:line="240" w:lineRule="auto"/>
            </w:pPr>
            <w:r>
              <w:t xml:space="preserve">Working capital intensity contributed indirectly to the moderated profitability outcomes (Reyad </w:t>
            </w:r>
            <w:r>
              <w:rPr>
                <w:i/>
                <w:iCs/>
              </w:rPr>
              <w:t>et al.</w:t>
            </w:r>
            <w:r>
              <w:t>, 2022)</w:t>
            </w:r>
          </w:p>
        </w:tc>
      </w:tr>
      <w:tr w:rsidR="00692D21" w14:paraId="29138E1E" w14:textId="77777777">
        <w:trPr>
          <w:trHeight w:val="1220"/>
        </w:trPr>
        <w:tc>
          <w:tcPr>
            <w:tcW w:w="17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B84ADE" w14:textId="77777777" w:rsidR="00692D21" w:rsidRDefault="002D0AC0">
            <w:pPr>
              <w:spacing w:before="0" w:after="0" w:line="240" w:lineRule="auto"/>
              <w:rPr>
                <w:b/>
                <w:bCs/>
              </w:rPr>
            </w:pPr>
            <w:r>
              <w:rPr>
                <w:b/>
                <w:bCs/>
              </w:rPr>
              <w:t>Strategy and Financial Structure</w:t>
            </w:r>
          </w:p>
        </w:tc>
        <w:tc>
          <w:tcPr>
            <w:tcW w:w="31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1D0489" w14:textId="77777777" w:rsidR="00692D21" w:rsidRDefault="002D0AC0">
            <w:pPr>
              <w:spacing w:before="0" w:after="0" w:line="240" w:lineRule="auto"/>
            </w:pPr>
            <w:r>
              <w:t>Conservative gearing coexisted with declining short-term returns</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43C61A" w14:textId="77777777" w:rsidR="00692D21" w:rsidRDefault="002D0AC0">
            <w:pPr>
              <w:spacing w:before="0" w:after="0" w:line="240" w:lineRule="auto"/>
            </w:pPr>
            <w:r>
              <w:t>Disciplined capital allocation and transition-focused reinvestment prioritised stability over short-term return maximisation</w:t>
            </w:r>
          </w:p>
        </w:tc>
      </w:tr>
    </w:tbl>
    <w:p w14:paraId="6E3FD0FD" w14:textId="77777777" w:rsidR="00692D21" w:rsidRDefault="002D0AC0">
      <w:pPr>
        <w:jc w:val="center"/>
        <w:rPr>
          <w:b/>
          <w:bCs/>
        </w:rPr>
      </w:pPr>
      <w:r>
        <w:rPr>
          <w:b/>
          <w:bCs/>
        </w:rPr>
        <w:t>Table 7: Integrated Financial Ratio Relationships and Their Strategic Implications for Shell plc</w:t>
      </w:r>
    </w:p>
    <w:p w14:paraId="21416DAD" w14:textId="77777777" w:rsidR="00692D21" w:rsidRDefault="002D0AC0">
      <w:pPr>
        <w:jc w:val="center"/>
      </w:pPr>
      <w:r>
        <w:t>(Source:  Self-Developed)</w:t>
      </w:r>
    </w:p>
    <w:p w14:paraId="661951BF" w14:textId="77777777" w:rsidR="00692D21" w:rsidRDefault="002D0AC0">
      <w:pPr>
        <w:pStyle w:val="Heading2"/>
      </w:pPr>
      <w:bookmarkStart w:id="22" w:name="_6jdrn7hh0dbe" w:colFirst="0" w:colLast="0"/>
      <w:bookmarkStart w:id="23" w:name="_Toc219123429"/>
      <w:bookmarkEnd w:id="22"/>
      <w:r>
        <w:t>Limitations of the Ratio Analysis</w:t>
      </w:r>
      <w:bookmarkEnd w:id="23"/>
    </w:p>
    <w:p w14:paraId="74620CA9" w14:textId="77777777" w:rsidR="00692D21" w:rsidRDefault="002D0AC0">
      <w:r>
        <w:t>Even though the ratio analysis is a valuable tool for making comparisons, there are some limitations that make it less accurate in interpretation. The volatility of commodity prices is a significant factor affecting the financial ratios of Shell, and it may falsify the year-on-year comparisons as well as overstating the swings of the cyclical performance. Additionally, accounting policy choices under IFRS, including asset valuation, depreciation, and impairment assumptions, affect profitability and return m</w:t>
      </w:r>
      <w:r>
        <w:t xml:space="preserve">etrics without necessarily reflecting operational inefficiency (Barker </w:t>
      </w:r>
      <w:r>
        <w:rPr>
          <w:i/>
          <w:iCs/>
        </w:rPr>
        <w:t>et al.</w:t>
      </w:r>
      <w:r>
        <w:t xml:space="preserve">, 2021). Integrated energy operations are also capital-intensive, and this also restricts comparability with companies in less capital-intensive sectors. In the recent scholarly and professional commentary, it is emphasised that the ratio analysis should be put into a context of the industry structure, as well as the macroeconomic environment, otherwise it can lead to erroneous conclusions (Rahi </w:t>
      </w:r>
      <w:r>
        <w:rPr>
          <w:i/>
          <w:iCs/>
        </w:rPr>
        <w:t>et al.</w:t>
      </w:r>
      <w:r>
        <w:t>, 2023). As a result, ratios a</w:t>
      </w:r>
      <w:r>
        <w:t>re to be viewed as signals of performance as compared to actual performance.</w:t>
      </w:r>
    </w:p>
    <w:p w14:paraId="708CAE65" w14:textId="77777777" w:rsidR="00692D21" w:rsidRDefault="002D0AC0">
      <w:pPr>
        <w:pStyle w:val="Heading2"/>
      </w:pPr>
      <w:bookmarkStart w:id="24" w:name="_t9rnpok5vz0i" w:colFirst="0" w:colLast="0"/>
      <w:bookmarkStart w:id="25" w:name="_Toc219123430"/>
      <w:bookmarkEnd w:id="24"/>
      <w:r>
        <w:t>Recommendations</w:t>
      </w:r>
      <w:bookmarkEnd w:id="25"/>
    </w:p>
    <w:p w14:paraId="600B5465" w14:textId="77777777" w:rsidR="00692D21" w:rsidRDefault="002D0AC0">
      <w:r>
        <w:t>Based on the analysis, Shell needs to remain focused on disciplined capital allocation and enhancing the efficiency of its operations to assist in recovering margins. Greater working capital optimisation, especially in the areas of receivables management, would free cash without increasing leverage. Additionally, maintaining conservative gearing while selectively investing in higher-return projects would support gradual improvement in return ratios. The long-term dedication towards cost discipline and portf</w:t>
      </w:r>
      <w:r>
        <w:t>olio optimisation would fortify the quality of earnings and long-term shareholder value.</w:t>
      </w:r>
    </w:p>
    <w:p w14:paraId="2DB1A2B3" w14:textId="77777777" w:rsidR="00692D21" w:rsidRDefault="00692D21"/>
    <w:p w14:paraId="12BB781C" w14:textId="77777777" w:rsidR="00692D21" w:rsidRDefault="00692D21"/>
    <w:p w14:paraId="3CFB7DCC" w14:textId="77777777" w:rsidR="00692D21" w:rsidRDefault="00692D21"/>
    <w:p w14:paraId="1715DAB8" w14:textId="77777777" w:rsidR="00692D21" w:rsidRDefault="002D0AC0">
      <w:pPr>
        <w:pStyle w:val="Heading1"/>
      </w:pPr>
      <w:bookmarkStart w:id="26" w:name="_m8zaimsohrl8" w:colFirst="0" w:colLast="0"/>
      <w:bookmarkEnd w:id="26"/>
      <w:r>
        <w:br w:type="page"/>
      </w:r>
    </w:p>
    <w:p w14:paraId="3C7495FE" w14:textId="77777777" w:rsidR="00692D21" w:rsidRDefault="002D0AC0">
      <w:pPr>
        <w:pStyle w:val="Heading1"/>
      </w:pPr>
      <w:bookmarkStart w:id="27" w:name="_95y9c4qnn4bb" w:colFirst="0" w:colLast="0"/>
      <w:bookmarkStart w:id="28" w:name="_Toc219123431"/>
      <w:bookmarkEnd w:id="27"/>
      <w:r>
        <w:t>Part 2: Capital Investment Appraisal (Westward Plc)</w:t>
      </w:r>
      <w:bookmarkEnd w:id="28"/>
    </w:p>
    <w:p w14:paraId="5FAB003F" w14:textId="77777777" w:rsidR="00692D21" w:rsidRDefault="002D0AC0">
      <w:pPr>
        <w:pStyle w:val="Heading2"/>
      </w:pPr>
      <w:bookmarkStart w:id="29" w:name="_19lmrnajdee5" w:colFirst="0" w:colLast="0"/>
      <w:bookmarkStart w:id="30" w:name="_Toc219123432"/>
      <w:bookmarkEnd w:id="29"/>
      <w:r>
        <w:t>Introduction</w:t>
      </w:r>
      <w:bookmarkEnd w:id="30"/>
    </w:p>
    <w:p w14:paraId="3E355BF6" w14:textId="77777777" w:rsidR="00692D21" w:rsidRDefault="002D0AC0">
      <w:r>
        <w:t>Capital investment decisions represent one of the most strategically significant responsibilities of financial management, as they determine long-term value creation and risk exposure. Investment appraisal methods allow organisations to determine whether the suggested projects can result in a higher level of returns that outweigh the cost of capital and promote the bigger strategic goals. In this part of the report, discounted cash flow methods are utilised to evaluate three mutually exclusive investment pr</w:t>
      </w:r>
      <w:r>
        <w:t>ojects, which are Project A, Project B and Project C. A Discount rate of six per cent is used as the required rate of the organisation, and this allows the consideration of the time value of money and risk factors. Focus is directed towards Net Present Value as the main criterion of decision making, with the help of the Internal Rate of Return as the additional criterion. This part aims to convey the results of the calculated statements in a critical way, and not solely give a numerical answer, but also pro</w:t>
      </w:r>
      <w:r>
        <w:t>vide accurate recommendations to the management in a manner that is financially reasonable. Using a combination of quantitative findings and financial arguments, the analysis ensures the evaluation of investment decisions in a way that is consistent with the maximisation of shareholder wealth.</w:t>
      </w:r>
    </w:p>
    <w:p w14:paraId="2015B580" w14:textId="77777777" w:rsidR="00692D21" w:rsidRDefault="002D0AC0">
      <w:pPr>
        <w:pStyle w:val="Heading2"/>
      </w:pPr>
      <w:bookmarkStart w:id="31" w:name="_ka7znxgvmqkc" w:colFirst="0" w:colLast="0"/>
      <w:bookmarkStart w:id="32" w:name="_Toc219123433"/>
      <w:bookmarkEnd w:id="31"/>
      <w:r>
        <w:t>Project Overview</w:t>
      </w:r>
      <w:bookmarkEnd w:id="32"/>
    </w:p>
    <w:p w14:paraId="7BE0ADC3" w14:textId="77777777" w:rsidR="00692D21" w:rsidRDefault="002D0AC0">
      <w:r>
        <w:t xml:space="preserve">The three suggested projects vary significantly with reference to the scale of initial investment, the timing of the cash flow and the potentiality of the overall returns that are likely to be achieved and hence a detailed comparison between the three projects is essential. Project A implies quite a small initial investment and also provides certain cash inflows annually during the four-year period of evaluation that can be explained by the tax benefits in the framework of capital allowances. Project B has </w:t>
      </w:r>
      <w:r>
        <w:t>a greater initial investment and greater and increasing inflows of cash as it is a more capital-intensive project and has longer payback periods. The most significant investment commitment can be described as project C, which has the highest initial cost of investment and also a large amount of cash inflows in later stages, which points to a higher-risk and higher-reward profile (Cunningham, 2025). Every project has capital allowance and tax shield adjustments, which means that post-tax cash flows are measu</w:t>
      </w:r>
      <w:r>
        <w:t>red in a consistent manner. The cash flow structures indicate variations in the time of recovery of liquidity, the magnitude of value creation, and the sensitivity to the impact of discounting. These differences are the focus of explaining why discounted appraisal methods are especially suitable in the discussed situation. Direct comparison based on Net Present Value and Internal rate of return, therefore, provides the management with the opportunity to compare the creation of absolute value, as well as rel</w:t>
      </w:r>
      <w:r>
        <w:t>ative efficiency and risk-adjusted performance.</w:t>
      </w:r>
    </w:p>
    <w:p w14:paraId="75770FDE" w14:textId="77777777" w:rsidR="00692D21" w:rsidRDefault="002D0AC0">
      <w:pPr>
        <w:pStyle w:val="Heading2"/>
      </w:pPr>
      <w:bookmarkStart w:id="33" w:name="_z6ree9v18xvn" w:colFirst="0" w:colLast="0"/>
      <w:bookmarkStart w:id="34" w:name="_Toc219123434"/>
      <w:bookmarkEnd w:id="33"/>
      <w:r>
        <w:t>Investment Appraisals Calculations and Workings</w:t>
      </w:r>
      <w:bookmarkEnd w:id="34"/>
    </w:p>
    <w:p w14:paraId="73A8A56A" w14:textId="77777777" w:rsidR="00692D21" w:rsidRDefault="002D0AC0">
      <w:r>
        <w:rPr>
          <w:noProof/>
        </w:rPr>
        <w:drawing>
          <wp:inline distT="114300" distB="114300" distL="114300" distR="114300" wp14:anchorId="5048FC28" wp14:editId="1AFE67E5">
            <wp:extent cx="5730875" cy="1612900"/>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referRelativeResize="0"/>
                  </pic:nvPicPr>
                  <pic:blipFill>
                    <a:blip r:embed="rId14"/>
                    <a:srcRect/>
                    <a:stretch>
                      <a:fillRect/>
                    </a:stretch>
                  </pic:blipFill>
                  <pic:spPr>
                    <a:xfrm>
                      <a:off x="0" y="0"/>
                      <a:ext cx="5731200" cy="1612900"/>
                    </a:xfrm>
                    <a:prstGeom prst="rect">
                      <a:avLst/>
                    </a:prstGeom>
                    <a:ln w="25400">
                      <a:solidFill>
                        <a:srgbClr val="000000"/>
                      </a:solidFill>
                      <a:prstDash val="solid"/>
                    </a:ln>
                  </pic:spPr>
                </pic:pic>
              </a:graphicData>
            </a:graphic>
          </wp:inline>
        </w:drawing>
      </w:r>
    </w:p>
    <w:p w14:paraId="27DED7C2" w14:textId="77777777" w:rsidR="00692D21" w:rsidRDefault="002D0AC0">
      <w:pPr>
        <w:jc w:val="center"/>
        <w:rPr>
          <w:b/>
          <w:bCs/>
        </w:rPr>
      </w:pPr>
      <w:r>
        <w:rPr>
          <w:b/>
          <w:bCs/>
        </w:rPr>
        <w:t>Table 8: Investment Appraisal Calculations and Working</w:t>
      </w:r>
    </w:p>
    <w:p w14:paraId="2B07F7E2" w14:textId="77777777" w:rsidR="00692D21" w:rsidRDefault="002D0AC0">
      <w:pPr>
        <w:jc w:val="center"/>
      </w:pPr>
      <w:r>
        <w:t>(Source: Self-Developed)</w:t>
      </w:r>
    </w:p>
    <w:tbl>
      <w:tblPr>
        <w:tblStyle w:val="Style19"/>
        <w:tblW w:w="5000" w:type="pct"/>
        <w:tblInd w:w="0" w:type="dxa"/>
        <w:tblLook w:val="04A0" w:firstRow="1" w:lastRow="0" w:firstColumn="1" w:lastColumn="0" w:noHBand="0" w:noVBand="1"/>
      </w:tblPr>
      <w:tblGrid>
        <w:gridCol w:w="3497"/>
        <w:gridCol w:w="1838"/>
        <w:gridCol w:w="1838"/>
        <w:gridCol w:w="1836"/>
      </w:tblGrid>
      <w:tr w:rsidR="00692D21" w14:paraId="4F34CA28" w14:textId="77777777">
        <w:trPr>
          <w:trHeight w:val="57"/>
        </w:trPr>
        <w:tc>
          <w:tcPr>
            <w:tcW w:w="194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BD5ABD" w14:textId="77777777" w:rsidR="00692D21" w:rsidRDefault="002D0AC0">
            <w:pPr>
              <w:spacing w:before="0" w:after="0" w:line="240" w:lineRule="auto"/>
              <w:rPr>
                <w:b/>
                <w:bCs/>
              </w:rPr>
            </w:pPr>
            <w:r>
              <w:rPr>
                <w:b/>
                <w:bCs/>
              </w:rPr>
              <w:t xml:space="preserve"> </w:t>
            </w:r>
          </w:p>
        </w:tc>
        <w:tc>
          <w:tcPr>
            <w:tcW w:w="102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4EE2FE" w14:textId="77777777" w:rsidR="00692D21" w:rsidRDefault="002D0AC0">
            <w:pPr>
              <w:spacing w:before="0" w:after="0" w:line="240" w:lineRule="auto"/>
              <w:rPr>
                <w:b/>
                <w:bCs/>
              </w:rPr>
            </w:pPr>
            <w:r>
              <w:rPr>
                <w:b/>
                <w:bCs/>
              </w:rPr>
              <w:t>Project A</w:t>
            </w:r>
          </w:p>
        </w:tc>
        <w:tc>
          <w:tcPr>
            <w:tcW w:w="102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671E7D" w14:textId="77777777" w:rsidR="00692D21" w:rsidRDefault="002D0AC0">
            <w:pPr>
              <w:spacing w:before="0" w:after="0" w:line="240" w:lineRule="auto"/>
              <w:rPr>
                <w:b/>
                <w:bCs/>
              </w:rPr>
            </w:pPr>
            <w:r>
              <w:rPr>
                <w:b/>
                <w:bCs/>
              </w:rPr>
              <w:t>Project B</w:t>
            </w:r>
          </w:p>
        </w:tc>
        <w:tc>
          <w:tcPr>
            <w:tcW w:w="102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0970AF" w14:textId="77777777" w:rsidR="00692D21" w:rsidRDefault="002D0AC0">
            <w:pPr>
              <w:spacing w:before="0" w:after="0" w:line="240" w:lineRule="auto"/>
              <w:rPr>
                <w:b/>
                <w:bCs/>
              </w:rPr>
            </w:pPr>
            <w:r>
              <w:rPr>
                <w:b/>
                <w:bCs/>
              </w:rPr>
              <w:t>Project C</w:t>
            </w:r>
          </w:p>
        </w:tc>
      </w:tr>
      <w:tr w:rsidR="00692D21" w14:paraId="20B63BB8" w14:textId="77777777">
        <w:trPr>
          <w:trHeight w:val="57"/>
        </w:trPr>
        <w:tc>
          <w:tcPr>
            <w:tcW w:w="194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3C3F8B" w14:textId="77777777" w:rsidR="00692D21" w:rsidRDefault="002D0AC0">
            <w:pPr>
              <w:spacing w:before="0" w:after="0" w:line="240" w:lineRule="auto"/>
              <w:rPr>
                <w:b/>
                <w:bCs/>
              </w:rPr>
            </w:pPr>
            <w:r>
              <w:rPr>
                <w:b/>
                <w:bCs/>
              </w:rPr>
              <w:t>NPV (Excel function)</w:t>
            </w:r>
          </w:p>
        </w:tc>
        <w:tc>
          <w:tcPr>
            <w:tcW w:w="1020" w:type="pct"/>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1D5E7743" w14:textId="77777777" w:rsidR="00692D21" w:rsidRDefault="002D0AC0">
            <w:pPr>
              <w:spacing w:before="0" w:after="0" w:line="240" w:lineRule="auto"/>
            </w:pPr>
            <w:r>
              <w:t xml:space="preserve"> £    965.01</w:t>
            </w:r>
          </w:p>
        </w:tc>
        <w:tc>
          <w:tcPr>
            <w:tcW w:w="1020" w:type="pct"/>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4C120EEB" w14:textId="77777777" w:rsidR="00692D21" w:rsidRDefault="002D0AC0">
            <w:pPr>
              <w:spacing w:before="0" w:after="0" w:line="240" w:lineRule="auto"/>
            </w:pPr>
            <w:r>
              <w:t xml:space="preserve"> £ 1,256.50</w:t>
            </w:r>
          </w:p>
        </w:tc>
        <w:tc>
          <w:tcPr>
            <w:tcW w:w="1020" w:type="pct"/>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6BD33572" w14:textId="77777777" w:rsidR="00692D21" w:rsidRDefault="002D0AC0">
            <w:pPr>
              <w:spacing w:before="0" w:after="0" w:line="240" w:lineRule="auto"/>
            </w:pPr>
            <w:r>
              <w:t xml:space="preserve"> £ 1,880.00</w:t>
            </w:r>
          </w:p>
        </w:tc>
      </w:tr>
      <w:tr w:rsidR="00692D21" w14:paraId="03C259DF" w14:textId="77777777">
        <w:trPr>
          <w:trHeight w:val="57"/>
        </w:trPr>
        <w:tc>
          <w:tcPr>
            <w:tcW w:w="194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1DCB80" w14:textId="77777777" w:rsidR="00692D21" w:rsidRDefault="002D0AC0">
            <w:pPr>
              <w:spacing w:before="0" w:after="0" w:line="240" w:lineRule="auto"/>
              <w:rPr>
                <w:b/>
                <w:bCs/>
              </w:rPr>
            </w:pPr>
            <w:r>
              <w:rPr>
                <w:b/>
                <w:bCs/>
              </w:rPr>
              <w:t>NPV (Manual Method)</w:t>
            </w:r>
          </w:p>
        </w:tc>
        <w:tc>
          <w:tcPr>
            <w:tcW w:w="1020" w:type="pct"/>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3414B62E" w14:textId="77777777" w:rsidR="00692D21" w:rsidRDefault="002D0AC0">
            <w:pPr>
              <w:spacing w:before="0" w:after="0" w:line="240" w:lineRule="auto"/>
            </w:pPr>
            <w:r>
              <w:t xml:space="preserve"> £ 1,022.91</w:t>
            </w:r>
          </w:p>
        </w:tc>
        <w:tc>
          <w:tcPr>
            <w:tcW w:w="1020" w:type="pct"/>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199DE3E5" w14:textId="77777777" w:rsidR="00692D21" w:rsidRDefault="002D0AC0">
            <w:pPr>
              <w:spacing w:before="0" w:after="0" w:line="240" w:lineRule="auto"/>
            </w:pPr>
            <w:r>
              <w:t xml:space="preserve"> £ 1,331.89</w:t>
            </w:r>
          </w:p>
        </w:tc>
        <w:tc>
          <w:tcPr>
            <w:tcW w:w="1020" w:type="pct"/>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593C9238" w14:textId="77777777" w:rsidR="00692D21" w:rsidRDefault="002D0AC0">
            <w:pPr>
              <w:spacing w:before="0" w:after="0" w:line="240" w:lineRule="auto"/>
            </w:pPr>
            <w:r>
              <w:t xml:space="preserve"> £ 1,355.25</w:t>
            </w:r>
          </w:p>
        </w:tc>
      </w:tr>
      <w:tr w:rsidR="00692D21" w14:paraId="4272FA83" w14:textId="77777777">
        <w:trPr>
          <w:trHeight w:val="57"/>
        </w:trPr>
        <w:tc>
          <w:tcPr>
            <w:tcW w:w="194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FE6639" w14:textId="77777777" w:rsidR="00692D21" w:rsidRDefault="002D0AC0">
            <w:pPr>
              <w:spacing w:before="0" w:after="0" w:line="240" w:lineRule="auto"/>
              <w:rPr>
                <w:b/>
                <w:bCs/>
              </w:rPr>
            </w:pPr>
            <w:r>
              <w:rPr>
                <w:b/>
                <w:bCs/>
              </w:rPr>
              <w:t>IRR</w:t>
            </w:r>
          </w:p>
        </w:tc>
        <w:tc>
          <w:tcPr>
            <w:tcW w:w="1020" w:type="pct"/>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27A48AF9" w14:textId="77777777" w:rsidR="00692D21" w:rsidRDefault="002D0AC0">
            <w:pPr>
              <w:spacing w:before="0" w:after="0" w:line="240" w:lineRule="auto"/>
            </w:pPr>
            <w:r>
              <w:t>54.59%</w:t>
            </w:r>
          </w:p>
        </w:tc>
        <w:tc>
          <w:tcPr>
            <w:tcW w:w="1020" w:type="pct"/>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6E744C5E" w14:textId="77777777" w:rsidR="00692D21" w:rsidRDefault="002D0AC0">
            <w:pPr>
              <w:spacing w:before="0" w:after="0" w:line="240" w:lineRule="auto"/>
            </w:pPr>
            <w:r>
              <w:t>47.03%</w:t>
            </w:r>
          </w:p>
        </w:tc>
        <w:tc>
          <w:tcPr>
            <w:tcW w:w="1020" w:type="pct"/>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7EA2B126" w14:textId="77777777" w:rsidR="00692D21" w:rsidRDefault="002D0AC0">
            <w:pPr>
              <w:spacing w:before="0" w:after="0" w:line="240" w:lineRule="auto"/>
            </w:pPr>
            <w:r>
              <w:t>33.86%</w:t>
            </w:r>
          </w:p>
        </w:tc>
      </w:tr>
      <w:tr w:rsidR="00692D21" w14:paraId="391CAAD7" w14:textId="77777777">
        <w:trPr>
          <w:trHeight w:val="57"/>
        </w:trPr>
        <w:tc>
          <w:tcPr>
            <w:tcW w:w="194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01493B" w14:textId="77777777" w:rsidR="00692D21" w:rsidRDefault="002D0AC0">
            <w:pPr>
              <w:spacing w:before="0" w:after="0" w:line="240" w:lineRule="auto"/>
              <w:rPr>
                <w:b/>
                <w:bCs/>
              </w:rPr>
            </w:pPr>
            <w:r>
              <w:rPr>
                <w:b/>
                <w:bCs/>
              </w:rPr>
              <w:t>Profitability Index</w:t>
            </w:r>
          </w:p>
        </w:tc>
        <w:tc>
          <w:tcPr>
            <w:tcW w:w="1020" w:type="pct"/>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5C634DE0" w14:textId="77777777" w:rsidR="00692D21" w:rsidRDefault="002D0AC0">
            <w:pPr>
              <w:spacing w:before="0" w:after="0" w:line="240" w:lineRule="auto"/>
            </w:pPr>
            <w:r>
              <w:t>2.70</w:t>
            </w:r>
          </w:p>
        </w:tc>
        <w:tc>
          <w:tcPr>
            <w:tcW w:w="1020" w:type="pct"/>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68AF645D" w14:textId="77777777" w:rsidR="00692D21" w:rsidRDefault="002D0AC0">
            <w:pPr>
              <w:spacing w:before="0" w:after="0" w:line="240" w:lineRule="auto"/>
            </w:pPr>
            <w:r>
              <w:t>2.33</w:t>
            </w:r>
          </w:p>
        </w:tc>
        <w:tc>
          <w:tcPr>
            <w:tcW w:w="1020" w:type="pct"/>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2BAA2365" w14:textId="77777777" w:rsidR="00692D21" w:rsidRDefault="002D0AC0">
            <w:pPr>
              <w:spacing w:before="0" w:after="0" w:line="240" w:lineRule="auto"/>
            </w:pPr>
            <w:r>
              <w:t>1.85</w:t>
            </w:r>
          </w:p>
        </w:tc>
      </w:tr>
      <w:tr w:rsidR="00692D21" w14:paraId="10DFC43B" w14:textId="77777777">
        <w:trPr>
          <w:trHeight w:val="57"/>
        </w:trPr>
        <w:tc>
          <w:tcPr>
            <w:tcW w:w="194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D2C915" w14:textId="77777777" w:rsidR="00692D21" w:rsidRDefault="002D0AC0">
            <w:pPr>
              <w:spacing w:before="0" w:after="0" w:line="240" w:lineRule="auto"/>
              <w:rPr>
                <w:b/>
                <w:bCs/>
              </w:rPr>
            </w:pPr>
            <w:r>
              <w:rPr>
                <w:b/>
                <w:bCs/>
              </w:rPr>
              <w:t>Payback (Years)</w:t>
            </w:r>
          </w:p>
        </w:tc>
        <w:tc>
          <w:tcPr>
            <w:tcW w:w="1020" w:type="pct"/>
            <w:tcBorders>
              <w:top w:val="single" w:sz="8" w:space="0" w:color="000000"/>
              <w:left w:val="single" w:sz="8" w:space="0" w:color="000000"/>
              <w:bottom w:val="single" w:sz="8" w:space="0" w:color="000000"/>
              <w:right w:val="single" w:sz="8" w:space="0" w:color="000000"/>
            </w:tcBorders>
            <w:shd w:val="clear" w:color="auto" w:fill="63BE7B"/>
            <w:tcMar>
              <w:top w:w="100" w:type="dxa"/>
              <w:left w:w="100" w:type="dxa"/>
              <w:bottom w:w="100" w:type="dxa"/>
              <w:right w:w="100" w:type="dxa"/>
            </w:tcMar>
          </w:tcPr>
          <w:p w14:paraId="0078EF58" w14:textId="77777777" w:rsidR="00692D21" w:rsidRDefault="002D0AC0">
            <w:pPr>
              <w:spacing w:before="0" w:after="0" w:line="240" w:lineRule="auto"/>
            </w:pPr>
            <w:r>
              <w:t>1.14</w:t>
            </w:r>
          </w:p>
        </w:tc>
        <w:tc>
          <w:tcPr>
            <w:tcW w:w="1020" w:type="pct"/>
            <w:tcBorders>
              <w:top w:val="single" w:sz="8" w:space="0" w:color="000000"/>
              <w:left w:val="single" w:sz="8" w:space="0" w:color="000000"/>
              <w:bottom w:val="single" w:sz="8" w:space="0" w:color="000000"/>
              <w:right w:val="single" w:sz="8" w:space="0" w:color="000000"/>
            </w:tcBorders>
            <w:shd w:val="clear" w:color="auto" w:fill="F8696B"/>
            <w:tcMar>
              <w:top w:w="100" w:type="dxa"/>
              <w:left w:w="100" w:type="dxa"/>
              <w:bottom w:w="100" w:type="dxa"/>
              <w:right w:w="100" w:type="dxa"/>
            </w:tcMar>
          </w:tcPr>
          <w:p w14:paraId="3A82A5BC" w14:textId="77777777" w:rsidR="00692D21" w:rsidRDefault="002D0AC0">
            <w:pPr>
              <w:spacing w:before="0" w:after="0" w:line="240" w:lineRule="auto"/>
            </w:pPr>
            <w:r>
              <w:t>2.94</w:t>
            </w:r>
          </w:p>
        </w:tc>
        <w:tc>
          <w:tcPr>
            <w:tcW w:w="1020" w:type="pct"/>
            <w:tcBorders>
              <w:top w:val="single" w:sz="8" w:space="0" w:color="000000"/>
              <w:left w:val="single" w:sz="8" w:space="0" w:color="000000"/>
              <w:bottom w:val="single" w:sz="8" w:space="0" w:color="000000"/>
              <w:right w:val="single" w:sz="8" w:space="0" w:color="000000"/>
            </w:tcBorders>
            <w:shd w:val="clear" w:color="auto" w:fill="FFEB84"/>
            <w:tcMar>
              <w:top w:w="100" w:type="dxa"/>
              <w:left w:w="100" w:type="dxa"/>
              <w:bottom w:w="100" w:type="dxa"/>
              <w:right w:w="100" w:type="dxa"/>
            </w:tcMar>
          </w:tcPr>
          <w:p w14:paraId="411D01ED" w14:textId="77777777" w:rsidR="00692D21" w:rsidRDefault="002D0AC0">
            <w:pPr>
              <w:spacing w:before="0" w:after="0" w:line="240" w:lineRule="auto"/>
            </w:pPr>
            <w:r>
              <w:t>2.66</w:t>
            </w:r>
          </w:p>
        </w:tc>
      </w:tr>
    </w:tbl>
    <w:p w14:paraId="7377CAD2" w14:textId="77777777" w:rsidR="00692D21" w:rsidRDefault="002D0AC0">
      <w:pPr>
        <w:jc w:val="center"/>
        <w:rPr>
          <w:b/>
          <w:bCs/>
        </w:rPr>
      </w:pPr>
      <w:r>
        <w:rPr>
          <w:b/>
          <w:bCs/>
        </w:rPr>
        <w:t>Table 9: Investment Appraisal Results Summary Table</w:t>
      </w:r>
    </w:p>
    <w:p w14:paraId="55ACCDC1" w14:textId="77777777" w:rsidR="00692D21" w:rsidRDefault="002D0AC0">
      <w:pPr>
        <w:jc w:val="center"/>
      </w:pPr>
      <w:r>
        <w:t>(Source: Self-Developed)</w:t>
      </w:r>
    </w:p>
    <w:p w14:paraId="615E3B81" w14:textId="77777777" w:rsidR="00692D21" w:rsidRDefault="002D0AC0">
      <w:pPr>
        <w:pStyle w:val="Heading2"/>
      </w:pPr>
      <w:bookmarkStart w:id="35" w:name="_rkt3yquru4f9" w:colFirst="0" w:colLast="0"/>
      <w:bookmarkStart w:id="36" w:name="_Toc219123435"/>
      <w:bookmarkEnd w:id="35"/>
      <w:r>
        <w:t>NPV Evaluation</w:t>
      </w:r>
      <w:bookmarkEnd w:id="36"/>
    </w:p>
    <w:p w14:paraId="771DAE42" w14:textId="77777777" w:rsidR="00692D21" w:rsidRDefault="002D0AC0">
      <w:r>
        <w:t>Net Present Value is between the present value of future cash inflows and the initial investment that is discounted at the necessary rate of return (Sanyaolu and Sadowski, 2024). This approach is the most theoretically sound method of investment appraisal since it directly determines anticipated shareholder wealth generation. According to the calculations, all of these three projects provide a positive NPV at a six per cent discount, which means that each of the proposals is economically feasible in its own</w:t>
      </w:r>
      <w:r>
        <w:t xml:space="preserve"> right. Project A generates a Net present value of around £ 965, which is very strong in value generation given its relatively low cost at launch. Project B has a greater Net Present Value of about 1,256 due to a bigger cumulative discounted cash inflow, although it has a high capital requirement. Project C offers the highest Net Present Value of about £1,880, and this indicates the highest absolute value to shareholder value. The value of Project C NPV represents later period cash inflows that have high va</w:t>
      </w:r>
      <w:r>
        <w:t>lue even in discounting. Based on the pure value maximisation approach, the Net Present Value analysis thus rates Project C as the most desirable investment opportunity and next comes Project B, then Project A. This ranking is the major foundation of future decision-making.</w:t>
      </w:r>
    </w:p>
    <w:p w14:paraId="48B3177B" w14:textId="77777777" w:rsidR="00692D21" w:rsidRDefault="002D0AC0">
      <w:pPr>
        <w:pStyle w:val="Heading2"/>
      </w:pPr>
      <w:bookmarkStart w:id="37" w:name="_xu76f6mbqm53" w:colFirst="0" w:colLast="0"/>
      <w:bookmarkStart w:id="38" w:name="_Toc219123436"/>
      <w:bookmarkEnd w:id="37"/>
      <w:r>
        <w:t>IRR Analysis</w:t>
      </w:r>
      <w:bookmarkEnd w:id="38"/>
    </w:p>
    <w:p w14:paraId="1998AD1E" w14:textId="77777777" w:rsidR="00692D21" w:rsidRDefault="002D0AC0">
      <w:r>
        <w:t xml:space="preserve">Internal Rate of Return finds the discount rate which makes the Net Present Value of a project equal zero, which gives an intuitively easy-to-understand percentage-based metric on investment performance. Although widely applied and used by managers because of its simplicity and comparability, IRR comes conceptually second to Net Present Value, where the projects vary in size or time (Ivona Gudac Hodanić </w:t>
      </w:r>
      <w:r>
        <w:rPr>
          <w:i/>
          <w:iCs/>
        </w:rPr>
        <w:t>et al.</w:t>
      </w:r>
      <w:r>
        <w:t xml:space="preserve">, 2025). The resulting internal rates of return indicate that Project A is the best, with the highest IRR of about 54.6 per cent, as it takes a very short time to recover the cash inflows as compared to the initial investment. Project B is the one that has an IRR of approximately 47.0 per cent, which is highly profitable but with a bigger recovery period. Project C has the lowest IRR of about 33.9 per cent, although this value gives the highest absolute difference in the Net Present Value terms. This </w:t>
      </w:r>
      <w:r>
        <w:t>difference portrays an eminent restriction, which has been extensively documented in IRR, such that projects which are of greater scale and longer term may not seem as appealing on a per cent rate basis alone. Financial acceptability is established as all the projects are comfortable with the percentage of six per cent required to act as the rate of return. Project A, however, would be favoured by relying on the IRR, a factor that may result in poor value maximisation decisions.</w:t>
      </w:r>
    </w:p>
    <w:p w14:paraId="11360CCD" w14:textId="77777777" w:rsidR="00692D21" w:rsidRDefault="002D0AC0">
      <w:pPr>
        <w:pStyle w:val="Heading2"/>
      </w:pPr>
      <w:bookmarkStart w:id="39" w:name="_ndy86c4lzqm6" w:colFirst="0" w:colLast="0"/>
      <w:bookmarkStart w:id="40" w:name="_Toc219123437"/>
      <w:bookmarkEnd w:id="39"/>
      <w:r>
        <w:t>Interpretation of Results</w:t>
      </w:r>
      <w:bookmarkEnd w:id="40"/>
    </w:p>
    <w:p w14:paraId="6195D117" w14:textId="77777777" w:rsidR="00692D21" w:rsidRDefault="002D0AC0">
      <w:r>
        <w:t>The net present value interpretation, together with the interpretation of the internal rate of return, accentuates the need to concentrate more on value creation rather than focusing on the percentage performance measurement. Where Project A is more efficient and will pay back faster, its absolute contribution to the shareholder wealth is lower by a material component than that of Project C. Project B is an intermediate position between the relevant scale and return efficiency, but still inferior to Project</w:t>
      </w:r>
      <w:r>
        <w:t xml:space="preserve"> C when it comes to value (Raptis and Aretoulis, 2024). The difference between NPV and IRR ranking supports the importance of choosing Net Present Value as the method used in making decisions, primarily when there exist differences in the project regarding the amount of investment and the pattern of cash flows. </w:t>
      </w:r>
    </w:p>
    <w:p w14:paraId="4B83372C" w14:textId="77777777" w:rsidR="00692D21" w:rsidRDefault="002D0AC0">
      <w:r>
        <w:t xml:space="preserve">These insights are also strengthened by discounting effects since the high inflows of Project C in late stages still have a high reimbursement of the present value even after the discounting of the time value of money. It is the role of management, therefore, to differentiate attractive returns as a percentage of the total wealth creation as opposed to total wealth creation during the allocation of scarce capital (Das </w:t>
      </w:r>
      <w:r>
        <w:rPr>
          <w:i/>
          <w:iCs/>
        </w:rPr>
        <w:t>et al.</w:t>
      </w:r>
      <w:r>
        <w:t>, 2025). All the findings suggest that Project C produces the highest long-term financial payoff, and only within the limitations of liquidity, risk tolerance, or capital availability, Projects A and B can be a better choice. This definition provides the background for further discussion of non-discounting approaches, capital rationing and financing issues.</w:t>
      </w:r>
    </w:p>
    <w:p w14:paraId="03E86855" w14:textId="77777777" w:rsidR="00692D21" w:rsidRDefault="002D0AC0">
      <w:pPr>
        <w:pStyle w:val="Heading2"/>
      </w:pPr>
      <w:bookmarkStart w:id="41" w:name="_ap94b1vrqah7" w:colFirst="0" w:colLast="0"/>
      <w:bookmarkStart w:id="42" w:name="_Toc219123438"/>
      <w:bookmarkEnd w:id="41"/>
      <w:r>
        <w:t>Theoretical Justification</w:t>
      </w:r>
      <w:bookmarkEnd w:id="42"/>
    </w:p>
    <w:p w14:paraId="05F73416" w14:textId="77777777" w:rsidR="00692D21" w:rsidRDefault="002D0AC0">
      <w:r>
        <w:t>The investment appraisal theory further lays more emphasis on Net Present Value as a suitable criterion against which capital projects are evaluated since it is the direct measure of anticipated returns in terms of shareholder wealth. Theoretical excellence behind NPV is clear because it incorporates the time value of money, discounting for risk-adjusted development of absolute values. Unlike percentages, NPV compares projects at a consistent cost of capital, as significant projects should be measured and r</w:t>
      </w:r>
      <w:r>
        <w:t xml:space="preserve">eported on the same basis, regardless of contrasting scale and timing of receipt of cash flows (Magni and Martin, 2025). The modern literature in finance confirms that NPV is the most consistent with the maximisation of shareholder wealth, which is currently a primary aim of corporate financial management (Dobrowolski </w:t>
      </w:r>
      <w:r>
        <w:rPr>
          <w:i/>
          <w:iCs/>
        </w:rPr>
        <w:t>et al.</w:t>
      </w:r>
      <w:r>
        <w:t xml:space="preserve">, 2022). However, the Internal Rate of Return may produce a false ranking of projects that vary in size, life span or reinvestment basis. NPV also implicitly makes the assumption that a </w:t>
      </w:r>
      <w:r>
        <w:t>firm will reinvest at the cost of capital of the firm, and this is more realistic compared to the assumption made by IRR, which states that the firm will reinvest at the internal rate of the project. Therefore, in cases where there is a conflict in rank between NPV and IRR, the decision-making theory provides precise data on the importance of prioritising NPV results. This theoretical premise is what guides the framework of recommendations that is applied in the context of this analysis.</w:t>
      </w:r>
    </w:p>
    <w:p w14:paraId="7795F419" w14:textId="77777777" w:rsidR="00692D21" w:rsidRDefault="002D0AC0">
      <w:pPr>
        <w:pStyle w:val="Heading2"/>
      </w:pPr>
      <w:bookmarkStart w:id="43" w:name="_cg3wl9d3yjsa" w:colFirst="0" w:colLast="0"/>
      <w:bookmarkStart w:id="44" w:name="_Toc219123439"/>
      <w:bookmarkEnd w:id="43"/>
      <w:r>
        <w:t>Non-Discounting Methods</w:t>
      </w:r>
      <w:bookmarkEnd w:id="44"/>
    </w:p>
    <w:p w14:paraId="4EC2678E" w14:textId="77777777" w:rsidR="00692D21" w:rsidRDefault="002D0AC0">
      <w:r>
        <w:t>In practice, the use of non-discounting methods, despite their conceptual limitations, remains widespread because of their simplicity and their intuitive quality to the manager. Payback period is the time taken to recover the initial investment of cumulative cash inflows, and hence it is a rough measure of the liquidity risk. Her Project A gets the shortest payback time at about 1.14 years, which indicates that it is capitalised almost quickly and there is less short-term exposure. Project C has a payback p</w:t>
      </w:r>
      <w:r>
        <w:t>eriod of about 2.66 years, with Project B registering the highest payback period of about 2.94 years, meaning that the funds invested in the project are delayed in recovering. Despite the fact that payback can be helpful in determining the liquidity and exposure to risks, it does not address cash flows after the recovery period, as it ignores the time value of money (BRUNNERMEIER, 2024). Profitability index complements discounted analysis because it gives an indication of value creation in relation to the c</w:t>
      </w:r>
      <w:r>
        <w:t>apital used. Project A has the best index of profitability, and then come Projects B and C, which confirms that it is very efficient in creating value on a unit of investment. But these approaches are meant to augment and not to exclude NPV-based decisions.</w:t>
      </w:r>
    </w:p>
    <w:p w14:paraId="130B91D3" w14:textId="77777777" w:rsidR="00692D21" w:rsidRDefault="002D0AC0">
      <w:pPr>
        <w:pStyle w:val="Heading2"/>
      </w:pPr>
      <w:bookmarkStart w:id="45" w:name="_niocpip2294l" w:colFirst="0" w:colLast="0"/>
      <w:bookmarkStart w:id="46" w:name="_Toc219123440"/>
      <w:bookmarkEnd w:id="45"/>
      <w:r>
        <w:t>Qualitative Decision Factors</w:t>
      </w:r>
      <w:bookmarkEnd w:id="46"/>
    </w:p>
    <w:p w14:paraId="3DE5F9F5" w14:textId="77777777" w:rsidR="00692D21" w:rsidRDefault="002D0AC0">
      <w:r>
        <w:t>Quantitative appraisal is not enough to provide complete risk and strategic implications of capital investment decisions. Strategic alignment, complexity of operations, exposure to risks, and capability of execution are qualitative factors that are very crucial in establishing project appropriateness. Project C, despite yielding the greatest Net Present Value, has a significantly increased capital commitment and can significantly increase the exposure of the organisation to an increased level of both execut</w:t>
      </w:r>
      <w:r>
        <w:t>ion and operation risks. The smaller size of Project A and its quick payback might have a closer tie to the conservative risk aversion or liquidity. Beyond numerical assessment of the projects, market conditions, regulatory uncertainty, and availability of resources also determine the project's feasibility. Also, the assessment of the chance of successful implementation of the project should include managerial expertise and organisational capacity. The recent strategic finance literature emphasises that a c</w:t>
      </w:r>
      <w:r>
        <w:t>ombination of a qualitative judgement and quantitative appraisal contributes to decision resilience and lowers the chances of value erosion with a bad execution (Abdullah Al Hayajneh, Hasnain Nizam Thakur and Thakur, 2023). Based on this, the management needs to consider such projects in the framework of global strategic and risk management instead of using financial indicators only.</w:t>
      </w:r>
    </w:p>
    <w:p w14:paraId="3AB30F96" w14:textId="77777777" w:rsidR="00692D21" w:rsidRDefault="002D0AC0">
      <w:pPr>
        <w:pStyle w:val="Heading2"/>
      </w:pPr>
      <w:bookmarkStart w:id="47" w:name="_ldeygsjoil9n" w:colFirst="0" w:colLast="0"/>
      <w:bookmarkStart w:id="48" w:name="_Toc219123441"/>
      <w:bookmarkEnd w:id="47"/>
      <w:r>
        <w:t>Capital Rationing Analysis</w:t>
      </w:r>
      <w:bookmarkEnd w:id="48"/>
    </w:p>
    <w:p w14:paraId="0269B055" w14:textId="77777777" w:rsidR="00692D21" w:rsidRDefault="002D0AC0">
      <w:r>
        <w:t>Capital rationing is a situation in which an organisation has a constraint on the amount of funds that can be invested, and it has to decide on the activities that will generate the maximum value given the limited amount. The profitability index enjoys desirability as a tool of choice in decision-making under circumstances of divisible capital rationing, in that the index ranks projects according to value created in relation to investment amount spent (Chen, 2025). According to the figures of the calculated</w:t>
      </w:r>
      <w:r>
        <w:t xml:space="preserve"> profitability indices, Project A has the highest score, followed by Project B and then Project C. Such a ranking implies that in the case of limited capital, capital in Project A would give the highest value efficiency. However, in cases where the projects are not divisible or in cases where capital is loosened, Net Present Value should revert to the position of being the decision criterion (Efthymiou </w:t>
      </w:r>
      <w:r>
        <w:rPr>
          <w:i/>
          <w:iCs/>
        </w:rPr>
        <w:t>et al.</w:t>
      </w:r>
      <w:r>
        <w:t>, 2022). Under these conditions, Project C would be the option of choice since it has a better absol</w:t>
      </w:r>
      <w:r>
        <w:t>ute value creation. This analysis hence illustrates that the best project selection would depend on the capital availability as well as organisational constraints. Good capital budgeting needs to be able to flexibly apply decision rules, but they must comply with the long-term goals of shareholder value.</w:t>
      </w:r>
    </w:p>
    <w:p w14:paraId="2B9E6141" w14:textId="77777777" w:rsidR="00692D21" w:rsidRDefault="002D0AC0">
      <w:pPr>
        <w:pStyle w:val="Heading2"/>
      </w:pPr>
      <w:bookmarkStart w:id="49" w:name="_kr7ibxmg1jm6" w:colFirst="0" w:colLast="0"/>
      <w:bookmarkStart w:id="50" w:name="_Toc219123442"/>
      <w:bookmarkEnd w:id="49"/>
      <w:r>
        <w:t>Funding the Investment Programme</w:t>
      </w:r>
      <w:bookmarkEnd w:id="50"/>
    </w:p>
    <w:p w14:paraId="7605D32E" w14:textId="77777777" w:rsidR="00692D21" w:rsidRDefault="002D0AC0">
      <w:r>
        <w:t>The financing decisions have a significant part to play in the actualisation of value created by investment appraisal by the shareholders. The selected investment programme must thus be funded in a way that not only maintains financial flexibility but is also characterised by an optimal cost of capital. The internally available resources, especially the retained earnings, are the most appropriate primary source of finance since they are available and do not incur any direct financing expenses. Internal fina</w:t>
      </w:r>
      <w:r>
        <w:t xml:space="preserve">ncing eliminates the issue of dilution of ownership and exposes the company to interest rate fluctuations, a factor particularly relevant in an unpredictable macroeconomic environment (Hafez, 2024). Debt financing can be taken as an additional source, though the level of gearing that is currently in place should be kept within an appropriate level, and the interest coverage must be sufficient. Substantial but moderate and direct use of debt can boost returns due to tax-deductible interest payments, but the </w:t>
      </w:r>
      <w:r>
        <w:t xml:space="preserve">high leverage would raise the financial risk and limit the future capacity to invest in the company. The equity financing options are rather unappealing in this regard because of the effects of dilution and the increased returns required by the shareholders (Gross </w:t>
      </w:r>
      <w:r>
        <w:rPr>
          <w:i/>
          <w:iCs/>
        </w:rPr>
        <w:t>et al.</w:t>
      </w:r>
      <w:r>
        <w:t>, 2025). As a result, it would be more appropriate to use a balanced completion strategy, which would depend on internal financing and be selectively supplemented with the opportunity to generate long-term value and seek financial stability.</w:t>
      </w:r>
    </w:p>
    <w:p w14:paraId="58837103" w14:textId="77777777" w:rsidR="00692D21" w:rsidRDefault="002D0AC0">
      <w:pPr>
        <w:pStyle w:val="Heading2"/>
      </w:pPr>
      <w:bookmarkStart w:id="51" w:name="_6qfgsorzv5co" w:colFirst="0" w:colLast="0"/>
      <w:bookmarkStart w:id="52" w:name="_Toc219123443"/>
      <w:bookmarkEnd w:id="51"/>
      <w:r>
        <w:t>Conclusion</w:t>
      </w:r>
      <w:bookmarkEnd w:id="52"/>
    </w:p>
    <w:p w14:paraId="4593701C" w14:textId="77777777" w:rsidR="00692D21" w:rsidRDefault="002D0AC0">
      <w:r>
        <w:t>In this analysis, three investment projects were considered under various discounted and non-discounted appraisal methods in order to make sound capital allocation decisions. The Net Present Value analysis revealed that Project C is the most value-adding alternative, which will provide the highest absolute contribution to the shareholder wealth at the necessary rate of return. The outcome of the internal Rate of Return analysis made Project A the most efficient in percentage terms, but this metric was not r</w:t>
      </w:r>
      <w:r>
        <w:t xml:space="preserve">eflective of the better value creation, which was evident with bigger-scale investments. The supporting methods, such as payback period and profitability index, gave further information on the liquidity recovery and capital efficiency, specifically when a capital constraint exists. </w:t>
      </w:r>
    </w:p>
    <w:p w14:paraId="4440AADA" w14:textId="77777777" w:rsidR="00692D21" w:rsidRDefault="002D0AC0">
      <w:r>
        <w:t>Qualitative factors also supported why financial returns and strategic fit, risk of execution, and organisational capacity had to be balanced. In an environment where the availability of capital is not limited, Project C is the best option in the context of the maximisation of wealth. With the conditions of capital rationing, projects with greater profitability indexes would have better efficiency of value. Overall, this discussion indicates that effective investment choices need to be presented by incorpor</w:t>
      </w:r>
      <w:r>
        <w:t>ating theoretical justification, quantitative appraisal and managerial judgement. With the application of these principles, the management will benefit in ensuring capital is distributed to enable it to be capable of creating sustainable value and long-term financial performance.</w:t>
      </w:r>
    </w:p>
    <w:p w14:paraId="7FE74E60" w14:textId="77777777" w:rsidR="00692D21" w:rsidRDefault="002D0AC0">
      <w:r>
        <w:br w:type="page"/>
      </w:r>
    </w:p>
    <w:p w14:paraId="67B6A944" w14:textId="77777777" w:rsidR="00692D21" w:rsidRDefault="002D0AC0">
      <w:pPr>
        <w:pStyle w:val="Heading1"/>
        <w:rPr>
          <w:sz w:val="36"/>
          <w:szCs w:val="36"/>
        </w:rPr>
      </w:pPr>
      <w:bookmarkStart w:id="53" w:name="_6n2jmf1vdzjk" w:colFirst="0" w:colLast="0"/>
      <w:bookmarkStart w:id="54" w:name="_Toc219123444"/>
      <w:bookmarkEnd w:id="53"/>
      <w:r>
        <w:t>References</w:t>
      </w:r>
      <w:bookmarkEnd w:id="54"/>
    </w:p>
    <w:p w14:paraId="65888139" w14:textId="77777777" w:rsidR="00692D21" w:rsidRDefault="002D0AC0">
      <w:pPr>
        <w:spacing w:before="0"/>
      </w:pPr>
      <w:r>
        <w:t xml:space="preserve">Abdullah Al Hayajneh, Hasnain Nizam Thakur and Thakur, K. (2023) ‘The Evolution of Information Security Strategies: A Comprehensive Investigation of INFOSEC Risk Assessment in the Contemporary Information Era’, </w:t>
      </w:r>
      <w:r>
        <w:rPr>
          <w:i/>
          <w:iCs/>
        </w:rPr>
        <w:t>Computer and information science</w:t>
      </w:r>
      <w:r>
        <w:t xml:space="preserve">, 16(4), pp. 1–1. Available at: </w:t>
      </w:r>
      <w:hyperlink r:id="rId15">
        <w:r>
          <w:rPr>
            <w:color w:val="1155CC"/>
            <w:u w:val="single"/>
          </w:rPr>
          <w:t>https://doi.org/10.5539/cis.v16n4p1</w:t>
        </w:r>
      </w:hyperlink>
      <w:r>
        <w:t>. (Accessed: 10 January 2026)</w:t>
      </w:r>
    </w:p>
    <w:p w14:paraId="40D25AA6" w14:textId="77777777" w:rsidR="00692D21" w:rsidRDefault="002D0AC0">
      <w:pPr>
        <w:spacing w:before="0"/>
      </w:pPr>
      <w:r>
        <w:t xml:space="preserve">Arampatzi, A.-S. </w:t>
      </w:r>
      <w:r>
        <w:rPr>
          <w:i/>
          <w:iCs/>
        </w:rPr>
        <w:t>et al.</w:t>
      </w:r>
      <w:r>
        <w:t xml:space="preserve"> (2025) ‘Capital Markets Union: A Deep Dive - Five Measures to Foster a Single Market for Capital’, </w:t>
      </w:r>
      <w:r>
        <w:rPr>
          <w:i/>
          <w:iCs/>
        </w:rPr>
        <w:t>SSRN Electronic Journal</w:t>
      </w:r>
      <w:r>
        <w:t xml:space="preserve"> [Preprint]. Available at: </w:t>
      </w:r>
      <w:hyperlink r:id="rId16">
        <w:r>
          <w:rPr>
            <w:color w:val="1155CC"/>
            <w:u w:val="single"/>
          </w:rPr>
          <w:t>https://doi.org/10.2139/ssrn.5175495</w:t>
        </w:r>
      </w:hyperlink>
      <w:r>
        <w:t>. (Accessed: 10 January 2026)</w:t>
      </w:r>
    </w:p>
    <w:p w14:paraId="60EC5E35" w14:textId="77777777" w:rsidR="00692D21" w:rsidRDefault="002D0AC0">
      <w:pPr>
        <w:spacing w:before="0"/>
      </w:pPr>
      <w:r>
        <w:t xml:space="preserve">Arhinful, R. and Radmehr, M. (2023) ‘The Impact of Financial Leverage on the Financial Performance of the Firms Listed on the Tokyo Stock Exchange’, </w:t>
      </w:r>
      <w:r>
        <w:rPr>
          <w:i/>
          <w:iCs/>
        </w:rPr>
        <w:t>SAGE Open</w:t>
      </w:r>
      <w:r>
        <w:t xml:space="preserve">, 13(4). Available at: </w:t>
      </w:r>
      <w:hyperlink r:id="rId17">
        <w:r>
          <w:rPr>
            <w:color w:val="1155CC"/>
            <w:u w:val="single"/>
          </w:rPr>
          <w:t>https://doi.org/10.1177/21582440231204099</w:t>
        </w:r>
      </w:hyperlink>
      <w:r>
        <w:t>. (Accessed: 10 January 2026)</w:t>
      </w:r>
    </w:p>
    <w:p w14:paraId="66E6F12A" w14:textId="77777777" w:rsidR="00692D21" w:rsidRDefault="002D0AC0">
      <w:pPr>
        <w:spacing w:before="0"/>
      </w:pPr>
      <w:r>
        <w:t xml:space="preserve">Barker, R. </w:t>
      </w:r>
      <w:r>
        <w:rPr>
          <w:i/>
          <w:iCs/>
        </w:rPr>
        <w:t>et al.</w:t>
      </w:r>
      <w:r>
        <w:t xml:space="preserve"> (2021) ‘Accounting for intangible assets: suggested solutions’, </w:t>
      </w:r>
      <w:r>
        <w:rPr>
          <w:i/>
          <w:iCs/>
        </w:rPr>
        <w:t>Accounting and Business Research</w:t>
      </w:r>
      <w:r>
        <w:t xml:space="preserve">, 52(6), pp. 1–30. Available at: </w:t>
      </w:r>
      <w:hyperlink r:id="rId18">
        <w:r>
          <w:rPr>
            <w:color w:val="1155CC"/>
            <w:u w:val="single"/>
          </w:rPr>
          <w:t>https://doi.org/10.1080/00014788.2021.1938963</w:t>
        </w:r>
      </w:hyperlink>
      <w:r>
        <w:t>. (Accessed: 10 January 2026)</w:t>
      </w:r>
    </w:p>
    <w:p w14:paraId="44BED743" w14:textId="77777777" w:rsidR="00692D21" w:rsidRDefault="002D0AC0">
      <w:pPr>
        <w:spacing w:before="0"/>
      </w:pPr>
      <w:r>
        <w:t xml:space="preserve">BRUNNERMEIER, M.K. (2024) ‘Presidential Address: Macrofinance and Resilience’, </w:t>
      </w:r>
      <w:r>
        <w:rPr>
          <w:i/>
          <w:iCs/>
        </w:rPr>
        <w:t>The Journal of Finance</w:t>
      </w:r>
      <w:r>
        <w:t xml:space="preserve"> [Preprint]. Available at: </w:t>
      </w:r>
      <w:hyperlink r:id="rId19">
        <w:r>
          <w:rPr>
            <w:color w:val="1155CC"/>
            <w:u w:val="single"/>
          </w:rPr>
          <w:t>https://doi.org/10.1111/jofi.13403</w:t>
        </w:r>
      </w:hyperlink>
      <w:r>
        <w:t>. (Accessed: 10 January 2026)</w:t>
      </w:r>
    </w:p>
    <w:p w14:paraId="6854FA9B" w14:textId="77777777" w:rsidR="00692D21" w:rsidRDefault="002D0AC0">
      <w:pPr>
        <w:spacing w:before="0"/>
      </w:pPr>
      <w:r>
        <w:t xml:space="preserve">Chen, J. (2025) </w:t>
      </w:r>
      <w:r>
        <w:rPr>
          <w:i/>
          <w:iCs/>
        </w:rPr>
        <w:t>Profitability Index</w:t>
      </w:r>
      <w:r>
        <w:t xml:space="preserve">, </w:t>
      </w:r>
      <w:r>
        <w:rPr>
          <w:i/>
          <w:iCs/>
        </w:rPr>
        <w:t>Investopedia</w:t>
      </w:r>
      <w:r>
        <w:t xml:space="preserve">. Available at: </w:t>
      </w:r>
      <w:hyperlink r:id="rId20">
        <w:r>
          <w:rPr>
            <w:color w:val="1155CC"/>
            <w:u w:val="single"/>
          </w:rPr>
          <w:t>https://www.investopedia.com/terms/p/profitability.asp</w:t>
        </w:r>
      </w:hyperlink>
      <w:r>
        <w:t xml:space="preserve">  (Accessed: 10 January 2026).</w:t>
      </w:r>
    </w:p>
    <w:p w14:paraId="1F1F0146" w14:textId="77777777" w:rsidR="00692D21" w:rsidRDefault="002D0AC0">
      <w:pPr>
        <w:spacing w:before="0"/>
      </w:pPr>
      <w:r>
        <w:t xml:space="preserve">Christophers, B. (2021) ‘Fossilised Capital: Price and Profit in the Energy Transition’, </w:t>
      </w:r>
      <w:r>
        <w:rPr>
          <w:i/>
          <w:iCs/>
        </w:rPr>
        <w:t>New Political Economy</w:t>
      </w:r>
      <w:r>
        <w:t xml:space="preserve">, 27(1), pp. 1–14. Available at: </w:t>
      </w:r>
      <w:hyperlink r:id="rId21">
        <w:r>
          <w:rPr>
            <w:color w:val="1155CC"/>
            <w:u w:val="single"/>
          </w:rPr>
          <w:t>https://www.tandfonline.com/doi/abs/10.1080/13563467.2021.1926957</w:t>
        </w:r>
      </w:hyperlink>
      <w:r>
        <w:t xml:space="preserve">  (Accessed: 10 January 2026).</w:t>
      </w:r>
    </w:p>
    <w:p w14:paraId="0380A2AA" w14:textId="77777777" w:rsidR="00692D21" w:rsidRDefault="002D0AC0">
      <w:pPr>
        <w:spacing w:before="0"/>
      </w:pPr>
      <w:r>
        <w:t xml:space="preserve">Cunningham, A. (2025) ‘A qualitative evaluation of the differences in risk/reward profiles for project finance in the development of a typical porphyry copper deposit compared with a typical diamondiferous kimberlite deposit’, </w:t>
      </w:r>
      <w:r>
        <w:rPr>
          <w:i/>
          <w:iCs/>
        </w:rPr>
        <w:t>Mineral Economics</w:t>
      </w:r>
      <w:r>
        <w:t xml:space="preserve">, 38(3), pp. 741–758. Available at: </w:t>
      </w:r>
      <w:hyperlink r:id="rId22">
        <w:r>
          <w:rPr>
            <w:color w:val="1155CC"/>
            <w:u w:val="single"/>
          </w:rPr>
          <w:t>https://doi.org/10.1007/s13563-025-00532-8</w:t>
        </w:r>
      </w:hyperlink>
      <w:r>
        <w:t>. (Accessed: 10 January 2026)</w:t>
      </w:r>
    </w:p>
    <w:p w14:paraId="78ED0B20" w14:textId="77777777" w:rsidR="00692D21" w:rsidRDefault="002D0AC0">
      <w:pPr>
        <w:spacing w:before="0"/>
      </w:pPr>
      <w:r>
        <w:t xml:space="preserve">Das, A.K. </w:t>
      </w:r>
      <w:r>
        <w:rPr>
          <w:i/>
          <w:iCs/>
        </w:rPr>
        <w:t>et al.</w:t>
      </w:r>
      <w:r>
        <w:t xml:space="preserve"> (2025) ‘Circular economy: A sustainable model for waste reduction and wealth creation in the textile supply chain’, </w:t>
      </w:r>
      <w:r>
        <w:rPr>
          <w:i/>
          <w:iCs/>
        </w:rPr>
        <w:t>SPE Polymers</w:t>
      </w:r>
      <w:r>
        <w:t xml:space="preserve">, 6(1). Available at: </w:t>
      </w:r>
      <w:hyperlink r:id="rId23">
        <w:r>
          <w:rPr>
            <w:color w:val="1155CC"/>
            <w:u w:val="single"/>
          </w:rPr>
          <w:t>https://doi.org/10.1002/pls2.10171</w:t>
        </w:r>
      </w:hyperlink>
      <w:r>
        <w:t>. (Accessed: 10 January 2026)</w:t>
      </w:r>
    </w:p>
    <w:p w14:paraId="38D0D3BF" w14:textId="77777777" w:rsidR="00692D21" w:rsidRDefault="002D0AC0">
      <w:pPr>
        <w:spacing w:before="0"/>
      </w:pPr>
      <w:r>
        <w:t xml:space="preserve">Dobrowolski, Z. </w:t>
      </w:r>
      <w:r>
        <w:rPr>
          <w:i/>
          <w:iCs/>
        </w:rPr>
        <w:t>et al.</w:t>
      </w:r>
      <w:r>
        <w:t xml:space="preserve"> (2022) ‘Can the Economic Value Added Be Used as the Universal Financial Metric?’, </w:t>
      </w:r>
      <w:r>
        <w:rPr>
          <w:i/>
          <w:iCs/>
        </w:rPr>
        <w:t>Sustainability</w:t>
      </w:r>
      <w:r>
        <w:t xml:space="preserve">, 14(5), p. 2967. Available at: </w:t>
      </w:r>
      <w:hyperlink r:id="rId24">
        <w:r>
          <w:rPr>
            <w:color w:val="1155CC"/>
            <w:u w:val="single"/>
          </w:rPr>
          <w:t>https://doi.org/10.3390/su14052967</w:t>
        </w:r>
      </w:hyperlink>
      <w:r>
        <w:t>. (Accessed: 10 January 2026)</w:t>
      </w:r>
    </w:p>
    <w:p w14:paraId="3E58094C" w14:textId="77777777" w:rsidR="00692D21" w:rsidRDefault="002D0AC0">
      <w:pPr>
        <w:spacing w:before="0"/>
      </w:pPr>
      <w:r>
        <w:t xml:space="preserve">Efthymiou, E.N. </w:t>
      </w:r>
      <w:r>
        <w:rPr>
          <w:i/>
          <w:iCs/>
        </w:rPr>
        <w:t>et al.</w:t>
      </w:r>
      <w:r>
        <w:t xml:space="preserve"> (2022) ‘A Practical Methodology for Building a Municipality-Led Renewable Energy Community: A Photovoltaics-Based Case Study for the Municipality of Hersonissos in Crete, Greece’, </w:t>
      </w:r>
      <w:r>
        <w:rPr>
          <w:i/>
          <w:iCs/>
        </w:rPr>
        <w:t>Sustainability</w:t>
      </w:r>
      <w:r>
        <w:t xml:space="preserve">, 14(19), p. 12935. Available at: </w:t>
      </w:r>
      <w:hyperlink r:id="rId25">
        <w:r>
          <w:rPr>
            <w:color w:val="1155CC"/>
            <w:u w:val="single"/>
          </w:rPr>
          <w:t>https://doi.org/10.3390/su141912935</w:t>
        </w:r>
      </w:hyperlink>
      <w:r>
        <w:t>. (Accessed: 10 January 2026)</w:t>
      </w:r>
    </w:p>
    <w:p w14:paraId="52698A51" w14:textId="77777777" w:rsidR="00692D21" w:rsidRDefault="002D0AC0">
      <w:pPr>
        <w:spacing w:before="0"/>
      </w:pPr>
      <w:r>
        <w:t xml:space="preserve">Fattouh, B. and Farren-Price, B. (2024) ‘Gas to 2030: Transition, Supply Risk and Market Uncertainty’, </w:t>
      </w:r>
      <w:r>
        <w:rPr>
          <w:i/>
          <w:iCs/>
        </w:rPr>
        <w:t>Oxford Energy Forum: A Quarterly Journal for Debating Energy Issues and Policies</w:t>
      </w:r>
      <w:r>
        <w:t xml:space="preserve"> [Preprint], (141). Available at: </w:t>
      </w:r>
      <w:hyperlink r:id="rId26">
        <w:r>
          <w:rPr>
            <w:color w:val="1155CC"/>
            <w:u w:val="single"/>
          </w:rPr>
          <w:t>https://hdl.handle.net/10419/307003</w:t>
        </w:r>
      </w:hyperlink>
      <w:r>
        <w:t>. (Accessed: 10 January 2026)</w:t>
      </w:r>
    </w:p>
    <w:p w14:paraId="35EC19DF" w14:textId="77777777" w:rsidR="00692D21" w:rsidRDefault="002D0AC0">
      <w:pPr>
        <w:spacing w:before="0"/>
      </w:pPr>
      <w:r>
        <w:t xml:space="preserve">GRAHAM, J.R. (2022) ‘Presidential Address: Corporate Finance and Reality’, </w:t>
      </w:r>
      <w:r>
        <w:rPr>
          <w:i/>
          <w:iCs/>
        </w:rPr>
        <w:t>The Journal of Finance</w:t>
      </w:r>
      <w:r>
        <w:t xml:space="preserve">, 77(4). Available at: </w:t>
      </w:r>
      <w:hyperlink r:id="rId27">
        <w:r>
          <w:rPr>
            <w:color w:val="1155CC"/>
            <w:u w:val="single"/>
          </w:rPr>
          <w:t>https://doi.org/10.1111/jofi.13161</w:t>
        </w:r>
      </w:hyperlink>
      <w:r>
        <w:t>. (Accessed: 10 January 2026)</w:t>
      </w:r>
    </w:p>
    <w:p w14:paraId="3DA94EB0" w14:textId="77777777" w:rsidR="00692D21" w:rsidRDefault="002D0AC0">
      <w:pPr>
        <w:spacing w:before="0"/>
      </w:pPr>
      <w:r>
        <w:t xml:space="preserve">Gross, J.A. </w:t>
      </w:r>
      <w:r>
        <w:rPr>
          <w:i/>
          <w:iCs/>
        </w:rPr>
        <w:t>et al.</w:t>
      </w:r>
      <w:r>
        <w:t xml:space="preserve"> (2025) ‘The Micro-Processes of Transitioning to a Circular Economy Through Capital Allocation: A Case of the Investment Field’, </w:t>
      </w:r>
      <w:r>
        <w:rPr>
          <w:i/>
          <w:iCs/>
        </w:rPr>
        <w:t>Organization &amp; Environment</w:t>
      </w:r>
      <w:r>
        <w:t xml:space="preserve">, 38(2), pp. 309–341. Available at: </w:t>
      </w:r>
      <w:hyperlink r:id="rId28">
        <w:r>
          <w:rPr>
            <w:color w:val="1155CC"/>
            <w:u w:val="single"/>
          </w:rPr>
          <w:t>https://doi.org/10.1177/10860266251342567</w:t>
        </w:r>
      </w:hyperlink>
      <w:r>
        <w:t>. (Accessed: 10 January 2026)</w:t>
      </w:r>
    </w:p>
    <w:p w14:paraId="233C8524" w14:textId="77777777" w:rsidR="00692D21" w:rsidRDefault="002D0AC0">
      <w:pPr>
        <w:spacing w:before="0"/>
      </w:pPr>
      <w:r>
        <w:t xml:space="preserve">Hafez, M. (2024) ‘The Financial Compass: Navigating Market Expansion through Theory and Practice’, </w:t>
      </w:r>
      <w:r>
        <w:rPr>
          <w:i/>
          <w:iCs/>
        </w:rPr>
        <w:t>Social Science Research Network</w:t>
      </w:r>
      <w:r>
        <w:t xml:space="preserve"> [Preprint]. Available at: </w:t>
      </w:r>
      <w:hyperlink r:id="rId29">
        <w:r>
          <w:rPr>
            <w:color w:val="1155CC"/>
            <w:u w:val="single"/>
          </w:rPr>
          <w:t>https://doi.org/10.2139/ssrn.4802279</w:t>
        </w:r>
      </w:hyperlink>
      <w:r>
        <w:t>. (Accessed: 10 January 2026)</w:t>
      </w:r>
    </w:p>
    <w:p w14:paraId="63CC6954" w14:textId="77777777" w:rsidR="00692D21" w:rsidRDefault="002D0AC0">
      <w:pPr>
        <w:spacing w:before="0"/>
      </w:pPr>
      <w:r>
        <w:t xml:space="preserve">Hajiyev, N., Abdullayeva, S. and Abdullayeva, E. (2024) ‘Financial stability strategies for oil companies amidst high volatility in the global oil products market’, </w:t>
      </w:r>
      <w:r>
        <w:rPr>
          <w:i/>
          <w:iCs/>
        </w:rPr>
        <w:t>Energy strategy reviews</w:t>
      </w:r>
      <w:r>
        <w:t xml:space="preserve">, 53, pp. 101377–101377. Available at: </w:t>
      </w:r>
      <w:hyperlink r:id="rId30">
        <w:r>
          <w:rPr>
            <w:color w:val="1155CC"/>
            <w:u w:val="single"/>
          </w:rPr>
          <w:t>https://doi.org/10.1016/j.esr.2024.101377</w:t>
        </w:r>
      </w:hyperlink>
      <w:r>
        <w:t>. (Accessed: 10 January 2026)</w:t>
      </w:r>
    </w:p>
    <w:p w14:paraId="33F19EA6" w14:textId="77777777" w:rsidR="00692D21" w:rsidRDefault="002D0AC0">
      <w:pPr>
        <w:spacing w:before="0"/>
      </w:pPr>
      <w:r>
        <w:t xml:space="preserve">Ivona Gudac Hodanić </w:t>
      </w:r>
      <w:r>
        <w:rPr>
          <w:i/>
          <w:iCs/>
        </w:rPr>
        <w:t>et al.</w:t>
      </w:r>
      <w:r>
        <w:t xml:space="preserve"> (2025) ‘The Role of the Built Environment in Achieving Sustainable Development: A Life Cycle Cost Perspective’, </w:t>
      </w:r>
      <w:r>
        <w:rPr>
          <w:i/>
          <w:iCs/>
        </w:rPr>
        <w:t>Sustainability</w:t>
      </w:r>
      <w:r>
        <w:t xml:space="preserve">, 17(20), pp. 8996–8996. Available at: </w:t>
      </w:r>
      <w:hyperlink r:id="rId31">
        <w:r>
          <w:rPr>
            <w:color w:val="1155CC"/>
            <w:u w:val="single"/>
          </w:rPr>
          <w:t>https://doi.org/10.3390/su17208996</w:t>
        </w:r>
      </w:hyperlink>
      <w:r>
        <w:t>. (Accessed: 10 January 2026)</w:t>
      </w:r>
    </w:p>
    <w:p w14:paraId="576005B1" w14:textId="77777777" w:rsidR="00692D21" w:rsidRDefault="002D0AC0">
      <w:pPr>
        <w:spacing w:before="0"/>
      </w:pPr>
      <w:r>
        <w:t xml:space="preserve">Magni, C.A. and Martin, J.D. (2025) ‘The Two Sides of the Reinvestment Assumption Fallacy in IRR And NPV’. Available at: </w:t>
      </w:r>
      <w:hyperlink r:id="rId32">
        <w:r>
          <w:rPr>
            <w:color w:val="1155CC"/>
            <w:u w:val="single"/>
          </w:rPr>
          <w:t>https://doi.org/10.2139/ssrn.5462494</w:t>
        </w:r>
      </w:hyperlink>
      <w:r>
        <w:t>. (Accessed: 10 January 2026)</w:t>
      </w:r>
    </w:p>
    <w:p w14:paraId="19C74AC5" w14:textId="77777777" w:rsidR="00692D21" w:rsidRDefault="002D0AC0">
      <w:pPr>
        <w:spacing w:before="0"/>
      </w:pPr>
      <w:r>
        <w:t xml:space="preserve">Morão, H. (2025) ‘The economic effects of tensions in energy transportation’, </w:t>
      </w:r>
      <w:r>
        <w:rPr>
          <w:i/>
          <w:iCs/>
        </w:rPr>
        <w:t>Research in Transportation Economics</w:t>
      </w:r>
      <w:r>
        <w:t xml:space="preserve">, 112, p. 101598. Available at: </w:t>
      </w:r>
      <w:hyperlink r:id="rId33">
        <w:r>
          <w:rPr>
            <w:color w:val="1155CC"/>
            <w:u w:val="single"/>
          </w:rPr>
          <w:t>https://doi.org/10.1016/j.retrec.2025.101598</w:t>
        </w:r>
      </w:hyperlink>
      <w:r>
        <w:t>. (Accessed: 10 January 2026)</w:t>
      </w:r>
    </w:p>
    <w:p w14:paraId="0D8C1786" w14:textId="77777777" w:rsidR="00692D21" w:rsidRDefault="002D0AC0">
      <w:pPr>
        <w:spacing w:before="0"/>
      </w:pPr>
      <w:r>
        <w:t xml:space="preserve">Osmundsen, P. and Gjesdal, F. (2024) ‘From high dividends to impairment. Oil companies revise offshore wind investment strategy ’, </w:t>
      </w:r>
      <w:r>
        <w:rPr>
          <w:i/>
          <w:iCs/>
        </w:rPr>
        <w:t>SSRN Electronic Journal</w:t>
      </w:r>
      <w:r>
        <w:t xml:space="preserve"> [Preprint]. Available at: </w:t>
      </w:r>
      <w:hyperlink r:id="rId34">
        <w:r>
          <w:rPr>
            <w:color w:val="1155CC"/>
            <w:u w:val="single"/>
          </w:rPr>
          <w:t>https://doi.org/10.2139/ssrn.4948025</w:t>
        </w:r>
      </w:hyperlink>
      <w:r>
        <w:t>. (Accessed: 10 January 2026)</w:t>
      </w:r>
    </w:p>
    <w:p w14:paraId="526F2CBF" w14:textId="77777777" w:rsidR="00692D21" w:rsidRDefault="002D0AC0">
      <w:pPr>
        <w:spacing w:before="0"/>
      </w:pPr>
      <w:r>
        <w:t xml:space="preserve">Potharla, S. (2025) ‘From Debt to Divestiture: How Indian and Global Firms Reshaped through Corporate Restructuring’. Available at: </w:t>
      </w:r>
      <w:hyperlink r:id="rId35">
        <w:r>
          <w:rPr>
            <w:color w:val="1155CC"/>
            <w:u w:val="single"/>
          </w:rPr>
          <w:t>https://doi.org/10.2139/ssrn.5348941</w:t>
        </w:r>
      </w:hyperlink>
      <w:r>
        <w:t>. (Accessed: 10 January 2026)</w:t>
      </w:r>
    </w:p>
    <w:p w14:paraId="0E1476A7" w14:textId="77777777" w:rsidR="00692D21" w:rsidRDefault="002D0AC0">
      <w:pPr>
        <w:spacing w:before="0"/>
      </w:pPr>
      <w:r>
        <w:t xml:space="preserve">Rahi, A.F. </w:t>
      </w:r>
      <w:r>
        <w:rPr>
          <w:i/>
          <w:iCs/>
        </w:rPr>
        <w:t>et al.</w:t>
      </w:r>
      <w:r>
        <w:t xml:space="preserve"> (2023) ‘Corporate sustainability and financial performance: A hybrid literature review’, </w:t>
      </w:r>
      <w:r>
        <w:rPr>
          <w:i/>
          <w:iCs/>
        </w:rPr>
        <w:t>Corporate Social Responsibility and Environmental Management</w:t>
      </w:r>
      <w:r>
        <w:t xml:space="preserve">, 31(2). Available at: </w:t>
      </w:r>
      <w:hyperlink r:id="rId36">
        <w:r>
          <w:rPr>
            <w:color w:val="1155CC"/>
            <w:u w:val="single"/>
          </w:rPr>
          <w:t>https://doi.org/10.1002/csr.2600</w:t>
        </w:r>
      </w:hyperlink>
      <w:r>
        <w:t>. (Accessed: 10 January 2026)</w:t>
      </w:r>
    </w:p>
    <w:p w14:paraId="4218A149" w14:textId="77777777" w:rsidR="00692D21" w:rsidRDefault="002D0AC0">
      <w:pPr>
        <w:spacing w:before="0"/>
      </w:pPr>
      <w:r>
        <w:t xml:space="preserve">Raptis, P. and Aretoulis, G. (2024) ‘Supporting strategy for investment evaluation of photovoltaic power generation engineering projects using multi-criteria decision analysis methods’, </w:t>
      </w:r>
      <w:r>
        <w:rPr>
          <w:i/>
          <w:iCs/>
        </w:rPr>
        <w:t>Solar Compass</w:t>
      </w:r>
      <w:r>
        <w:t xml:space="preserve">, 12, p. 100092. Available at: </w:t>
      </w:r>
      <w:hyperlink r:id="rId37">
        <w:r>
          <w:rPr>
            <w:color w:val="1155CC"/>
            <w:u w:val="single"/>
          </w:rPr>
          <w:t>https://doi.org/10.1016/j.solcom.2024.100092</w:t>
        </w:r>
      </w:hyperlink>
      <w:r>
        <w:t>. (Accessed: 10 January 2026)</w:t>
      </w:r>
    </w:p>
    <w:p w14:paraId="45F04556" w14:textId="77777777" w:rsidR="00692D21" w:rsidRDefault="002D0AC0">
      <w:pPr>
        <w:spacing w:before="0"/>
      </w:pPr>
      <w:r>
        <w:t xml:space="preserve">Reyad, H.M. </w:t>
      </w:r>
      <w:r>
        <w:rPr>
          <w:i/>
          <w:iCs/>
        </w:rPr>
        <w:t>et al.</w:t>
      </w:r>
      <w:r>
        <w:t xml:space="preserve"> (2022) ‘The Impact of Macroeconomic Risk Factors, the Adoption of Financial Derivatives on Working Capital Management, and Firm Performance’, </w:t>
      </w:r>
      <w:r>
        <w:rPr>
          <w:i/>
          <w:iCs/>
        </w:rPr>
        <w:t>Sustainability</w:t>
      </w:r>
      <w:r>
        <w:t xml:space="preserve">, 14(21), p. 14447. </w:t>
      </w:r>
      <w:hyperlink r:id="rId38">
        <w:r>
          <w:rPr>
            <w:color w:val="1155CC"/>
            <w:u w:val="single"/>
          </w:rPr>
          <w:t>https://doi.org/10.3390/su142114447</w:t>
        </w:r>
      </w:hyperlink>
      <w:r>
        <w:t xml:space="preserve"> (Accessed: 10 January 2026)</w:t>
      </w:r>
    </w:p>
    <w:p w14:paraId="2DA0C996" w14:textId="77777777" w:rsidR="00692D21" w:rsidRDefault="002D0AC0">
      <w:pPr>
        <w:spacing w:before="0"/>
      </w:pPr>
      <w:r>
        <w:t xml:space="preserve">Sanyaolu, M. and Sadowski, A. (2024) ‘The Role of Precision Agriculture Technologies in Enhancing Sustainable Agriculture’, </w:t>
      </w:r>
      <w:r>
        <w:rPr>
          <w:i/>
          <w:iCs/>
        </w:rPr>
        <w:t>Sustainability</w:t>
      </w:r>
      <w:r>
        <w:t xml:space="preserve">, 16(15), p. 6668. Available at: </w:t>
      </w:r>
      <w:hyperlink r:id="rId39">
        <w:r>
          <w:rPr>
            <w:color w:val="1155CC"/>
            <w:u w:val="single"/>
          </w:rPr>
          <w:t>https://doi.org/10.3390/su16156668</w:t>
        </w:r>
      </w:hyperlink>
      <w:r>
        <w:t>. (Accessed: 10 January 2026)</w:t>
      </w:r>
    </w:p>
    <w:p w14:paraId="0C625510" w14:textId="77777777" w:rsidR="00692D21" w:rsidRDefault="002D0AC0">
      <w:pPr>
        <w:spacing w:before="0"/>
      </w:pPr>
      <w:r>
        <w:t xml:space="preserve">Sarfo, C. </w:t>
      </w:r>
      <w:r>
        <w:rPr>
          <w:i/>
          <w:iCs/>
        </w:rPr>
        <w:t>et al.</w:t>
      </w:r>
      <w:r>
        <w:t xml:space="preserve"> (2025) ‘Resilience in rural supply chains: the impact of information sharing on responsiveness’, </w:t>
      </w:r>
      <w:r>
        <w:rPr>
          <w:i/>
          <w:iCs/>
        </w:rPr>
        <w:t>International Journal of Entrepreneurial Behaviour &amp; Research</w:t>
      </w:r>
      <w:r>
        <w:t xml:space="preserve">, pp. 1–21. Available at: </w:t>
      </w:r>
      <w:hyperlink r:id="rId40">
        <w:r>
          <w:rPr>
            <w:color w:val="1155CC"/>
            <w:u w:val="single"/>
          </w:rPr>
          <w:t>https://doi.org/10.1108/ijebr-03-2025-0250</w:t>
        </w:r>
      </w:hyperlink>
      <w:r>
        <w:t>. (Accessed: 10 January 2026)</w:t>
      </w:r>
    </w:p>
    <w:p w14:paraId="33660AEC" w14:textId="77777777" w:rsidR="00692D21" w:rsidRDefault="002D0AC0">
      <w:pPr>
        <w:spacing w:before="0"/>
      </w:pPr>
      <w:r>
        <w:t xml:space="preserve">Shell Plc (2021) </w:t>
      </w:r>
      <w:r>
        <w:rPr>
          <w:i/>
          <w:iCs/>
        </w:rPr>
        <w:t xml:space="preserve">Shell Plc 2021 Annual Report </w:t>
      </w:r>
      <w:r>
        <w:t xml:space="preserve">. Available at: </w:t>
      </w:r>
      <w:hyperlink r:id="rId41">
        <w:r>
          <w:rPr>
            <w:color w:val="1155CC"/>
            <w:u w:val="single"/>
          </w:rPr>
          <w:t>https://www.annualreports.com/HostedData/AnnualReportArchive/s/NYSE_SHEL_2021.pdf</w:t>
        </w:r>
      </w:hyperlink>
      <w:r>
        <w:t xml:space="preserve">  (Accessed: 10 January 2026).</w:t>
      </w:r>
    </w:p>
    <w:p w14:paraId="6CBDDDD8" w14:textId="77777777" w:rsidR="00692D21" w:rsidRDefault="002D0AC0">
      <w:pPr>
        <w:spacing w:before="0"/>
      </w:pPr>
      <w:r>
        <w:t xml:space="preserve">Shell Plc (2022) </w:t>
      </w:r>
      <w:r>
        <w:rPr>
          <w:i/>
          <w:iCs/>
        </w:rPr>
        <w:t xml:space="preserve">Shell Plc 2022 Annual Report </w:t>
      </w:r>
      <w:r>
        <w:t xml:space="preserve">. Available at: </w:t>
      </w:r>
      <w:hyperlink r:id="rId42">
        <w:r>
          <w:rPr>
            <w:color w:val="1155CC"/>
            <w:u w:val="single"/>
          </w:rPr>
          <w:t>https://www.annualreports.com/HostedData/AnnualReportArchive/s/NYSE_SHEL_2022.pdf</w:t>
        </w:r>
      </w:hyperlink>
      <w:r>
        <w:t xml:space="preserve">  (Accessed: 10 January 2026).</w:t>
      </w:r>
    </w:p>
    <w:p w14:paraId="4AF486B4" w14:textId="77777777" w:rsidR="00692D21" w:rsidRDefault="002D0AC0">
      <w:pPr>
        <w:spacing w:before="0"/>
      </w:pPr>
      <w:r>
        <w:t xml:space="preserve">Shell Plc (2023) </w:t>
      </w:r>
      <w:r>
        <w:rPr>
          <w:i/>
          <w:iCs/>
        </w:rPr>
        <w:t xml:space="preserve">Shell Plc 2023 Annual Report </w:t>
      </w:r>
      <w:r>
        <w:t xml:space="preserve">. Available at: Shell Plc (2024) Shell Plc 2024 Annual Report . Available at: </w:t>
      </w:r>
      <w:hyperlink r:id="rId43">
        <w:r>
          <w:rPr>
            <w:color w:val="1155CC"/>
            <w:u w:val="single"/>
          </w:rPr>
          <w:t>https://www.annualreports.com/HostedData/AnnualReports/PDF/NYSE_SHEL_2024.pdf</w:t>
        </w:r>
      </w:hyperlink>
      <w:r>
        <w:t xml:space="preserve">  (Accessed: 10 January 2026).</w:t>
      </w:r>
    </w:p>
    <w:p w14:paraId="21E07C23" w14:textId="77777777" w:rsidR="00692D21" w:rsidRDefault="002D0AC0">
      <w:pPr>
        <w:spacing w:before="0"/>
      </w:pPr>
      <w:r>
        <w:t xml:space="preserve">Shell Plc (2024) </w:t>
      </w:r>
      <w:r>
        <w:rPr>
          <w:i/>
          <w:iCs/>
        </w:rPr>
        <w:t xml:space="preserve">Shell Plc 2024 Annual Report </w:t>
      </w:r>
      <w:r>
        <w:t xml:space="preserve">. Available at: </w:t>
      </w:r>
      <w:hyperlink r:id="rId44">
        <w:r>
          <w:rPr>
            <w:color w:val="1155CC"/>
            <w:u w:val="single"/>
          </w:rPr>
          <w:t>https://www.annualreports.com/HostedData/AnnualReports/PDF/NYSE_SHEL_2024.pdf</w:t>
        </w:r>
      </w:hyperlink>
      <w:r>
        <w:t xml:space="preserve"> (Accessed: 10 January 2026).</w:t>
      </w:r>
    </w:p>
    <w:p w14:paraId="3C070EE6" w14:textId="77777777" w:rsidR="00692D21" w:rsidRDefault="00692D21"/>
    <w:sectPr w:rsidR="00692D21">
      <w:footerReference w:type="default" r:id="rId45"/>
      <w:footerReference w:type="first" r:id="rId4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287996" w14:textId="77777777" w:rsidR="00692D21" w:rsidRDefault="002D0AC0">
      <w:pPr>
        <w:spacing w:line="240" w:lineRule="auto"/>
      </w:pPr>
      <w:r>
        <w:separator/>
      </w:r>
    </w:p>
  </w:endnote>
  <w:endnote w:type="continuationSeparator" w:id="0">
    <w:p w14:paraId="3BA02947" w14:textId="77777777" w:rsidR="00692D21" w:rsidRDefault="002D0A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embedRegular r:id="rId4" w:fontKey="{69141D3A-4FDB-4B14-9E03-03923FC2394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embedRegular r:id="rId1" w:fontKey="{FC6EEA04-DE1D-44EB-A5AA-7FA4C4CEEBC3}"/>
  </w:font>
  <w:font w:name="Sitka Heading Semibold">
    <w:panose1 w:val="00000000000000000000"/>
    <w:charset w:val="00"/>
    <w:family w:val="auto"/>
    <w:pitch w:val="default"/>
    <w:sig w:usb0="A00002EF" w:usb1="4000204B" w:usb2="00000000" w:usb3="00000000" w:csb0="2000019F" w:csb1="00000000"/>
    <w:embedRegular r:id="rId5" w:fontKey="{19007AD2-B7E6-9D45-90BE-1BCAD95E28BD}"/>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747033" w14:textId="77777777" w:rsidR="00692D21" w:rsidRDefault="002D0AC0">
    <w:pPr>
      <w:jc w:val="right"/>
    </w:pPr>
    <w:r>
      <w:fldChar w:fldCharType="begin"/>
    </w:r>
    <w:r>
      <w:instrText>PAGE</w:instrText>
    </w:r>
    <w:r>
      <w:fldChar w:fldCharType="separate"/>
    </w:r>
    <w: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D5C6A" w14:textId="77777777" w:rsidR="00692D21" w:rsidRDefault="00692D2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DF22FC" w14:textId="77777777" w:rsidR="00692D21" w:rsidRDefault="002D0AC0">
      <w:pPr>
        <w:spacing w:before="0" w:after="0"/>
      </w:pPr>
      <w:r>
        <w:separator/>
      </w:r>
    </w:p>
  </w:footnote>
  <w:footnote w:type="continuationSeparator" w:id="0">
    <w:p w14:paraId="4EECED8E" w14:textId="77777777" w:rsidR="00692D21" w:rsidRDefault="002D0AC0">
      <w:pPr>
        <w:spacing w:before="0"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4BA"/>
    <w:rsid w:val="001C24BA"/>
    <w:rsid w:val="002D0AC0"/>
    <w:rsid w:val="0060781E"/>
    <w:rsid w:val="00692D21"/>
    <w:rsid w:val="009740AE"/>
    <w:rsid w:val="009C21C1"/>
    <w:rsid w:val="00A22E4B"/>
    <w:rsid w:val="00B67629"/>
    <w:rsid w:val="00BF6D39"/>
    <w:rsid w:val="00C242C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5B50E55"/>
  <w15:docId w15:val="{FF637954-7E0D-9849-9AE4-BFD975103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240" w:after="240" w:line="360" w:lineRule="auto"/>
      <w:jc w:val="both"/>
    </w:pPr>
    <w:rPr>
      <w:sz w:val="24"/>
      <w:szCs w:val="24"/>
      <w:lang w:eastAsia="en-IN"/>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uiPriority w:val="11"/>
    <w:qFormat/>
    <w:pPr>
      <w:keepNext/>
      <w:keepLines/>
      <w:jc w:val="center"/>
    </w:pPr>
    <w:rPr>
      <w:b/>
      <w:bCs/>
    </w:rPr>
  </w:style>
  <w:style w:type="paragraph" w:styleId="Title">
    <w:name w:val="Title"/>
    <w:basedOn w:val="Normal"/>
    <w:next w:val="Normal"/>
    <w:uiPriority w:val="10"/>
    <w:qFormat/>
    <w:pPr>
      <w:keepNext/>
      <w:keepLines/>
      <w:jc w:val="center"/>
    </w:pPr>
    <w:rPr>
      <w:b/>
      <w:bCs/>
      <w:sz w:val="32"/>
      <w:szCs w:val="32"/>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80"/>
    </w:pPr>
  </w:style>
  <w:style w:type="table" w:customStyle="1" w:styleId="TableNormal0">
    <w:name w:val="TableNormal"/>
    <w:tblPr>
      <w:tblCellMar>
        <w:top w:w="100" w:type="dxa"/>
        <w:left w:w="100" w:type="dxa"/>
        <w:bottom w:w="100" w:type="dxa"/>
        <w:right w:w="100" w:type="dxa"/>
      </w:tblCellMar>
    </w:tblPr>
  </w:style>
  <w:style w:type="table" w:customStyle="1" w:styleId="Style12">
    <w:name w:val="_Style 12"/>
    <w:basedOn w:val="TableNormal0"/>
    <w:tblPr/>
  </w:style>
  <w:style w:type="table" w:customStyle="1" w:styleId="Style13">
    <w:name w:val="_Style 13"/>
    <w:basedOn w:val="TableNormal0"/>
    <w:tblPr/>
  </w:style>
  <w:style w:type="table" w:customStyle="1" w:styleId="Style14">
    <w:name w:val="_Style 14"/>
    <w:basedOn w:val="TableNormal0"/>
    <w:tblPr/>
  </w:style>
  <w:style w:type="table" w:customStyle="1" w:styleId="Style15">
    <w:name w:val="_Style 15"/>
    <w:basedOn w:val="TableNormal0"/>
    <w:tblPr/>
  </w:style>
  <w:style w:type="table" w:customStyle="1" w:styleId="Style16">
    <w:name w:val="_Style 16"/>
    <w:basedOn w:val="TableNormal0"/>
    <w:tblPr/>
  </w:style>
  <w:style w:type="table" w:customStyle="1" w:styleId="Style17">
    <w:name w:val="_Style 17"/>
    <w:basedOn w:val="TableNormal0"/>
    <w:tblPr/>
  </w:style>
  <w:style w:type="table" w:customStyle="1" w:styleId="Style18">
    <w:name w:val="_Style 18"/>
    <w:basedOn w:val="TableNormal0"/>
    <w:tblPr/>
  </w:style>
  <w:style w:type="table" w:customStyle="1" w:styleId="Style19">
    <w:name w:val="_Style 19"/>
    <w:basedOn w:val="TableNormal0"/>
    <w:tblPr/>
  </w:style>
  <w:style w:type="paragraph" w:customStyle="1" w:styleId="TOCHeading1">
    <w:name w:val="TOC Heading1"/>
    <w:basedOn w:val="Heading1"/>
    <w:next w:val="Normal"/>
    <w:uiPriority w:val="39"/>
    <w:unhideWhenUsed/>
    <w:qFormat/>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hyperlink" Target="https://doi.org/10.1080/00014788.2021.1938963" TargetMode="External" /><Relationship Id="rId26" Type="http://schemas.openxmlformats.org/officeDocument/2006/relationships/hyperlink" Target="https://hdl.handle.net/10419/307003" TargetMode="External" /><Relationship Id="rId39" Type="http://schemas.openxmlformats.org/officeDocument/2006/relationships/hyperlink" Target="https://doi.org/10.3390/su16156668" TargetMode="External" /><Relationship Id="rId3" Type="http://schemas.openxmlformats.org/officeDocument/2006/relationships/settings" Target="settings.xml" /><Relationship Id="rId21" Type="http://schemas.openxmlformats.org/officeDocument/2006/relationships/hyperlink" Target="https://www.tandfonline.com/doi/abs/10.1080/13563467.2021.1926957" TargetMode="External" /><Relationship Id="rId34" Type="http://schemas.openxmlformats.org/officeDocument/2006/relationships/hyperlink" Target="https://doi.org/10.2139/ssrn.4948025" TargetMode="External" /><Relationship Id="rId42" Type="http://schemas.openxmlformats.org/officeDocument/2006/relationships/hyperlink" Target="https://www.annualreports.com/HostedData/AnnualReportArchive/s/NYSE_SHEL_2022.pdf" TargetMode="External" /><Relationship Id="rId47" Type="http://schemas.openxmlformats.org/officeDocument/2006/relationships/fontTable" Target="fontTable.xml" /><Relationship Id="rId7" Type="http://schemas.openxmlformats.org/officeDocument/2006/relationships/image" Target="media/image1.jpeg" /><Relationship Id="rId12" Type="http://schemas.openxmlformats.org/officeDocument/2006/relationships/image" Target="media/image6.png" /><Relationship Id="rId17" Type="http://schemas.openxmlformats.org/officeDocument/2006/relationships/hyperlink" Target="https://doi.org/10.1177/21582440231204099" TargetMode="External" /><Relationship Id="rId25" Type="http://schemas.openxmlformats.org/officeDocument/2006/relationships/hyperlink" Target="https://doi.org/10.3390/su141912935" TargetMode="External" /><Relationship Id="rId33" Type="http://schemas.openxmlformats.org/officeDocument/2006/relationships/hyperlink" Target="https://doi.org/10.1016/j.retrec.2025.101598" TargetMode="External" /><Relationship Id="rId38" Type="http://schemas.openxmlformats.org/officeDocument/2006/relationships/hyperlink" Target="https://doi.org/10.3390/su142114447" TargetMode="External" /><Relationship Id="rId46" Type="http://schemas.openxmlformats.org/officeDocument/2006/relationships/footer" Target="footer2.xml" /><Relationship Id="rId2" Type="http://schemas.openxmlformats.org/officeDocument/2006/relationships/styles" Target="styles.xml" /><Relationship Id="rId16" Type="http://schemas.openxmlformats.org/officeDocument/2006/relationships/hyperlink" Target="https://doi.org/10.2139/ssrn.5175495" TargetMode="External" /><Relationship Id="rId20" Type="http://schemas.openxmlformats.org/officeDocument/2006/relationships/hyperlink" Target="https://www.investopedia.com/terms/p/profitability.asp" TargetMode="External" /><Relationship Id="rId29" Type="http://schemas.openxmlformats.org/officeDocument/2006/relationships/hyperlink" Target="https://doi.org/10.2139/ssrn.4802279" TargetMode="External" /><Relationship Id="rId41" Type="http://schemas.openxmlformats.org/officeDocument/2006/relationships/hyperlink" Target="https://www.annualreports.com/HostedData/AnnualReportArchive/s/NYSE_SHEL_2021.pdf"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doi.org/10.3390/su14052967" TargetMode="External" /><Relationship Id="rId32" Type="http://schemas.openxmlformats.org/officeDocument/2006/relationships/hyperlink" Target="https://doi.org/10.2139/ssrn.5462494" TargetMode="External" /><Relationship Id="rId37" Type="http://schemas.openxmlformats.org/officeDocument/2006/relationships/hyperlink" Target="https://doi.org/10.1016/j.solcom.2024.100092" TargetMode="External" /><Relationship Id="rId40" Type="http://schemas.openxmlformats.org/officeDocument/2006/relationships/hyperlink" Target="https://doi.org/10.1108/ijebr-03-2025-0250" TargetMode="External" /><Relationship Id="rId45"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hyperlink" Target="https://doi.org/10.5539/cis.v16n4p1" TargetMode="External" /><Relationship Id="rId23" Type="http://schemas.openxmlformats.org/officeDocument/2006/relationships/hyperlink" Target="https://doi.org/10.1002/pls2.10171" TargetMode="External" /><Relationship Id="rId28" Type="http://schemas.openxmlformats.org/officeDocument/2006/relationships/hyperlink" Target="https://doi.org/10.1177/10860266251342567" TargetMode="External" /><Relationship Id="rId36" Type="http://schemas.openxmlformats.org/officeDocument/2006/relationships/hyperlink" Target="https://doi.org/10.1002/csr.2600" TargetMode="External" /><Relationship Id="rId10" Type="http://schemas.openxmlformats.org/officeDocument/2006/relationships/image" Target="media/image4.png" /><Relationship Id="rId19" Type="http://schemas.openxmlformats.org/officeDocument/2006/relationships/hyperlink" Target="https://doi.org/10.1111/jofi.13403" TargetMode="External" /><Relationship Id="rId31" Type="http://schemas.openxmlformats.org/officeDocument/2006/relationships/hyperlink" Target="https://doi.org/10.3390/su17208996" TargetMode="External" /><Relationship Id="rId44" Type="http://schemas.openxmlformats.org/officeDocument/2006/relationships/hyperlink" Target="https://www.annualreports.com/HostedData/AnnualReports/PDF/NYSE_SHEL_2024.pdf"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hyperlink" Target="https://doi.org/10.1007/s13563-025-00532-8" TargetMode="External" /><Relationship Id="rId27" Type="http://schemas.openxmlformats.org/officeDocument/2006/relationships/hyperlink" Target="https://doi.org/10.1111/jofi.13161" TargetMode="External" /><Relationship Id="rId30" Type="http://schemas.openxmlformats.org/officeDocument/2006/relationships/hyperlink" Target="https://doi.org/10.1016/j.esr.2024.101377" TargetMode="External" /><Relationship Id="rId35" Type="http://schemas.openxmlformats.org/officeDocument/2006/relationships/hyperlink" Target="https://doi.org/10.2139/ssrn.5348941" TargetMode="External" /><Relationship Id="rId43" Type="http://schemas.openxmlformats.org/officeDocument/2006/relationships/hyperlink" Target="https://www.annualreports.com/HostedData/AnnualReports/PDF/NYSE_SHEL_2024.pdf" TargetMode="External" /><Relationship Id="rId48" Type="http://schemas.openxmlformats.org/officeDocument/2006/relationships/theme" Target="theme/theme1.xml" /></Relationships>
</file>

<file path=word/_rels/fontTable.xml.rels><?xml version="1.0" encoding="UTF-8" standalone="yes"?>
<Relationships xmlns="http://schemas.openxmlformats.org/package/2006/relationships"><Relationship Id="rId1" Type="http://schemas.openxmlformats.org/officeDocument/2006/relationships/font" Target="fonts/font1.odttf" /><Relationship Id="rId5" Type="http://schemas.openxmlformats.org/officeDocument/2006/relationships/font" Target="fonts/font2.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64D47A-785E-44A3-BAE2-DEED2A4D348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7179</Words>
  <Characters>40924</Characters>
  <Application>Microsoft Office Word</Application>
  <DocSecurity>0</DocSecurity>
  <Lines>341</Lines>
  <Paragraphs>96</Paragraphs>
  <ScaleCrop>false</ScaleCrop>
  <Company/>
  <LinksUpToDate>false</LinksUpToDate>
  <CharactersWithSpaces>48007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Priya</dc:creator>
  <cp:lastModifiedBy>Md Masud Rana (2507015)</cp:lastModifiedBy>
  <cp:revision>2</cp:revision>
  <dcterms:created xsi:type="dcterms:W3CDTF">2026-01-12T16:42:00Z</dcterms:created>
  <dcterms:modified xsi:type="dcterms:W3CDTF">2026-01-12T16:42:00Z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3a470dd6-8f95-48db-8408-dc39b419e9ef</vt:lpwstr>
  </property>
  <property fmtid="{D5CDD505-2E9C-101B-9397-08002B2CF9AE}" pid="3" name="KSOProductBuildVer">
    <vt:lpwstr>1033-12.2.0.21931</vt:lpwstr>
  </property>
  <property fmtid="{D5CDD505-2E9C-101B-9397-08002B2CF9AE}" pid="4" name="ICV">
    <vt:lpwstr>CB878A05D9AB4A51BA26D2D6C46705B7_12</vt:lpwstr>
  </property>
</Properties>
</file>