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660CE6" w14:textId="532F5CFD" w:rsidR="004D5888" w:rsidRPr="00BB3230" w:rsidRDefault="004D5888" w:rsidP="009B57EA">
      <w:pPr>
        <w:pStyle w:val="papertitle"/>
        <w:spacing w:before="100" w:beforeAutospacing="1" w:after="100" w:afterAutospacing="1" w:line="360" w:lineRule="auto"/>
        <w:jc w:val="left"/>
        <w:rPr>
          <w:rFonts w:asciiTheme="minorBidi" w:hAnsiTheme="minorBidi" w:cstheme="minorBidi"/>
          <w:kern w:val="48"/>
          <w:sz w:val="24"/>
          <w:szCs w:val="24"/>
        </w:rPr>
      </w:pPr>
      <w:bookmarkStart w:id="0" w:name="_Hlk192168821"/>
      <w:r w:rsidRPr="00BB3230">
        <w:rPr>
          <w:rFonts w:asciiTheme="minorBidi" w:hAnsiTheme="minorBidi" w:cstheme="minorBidi"/>
          <w:kern w:val="48"/>
          <w:sz w:val="24"/>
          <w:szCs w:val="24"/>
        </w:rPr>
        <w:t xml:space="preserve">Task 1 – Research in Data Security and Compliance </w:t>
      </w:r>
    </w:p>
    <w:p w14:paraId="6D099890" w14:textId="77777777" w:rsidR="004D5888" w:rsidRPr="00BB3230" w:rsidRDefault="004D5888" w:rsidP="009B57EA">
      <w:pPr>
        <w:pStyle w:val="Author"/>
        <w:spacing w:before="100" w:beforeAutospacing="1" w:after="100" w:afterAutospacing="1" w:line="360" w:lineRule="auto"/>
        <w:jc w:val="left"/>
        <w:rPr>
          <w:rFonts w:asciiTheme="minorBidi" w:hAnsiTheme="minorBidi" w:cstheme="minorBidi"/>
          <w:sz w:val="24"/>
          <w:szCs w:val="24"/>
        </w:rPr>
        <w:sectPr w:rsidR="004D5888" w:rsidRPr="00BB3230" w:rsidSect="009E3CCB">
          <w:headerReference w:type="default" r:id="rId9"/>
          <w:headerReference w:type="first" r:id="rId10"/>
          <w:footerReference w:type="first" r:id="rId11"/>
          <w:pgSz w:w="11906" w:h="16838" w:code="9"/>
          <w:pgMar w:top="540" w:right="893" w:bottom="1440" w:left="893" w:header="720" w:footer="720" w:gutter="0"/>
          <w:pgBorders w:offsetFrom="page">
            <w:top w:val="dashDotStroked" w:sz="24" w:space="24" w:color="074F6A" w:themeColor="accent4" w:themeShade="80"/>
            <w:left w:val="dashDotStroked" w:sz="24" w:space="24" w:color="074F6A" w:themeColor="accent4" w:themeShade="80"/>
            <w:bottom w:val="dashDotStroked" w:sz="24" w:space="24" w:color="074F6A" w:themeColor="accent4" w:themeShade="80"/>
            <w:right w:val="dashDotStroked" w:sz="24" w:space="24" w:color="074F6A" w:themeColor="accent4" w:themeShade="80"/>
          </w:pgBorders>
          <w:pgNumType w:start="0"/>
          <w:cols w:space="720"/>
          <w:titlePg/>
          <w:docGrid w:linePitch="360"/>
        </w:sectPr>
      </w:pPr>
    </w:p>
    <w:p w14:paraId="6B13F266" w14:textId="59724F11" w:rsidR="004D5888" w:rsidRPr="00BB3230" w:rsidRDefault="004D5888" w:rsidP="009B57EA">
      <w:pPr>
        <w:pStyle w:val="Author"/>
        <w:spacing w:before="0" w:line="360" w:lineRule="auto"/>
        <w:jc w:val="left"/>
        <w:rPr>
          <w:rFonts w:asciiTheme="minorBidi" w:hAnsiTheme="minorBidi" w:cstheme="minorBidi"/>
          <w:sz w:val="24"/>
          <w:szCs w:val="24"/>
        </w:rPr>
      </w:pPr>
    </w:p>
    <w:p w14:paraId="488EE39E" w14:textId="09BE8511" w:rsidR="004D5888" w:rsidRPr="00BB3230" w:rsidRDefault="004D5888" w:rsidP="000B261A">
      <w:pPr>
        <w:pStyle w:val="Author"/>
        <w:spacing w:before="0" w:line="360" w:lineRule="auto"/>
        <w:rPr>
          <w:rFonts w:asciiTheme="minorBidi" w:hAnsiTheme="minorBidi" w:cstheme="minorBidi"/>
          <w:i/>
          <w:sz w:val="24"/>
          <w:szCs w:val="24"/>
        </w:rPr>
      </w:pPr>
      <w:r w:rsidRPr="00BB3230">
        <w:rPr>
          <w:rFonts w:asciiTheme="minorBidi" w:hAnsiTheme="minorBidi" w:cstheme="minorBidi"/>
          <w:sz w:val="24"/>
          <w:szCs w:val="24"/>
        </w:rPr>
        <w:t>Student Name: Nasira Perveen</w:t>
      </w:r>
    </w:p>
    <w:p w14:paraId="3DCB3D17" w14:textId="232F9FDD" w:rsidR="004D5888" w:rsidRPr="00BB3230" w:rsidRDefault="004D5888" w:rsidP="000B261A">
      <w:pPr>
        <w:pStyle w:val="Author"/>
        <w:spacing w:before="0" w:line="360" w:lineRule="auto"/>
        <w:rPr>
          <w:rFonts w:asciiTheme="minorBidi" w:hAnsiTheme="minorBidi" w:cstheme="minorBidi"/>
          <w:sz w:val="24"/>
          <w:szCs w:val="24"/>
        </w:rPr>
      </w:pPr>
      <w:r w:rsidRPr="00BB3230">
        <w:rPr>
          <w:rFonts w:asciiTheme="minorBidi" w:hAnsiTheme="minorBidi" w:cstheme="minorBidi"/>
          <w:i/>
          <w:sz w:val="24"/>
          <w:szCs w:val="24"/>
        </w:rPr>
        <w:t>Student Id:2331267</w:t>
      </w:r>
    </w:p>
    <w:p w14:paraId="242EB151" w14:textId="5832178B" w:rsidR="004D5888" w:rsidRPr="00BB3230" w:rsidRDefault="004D5888" w:rsidP="000B261A">
      <w:pPr>
        <w:pStyle w:val="Author"/>
        <w:spacing w:before="0" w:line="360" w:lineRule="auto"/>
        <w:rPr>
          <w:rFonts w:asciiTheme="minorBidi" w:hAnsiTheme="minorBidi" w:cstheme="minorBidi"/>
          <w:sz w:val="24"/>
          <w:szCs w:val="24"/>
        </w:rPr>
      </w:pPr>
      <w:r w:rsidRPr="00BB3230">
        <w:rPr>
          <w:rFonts w:asciiTheme="minorBidi" w:hAnsiTheme="minorBidi" w:cstheme="minorBidi"/>
          <w:sz w:val="24"/>
          <w:szCs w:val="24"/>
        </w:rPr>
        <w:t>Module Code: ACCA5034</w:t>
      </w:r>
    </w:p>
    <w:p w14:paraId="2A6D85C4" w14:textId="66F3EF34" w:rsidR="004D5888" w:rsidRPr="00BB3230" w:rsidRDefault="004D5888" w:rsidP="000B261A">
      <w:pPr>
        <w:pStyle w:val="Author"/>
        <w:spacing w:before="0" w:line="360" w:lineRule="auto"/>
        <w:rPr>
          <w:rFonts w:asciiTheme="minorBidi" w:hAnsiTheme="minorBidi" w:cstheme="minorBidi"/>
          <w:sz w:val="24"/>
          <w:szCs w:val="24"/>
        </w:rPr>
      </w:pPr>
      <w:r w:rsidRPr="00BB3230">
        <w:rPr>
          <w:rFonts w:asciiTheme="minorBidi" w:hAnsiTheme="minorBidi" w:cstheme="minorBidi"/>
          <w:sz w:val="24"/>
          <w:szCs w:val="24"/>
        </w:rPr>
        <w:t>Assignment Title:</w:t>
      </w:r>
    </w:p>
    <w:p w14:paraId="341F052B" w14:textId="7CF54D1F" w:rsidR="004D5888" w:rsidRPr="00BB3230" w:rsidRDefault="004D5888" w:rsidP="000B261A">
      <w:pPr>
        <w:pStyle w:val="Author"/>
        <w:spacing w:before="0" w:line="360" w:lineRule="auto"/>
        <w:rPr>
          <w:rFonts w:asciiTheme="minorBidi" w:hAnsiTheme="minorBidi" w:cstheme="minorBidi"/>
          <w:sz w:val="24"/>
          <w:szCs w:val="24"/>
        </w:rPr>
      </w:pPr>
      <w:r w:rsidRPr="00BB3230">
        <w:rPr>
          <w:rFonts w:asciiTheme="minorBidi" w:hAnsiTheme="minorBidi" w:cstheme="minorBidi"/>
          <w:bCs/>
          <w:sz w:val="24"/>
          <w:szCs w:val="24"/>
        </w:rPr>
        <w:t>Research and case scenario in Data Security and Compliance</w:t>
      </w:r>
      <w:r w:rsidRPr="00BB3230">
        <w:rPr>
          <w:rFonts w:asciiTheme="minorBidi" w:hAnsiTheme="minorBidi" w:cstheme="minorBidi"/>
          <w:bCs/>
          <w:sz w:val="24"/>
          <w:szCs w:val="24"/>
        </w:rPr>
        <w:br/>
      </w:r>
      <w:r w:rsidRPr="00BB3230">
        <w:rPr>
          <w:rFonts w:asciiTheme="minorBidi" w:hAnsiTheme="minorBidi" w:cstheme="minorBidi"/>
          <w:i/>
          <w:sz w:val="24"/>
          <w:szCs w:val="24"/>
        </w:rPr>
        <w:t xml:space="preserve">Lecturer. Dr Mohammed Ben Farah </w:t>
      </w:r>
      <w:r w:rsidRPr="00BB3230">
        <w:rPr>
          <w:rFonts w:asciiTheme="minorBidi" w:hAnsiTheme="minorBidi" w:cstheme="minorBidi"/>
          <w:i/>
          <w:sz w:val="24"/>
          <w:szCs w:val="24"/>
        </w:rPr>
        <w:br/>
      </w:r>
      <w:r w:rsidRPr="00BB3230">
        <w:rPr>
          <w:rFonts w:asciiTheme="minorBidi" w:hAnsiTheme="minorBidi" w:cstheme="minorBidi"/>
          <w:sz w:val="24"/>
          <w:szCs w:val="24"/>
        </w:rPr>
        <w:t>Submission Date:31</w:t>
      </w:r>
      <w:r w:rsidRPr="00BB3230">
        <w:rPr>
          <w:rFonts w:asciiTheme="minorBidi" w:hAnsiTheme="minorBidi" w:cstheme="minorBidi"/>
          <w:sz w:val="24"/>
          <w:szCs w:val="24"/>
          <w:vertAlign w:val="superscript"/>
        </w:rPr>
        <w:t>st</w:t>
      </w:r>
      <w:r w:rsidRPr="00BB3230">
        <w:rPr>
          <w:rFonts w:asciiTheme="minorBidi" w:hAnsiTheme="minorBidi" w:cstheme="minorBidi"/>
          <w:sz w:val="24"/>
          <w:szCs w:val="24"/>
        </w:rPr>
        <w:t xml:space="preserve"> March 2026 (2 pm)</w:t>
      </w:r>
    </w:p>
    <w:p w14:paraId="5A7D017D" w14:textId="3880ACAA" w:rsidR="004D5888" w:rsidRPr="00BB3230" w:rsidRDefault="004D5888" w:rsidP="000B261A">
      <w:pPr>
        <w:pStyle w:val="Author"/>
        <w:spacing w:before="0" w:line="360" w:lineRule="auto"/>
        <w:rPr>
          <w:rFonts w:asciiTheme="minorBidi" w:hAnsiTheme="minorBidi" w:cstheme="minorBidi"/>
          <w:sz w:val="24"/>
          <w:szCs w:val="24"/>
        </w:rPr>
      </w:pPr>
      <w:r w:rsidRPr="00BB3230">
        <w:rPr>
          <w:rFonts w:asciiTheme="minorBidi" w:hAnsiTheme="minorBidi" w:cstheme="minorBidi"/>
          <w:sz w:val="24"/>
          <w:szCs w:val="24"/>
        </w:rPr>
        <w:t>University Of Wales Trinity Saint David</w:t>
      </w:r>
    </w:p>
    <w:bookmarkEnd w:id="0"/>
    <w:p w14:paraId="2E554492" w14:textId="10C1B39E" w:rsidR="004D5888" w:rsidRPr="00BB3230" w:rsidRDefault="004D5888" w:rsidP="009B57EA">
      <w:pPr>
        <w:pStyle w:val="Author"/>
        <w:spacing w:before="0" w:line="360" w:lineRule="auto"/>
        <w:jc w:val="left"/>
        <w:rPr>
          <w:rFonts w:asciiTheme="minorBidi" w:hAnsiTheme="minorBidi" w:cstheme="minorBidi"/>
          <w:sz w:val="24"/>
          <w:szCs w:val="24"/>
        </w:rPr>
        <w:sectPr w:rsidR="004D5888" w:rsidRPr="00BB3230" w:rsidSect="000C71F3">
          <w:type w:val="continuous"/>
          <w:pgSz w:w="11906" w:h="16838" w:code="9"/>
          <w:pgMar w:top="450" w:right="893" w:bottom="1440" w:left="893" w:header="720" w:footer="720" w:gutter="0"/>
          <w:pgBorders w:offsetFrom="page">
            <w:top w:val="dashDotStroked" w:sz="24" w:space="24" w:color="074F6A" w:themeColor="accent4" w:themeShade="80"/>
            <w:left w:val="dashDotStroked" w:sz="24" w:space="24" w:color="074F6A" w:themeColor="accent4" w:themeShade="80"/>
            <w:bottom w:val="dashDotStroked" w:sz="24" w:space="24" w:color="074F6A" w:themeColor="accent4" w:themeShade="80"/>
            <w:right w:val="dashDotStroked" w:sz="24" w:space="24" w:color="074F6A" w:themeColor="accent4" w:themeShade="80"/>
          </w:pgBorders>
          <w:cols w:space="720"/>
          <w:docGrid w:linePitch="360"/>
        </w:sectPr>
      </w:pPr>
    </w:p>
    <w:p w14:paraId="18346E35" w14:textId="77777777" w:rsidR="004D5888" w:rsidRPr="00BB3230" w:rsidRDefault="004D5888" w:rsidP="009B57EA">
      <w:pPr>
        <w:pStyle w:val="Author"/>
        <w:spacing w:before="100" w:beforeAutospacing="1" w:line="360" w:lineRule="auto"/>
        <w:jc w:val="left"/>
        <w:rPr>
          <w:rFonts w:asciiTheme="minorBidi" w:hAnsiTheme="minorBidi" w:cstheme="minorBidi"/>
          <w:sz w:val="24"/>
          <w:szCs w:val="24"/>
        </w:rPr>
      </w:pPr>
      <w:r w:rsidRPr="00BB3230">
        <w:rPr>
          <w:rFonts w:asciiTheme="minorBidi" w:hAnsiTheme="minorBidi" w:cstheme="minorBidi"/>
          <w:sz w:val="24"/>
          <w:szCs w:val="24"/>
        </w:rPr>
        <w:t xml:space="preserve"> </w:t>
      </w:r>
    </w:p>
    <w:p w14:paraId="2E74A093" w14:textId="77777777" w:rsidR="004D5888" w:rsidRPr="00BB3230" w:rsidRDefault="004D5888" w:rsidP="009B57EA">
      <w:pPr>
        <w:spacing w:line="360" w:lineRule="auto"/>
        <w:jc w:val="left"/>
        <w:rPr>
          <w:rFonts w:asciiTheme="minorBidi" w:hAnsiTheme="minorBidi" w:cstheme="minorBidi"/>
          <w:sz w:val="24"/>
          <w:szCs w:val="24"/>
        </w:rPr>
        <w:sectPr w:rsidR="004D5888" w:rsidRPr="00BB3230" w:rsidSect="000C71F3">
          <w:type w:val="continuous"/>
          <w:pgSz w:w="11906" w:h="16838" w:code="9"/>
          <w:pgMar w:top="450" w:right="893" w:bottom="1440" w:left="893" w:header="720" w:footer="720" w:gutter="0"/>
          <w:pgBorders w:offsetFrom="page">
            <w:top w:val="dashDotStroked" w:sz="24" w:space="24" w:color="074F6A" w:themeColor="accent4" w:themeShade="80"/>
            <w:left w:val="dashDotStroked" w:sz="24" w:space="24" w:color="074F6A" w:themeColor="accent4" w:themeShade="80"/>
            <w:bottom w:val="dashDotStroked" w:sz="24" w:space="24" w:color="074F6A" w:themeColor="accent4" w:themeShade="80"/>
            <w:right w:val="dashDotStroked" w:sz="24" w:space="24" w:color="074F6A" w:themeColor="accent4" w:themeShade="80"/>
          </w:pgBorders>
          <w:cols w:num="3" w:space="720"/>
          <w:docGrid w:linePitch="360"/>
        </w:sectPr>
      </w:pPr>
    </w:p>
    <w:p w14:paraId="668A2DFE" w14:textId="0A2A7FF0" w:rsidR="00BF2C7B" w:rsidRPr="00BF2C7B" w:rsidRDefault="004D5888" w:rsidP="00BF2C7B">
      <w:pPr>
        <w:spacing w:after="160" w:line="360" w:lineRule="auto"/>
        <w:jc w:val="left"/>
        <w:rPr>
          <w:rFonts w:asciiTheme="minorBidi" w:hAnsiTheme="minorBidi" w:cstheme="minorBidi"/>
          <w:i/>
          <w:iCs/>
          <w:sz w:val="24"/>
          <w:szCs w:val="24"/>
          <w:lang w:val="en-GB"/>
        </w:rPr>
      </w:pPr>
      <w:r w:rsidRPr="00BB3230">
        <w:rPr>
          <w:rFonts w:asciiTheme="minorBidi" w:hAnsiTheme="minorBidi" w:cstheme="minorBidi"/>
          <w:b/>
          <w:bCs/>
          <w:i/>
          <w:iCs/>
          <w:sz w:val="24"/>
          <w:szCs w:val="24"/>
        </w:rPr>
        <w:t>Abstract</w:t>
      </w:r>
      <w:r w:rsidR="00BF2C7B">
        <w:rPr>
          <w:rFonts w:asciiTheme="minorBidi" w:hAnsiTheme="minorBidi" w:cstheme="minorBidi"/>
          <w:b/>
          <w:bCs/>
          <w:i/>
          <w:iCs/>
          <w:sz w:val="24"/>
          <w:szCs w:val="24"/>
        </w:rPr>
        <w:t xml:space="preserve">: </w:t>
      </w:r>
      <w:r w:rsidR="00BF2C7B" w:rsidRPr="00BF2C7B">
        <w:rPr>
          <w:rFonts w:asciiTheme="minorBidi" w:hAnsiTheme="minorBidi" w:cstheme="minorBidi"/>
          <w:i/>
          <w:iCs/>
          <w:sz w:val="24"/>
          <w:szCs w:val="24"/>
          <w:lang w:val="en-GB"/>
        </w:rPr>
        <w:t>Modern organisations operate in distributed digital environments shaped by cloud adoption, hybrid work, supply chain dependencies, and advanced cyber threats. Perimeter-based security is increasingly ineffective against lateral movement, credential misuse, and insider risks.</w:t>
      </w:r>
    </w:p>
    <w:p w14:paraId="5E1355D8" w14:textId="77777777" w:rsidR="00BF2C7B" w:rsidRPr="00BF2C7B" w:rsidRDefault="00BF2C7B" w:rsidP="00BF2C7B">
      <w:pPr>
        <w:spacing w:after="160" w:line="360" w:lineRule="auto"/>
        <w:jc w:val="left"/>
        <w:rPr>
          <w:rFonts w:asciiTheme="minorBidi" w:hAnsiTheme="minorBidi" w:cstheme="minorBidi"/>
          <w:i/>
          <w:iCs/>
          <w:sz w:val="24"/>
          <w:szCs w:val="24"/>
          <w:lang w:val="en-GB"/>
        </w:rPr>
      </w:pPr>
      <w:r w:rsidRPr="00BF2C7B">
        <w:rPr>
          <w:rFonts w:asciiTheme="minorBidi" w:hAnsiTheme="minorBidi" w:cstheme="minorBidi"/>
          <w:i/>
          <w:iCs/>
          <w:sz w:val="24"/>
          <w:szCs w:val="24"/>
          <w:lang w:val="en-GB"/>
        </w:rPr>
        <w:t>Zero Trust Architecture (ZTA) has emerged as a strategic model based on continuous verification, least-privilege access, and micro-segmentation. This paper critically evaluates Zero Trust principles, implementation challenges, and effectiveness compared to traditional network security, while examining how organisations can anticipate, protect, detect, and automatically respond to threats within a Zero Trust framework.</w:t>
      </w:r>
    </w:p>
    <w:p w14:paraId="3EBEB01B" w14:textId="5E80B1F2" w:rsidR="009F5CAD" w:rsidRPr="00BF2C7B" w:rsidRDefault="009F5CAD" w:rsidP="00BF2C7B">
      <w:pPr>
        <w:spacing w:after="160" w:line="360" w:lineRule="auto"/>
        <w:jc w:val="left"/>
        <w:rPr>
          <w:rFonts w:asciiTheme="minorBidi" w:hAnsiTheme="minorBidi" w:cstheme="minorBidi"/>
          <w:sz w:val="24"/>
          <w:szCs w:val="24"/>
        </w:rPr>
      </w:pPr>
      <w:r w:rsidRPr="009F5CAD">
        <w:rPr>
          <w:rFonts w:asciiTheme="minorBidi" w:hAnsiTheme="minorBidi" w:cstheme="minorBidi"/>
          <w:b/>
          <w:bCs/>
          <w:sz w:val="24"/>
          <w:szCs w:val="24"/>
          <w:lang w:val="en-GB"/>
        </w:rPr>
        <w:t>Index Terms</w:t>
      </w:r>
      <w:r w:rsidR="002C5BF2" w:rsidRPr="00BB3230">
        <w:rPr>
          <w:rFonts w:asciiTheme="minorBidi" w:hAnsiTheme="minorBidi" w:cstheme="minorBidi"/>
          <w:b/>
          <w:bCs/>
          <w:sz w:val="24"/>
          <w:szCs w:val="24"/>
          <w:lang w:val="en-GB"/>
        </w:rPr>
        <w:t xml:space="preserve">: </w:t>
      </w:r>
      <w:r w:rsidRPr="009F5CAD">
        <w:rPr>
          <w:rFonts w:asciiTheme="minorBidi" w:hAnsiTheme="minorBidi" w:cstheme="minorBidi"/>
          <w:sz w:val="24"/>
          <w:szCs w:val="24"/>
          <w:lang w:val="en-GB"/>
        </w:rPr>
        <w:t xml:space="preserve">Zero Trust Architecture, Cybersecurity, Micro-segmentation, Identity </w:t>
      </w:r>
      <w:r w:rsidRPr="009F5CAD">
        <w:rPr>
          <w:rFonts w:asciiTheme="minorBidi" w:hAnsiTheme="minorBidi" w:cstheme="minorBidi"/>
          <w:sz w:val="24"/>
          <w:szCs w:val="24"/>
          <w:lang w:val="en-GB"/>
        </w:rPr>
        <w:t>and Access Management, Threat Detection, Security Automation, Compliance</w:t>
      </w:r>
    </w:p>
    <w:p w14:paraId="5164F3AB"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Task 1 – Research in Data Security and Compliance</w:t>
      </w:r>
    </w:p>
    <w:p w14:paraId="28E4C648"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I. Introduction</w:t>
      </w:r>
    </w:p>
    <w:p w14:paraId="30286B30" w14:textId="77777777" w:rsidR="007C6FCE" w:rsidRPr="007C6FCE" w:rsidRDefault="007C6FCE" w:rsidP="007C6FCE">
      <w:pPr>
        <w:spacing w:line="360" w:lineRule="auto"/>
        <w:jc w:val="left"/>
        <w:rPr>
          <w:rFonts w:asciiTheme="minorBidi" w:eastAsia="MS Mincho" w:hAnsiTheme="minorBidi" w:cstheme="minorBidi"/>
          <w:noProof/>
          <w:kern w:val="48"/>
          <w:sz w:val="24"/>
          <w:szCs w:val="24"/>
          <w:lang w:val="en-GB"/>
        </w:rPr>
      </w:pPr>
      <w:r w:rsidRPr="007C6FCE">
        <w:rPr>
          <w:rFonts w:asciiTheme="minorBidi" w:eastAsia="MS Mincho" w:hAnsiTheme="minorBidi" w:cstheme="minorBidi"/>
          <w:noProof/>
          <w:kern w:val="48"/>
          <w:sz w:val="24"/>
          <w:szCs w:val="24"/>
          <w:lang w:val="en-GB"/>
        </w:rPr>
        <w:t>Digital transformation has changed security systems. Cloud services, remote work, mobile devices, SaaS platforms, and global supply chains have weakened the traditional network perimeter.</w:t>
      </w:r>
    </w:p>
    <w:p w14:paraId="432AB9F5" w14:textId="00760494" w:rsidR="003D7E97" w:rsidRPr="003D7E97" w:rsidRDefault="007C6FCE" w:rsidP="007C6FCE">
      <w:pPr>
        <w:spacing w:line="360" w:lineRule="auto"/>
        <w:jc w:val="left"/>
        <w:rPr>
          <w:rFonts w:asciiTheme="minorBidi" w:eastAsia="MS Mincho" w:hAnsiTheme="minorBidi" w:cstheme="minorBidi"/>
          <w:noProof/>
          <w:kern w:val="48"/>
          <w:sz w:val="24"/>
          <w:szCs w:val="24"/>
          <w:lang w:val="en-GB"/>
        </w:rPr>
      </w:pPr>
      <w:r w:rsidRPr="007C6FCE">
        <w:rPr>
          <w:rFonts w:asciiTheme="minorBidi" w:eastAsia="MS Mincho" w:hAnsiTheme="minorBidi" w:cstheme="minorBidi"/>
          <w:noProof/>
          <w:kern w:val="48"/>
          <w:sz w:val="24"/>
          <w:szCs w:val="24"/>
          <w:lang w:val="en-GB"/>
        </w:rPr>
        <w:t>The idea that internal networks are safe and external ones are risky is no longer reliable. Modern threats such as advanced attacks, credential theft, ransomware, and insider misuse can spread quickly across distributed systems after the first breach.</w:t>
      </w:r>
    </w:p>
    <w:p w14:paraId="261BFC3A" w14:textId="0D71DC3E" w:rsidR="003D7E97" w:rsidRPr="003D7E97" w:rsidRDefault="003D7E97" w:rsidP="005F58F2">
      <w:pPr>
        <w:spacing w:line="360" w:lineRule="auto"/>
        <w:jc w:val="left"/>
        <w:rPr>
          <w:rFonts w:asciiTheme="minorBidi" w:eastAsia="MS Mincho" w:hAnsiTheme="minorBidi" w:cstheme="minorBidi"/>
          <w:noProof/>
          <w:kern w:val="48"/>
          <w:sz w:val="24"/>
          <w:szCs w:val="24"/>
          <w:lang w:val="en-GB"/>
        </w:rPr>
      </w:pPr>
      <w:r w:rsidRPr="003D7E97">
        <w:rPr>
          <w:rFonts w:asciiTheme="minorBidi" w:eastAsia="MS Mincho" w:hAnsiTheme="minorBidi" w:cstheme="minorBidi"/>
          <w:noProof/>
          <w:kern w:val="48"/>
          <w:sz w:val="24"/>
          <w:szCs w:val="24"/>
          <w:lang w:val="en-GB"/>
        </w:rPr>
        <w:t xml:space="preserve">Zero Trust Architecture (ZTA), defined in NIST SP 800-207, removes implicit trust and requires continuous verification of every access request regardless of location [1]. It is not a single technology but an </w:t>
      </w:r>
      <w:r w:rsidRPr="003D7E97">
        <w:rPr>
          <w:rFonts w:asciiTheme="minorBidi" w:eastAsia="MS Mincho" w:hAnsiTheme="minorBidi" w:cstheme="minorBidi"/>
          <w:noProof/>
          <w:kern w:val="48"/>
          <w:sz w:val="24"/>
          <w:szCs w:val="24"/>
          <w:lang w:val="en-GB"/>
        </w:rPr>
        <w:lastRenderedPageBreak/>
        <w:t>architectural paradigm integrating identity governance, device assurance, segmentation, behavioural analytics, and automated response.</w:t>
      </w:r>
    </w:p>
    <w:p w14:paraId="65266808" w14:textId="77777777" w:rsidR="005F58F2" w:rsidRDefault="003D7E97" w:rsidP="003D7E97">
      <w:pPr>
        <w:spacing w:line="360" w:lineRule="auto"/>
        <w:jc w:val="left"/>
        <w:rPr>
          <w:rFonts w:asciiTheme="minorBidi" w:eastAsia="MS Mincho" w:hAnsiTheme="minorBidi" w:cstheme="minorBidi"/>
          <w:noProof/>
          <w:kern w:val="48"/>
          <w:sz w:val="24"/>
          <w:szCs w:val="24"/>
          <w:lang w:val="en-GB"/>
        </w:rPr>
      </w:pPr>
      <w:r w:rsidRPr="003D7E97">
        <w:rPr>
          <w:rFonts w:asciiTheme="minorBidi" w:eastAsia="MS Mincho" w:hAnsiTheme="minorBidi" w:cstheme="minorBidi"/>
          <w:noProof/>
          <w:kern w:val="48"/>
          <w:sz w:val="24"/>
          <w:szCs w:val="24"/>
          <w:lang w:val="en-GB"/>
        </w:rPr>
        <w:t>Literature shows growing adoption across sectors due to improved lateral movement control and breach containment [2]. However, debate remains over cost, feasibility, and long-term effectiveness. This paper critically examines Zero Trust’s theoretical basis, architecture, advantages, challenges, and regulatory alignment within contemporary governance frameworks.</w:t>
      </w:r>
    </w:p>
    <w:p w14:paraId="0D148CBC" w14:textId="0B841500" w:rsidR="0064550E" w:rsidRPr="0064550E" w:rsidRDefault="00464C0B" w:rsidP="003D7E97">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6C5C22B7" w14:textId="448A9B2B" w:rsidR="00AC11D8" w:rsidRPr="004D133D" w:rsidRDefault="0064550E" w:rsidP="004D133D">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II. Theoretical Foundations of Zero Trust</w:t>
      </w:r>
    </w:p>
    <w:p w14:paraId="68AFAEC2" w14:textId="77777777" w:rsidR="00D84BDC" w:rsidRPr="00D84BDC" w:rsidRDefault="00D84BDC" w:rsidP="00D84BDC">
      <w:pPr>
        <w:spacing w:line="360" w:lineRule="auto"/>
        <w:jc w:val="left"/>
        <w:rPr>
          <w:rFonts w:asciiTheme="minorBidi" w:eastAsia="MS Mincho" w:hAnsiTheme="minorBidi" w:cstheme="minorBidi"/>
          <w:noProof/>
          <w:kern w:val="48"/>
          <w:sz w:val="24"/>
          <w:szCs w:val="24"/>
          <w:lang w:val="en-GB"/>
        </w:rPr>
      </w:pPr>
      <w:r w:rsidRPr="00D84BDC">
        <w:rPr>
          <w:rFonts w:asciiTheme="minorBidi" w:eastAsia="MS Mincho" w:hAnsiTheme="minorBidi" w:cstheme="minorBidi"/>
          <w:b/>
          <w:bCs/>
          <w:noProof/>
          <w:kern w:val="48"/>
          <w:sz w:val="24"/>
          <w:szCs w:val="24"/>
          <w:lang w:val="en-GB"/>
        </w:rPr>
        <w:t>Zero Trust Architecture</w:t>
      </w:r>
      <w:r w:rsidRPr="00D84BDC">
        <w:rPr>
          <w:rFonts w:asciiTheme="minorBidi" w:eastAsia="MS Mincho" w:hAnsiTheme="minorBidi" w:cstheme="minorBidi"/>
          <w:noProof/>
          <w:kern w:val="48"/>
          <w:sz w:val="24"/>
          <w:szCs w:val="24"/>
          <w:lang w:val="en-GB"/>
        </w:rPr>
        <w:t xml:space="preserve"> shifts security from network-perimeter defence to identity-based verification.</w:t>
      </w:r>
    </w:p>
    <w:p w14:paraId="36D0369F" w14:textId="77777777" w:rsidR="00D84BDC" w:rsidRPr="00D84BDC" w:rsidRDefault="00D84BDC" w:rsidP="00D84BDC">
      <w:pPr>
        <w:spacing w:line="360" w:lineRule="auto"/>
        <w:jc w:val="left"/>
        <w:rPr>
          <w:rFonts w:asciiTheme="minorBidi" w:eastAsia="MS Mincho" w:hAnsiTheme="minorBidi" w:cstheme="minorBidi"/>
          <w:noProof/>
          <w:kern w:val="48"/>
          <w:sz w:val="24"/>
          <w:szCs w:val="24"/>
          <w:lang w:val="en-GB"/>
        </w:rPr>
      </w:pPr>
      <w:r w:rsidRPr="00D84BDC">
        <w:rPr>
          <w:rFonts w:asciiTheme="minorBidi" w:eastAsia="MS Mincho" w:hAnsiTheme="minorBidi" w:cstheme="minorBidi"/>
          <w:noProof/>
          <w:kern w:val="48"/>
          <w:sz w:val="24"/>
          <w:szCs w:val="24"/>
          <w:lang w:val="en-GB"/>
        </w:rPr>
        <w:t>Traditional security used layered tools like firewalls, IDS, and VPNs and often trusted users inside the network.</w:t>
      </w:r>
    </w:p>
    <w:p w14:paraId="1BF4B175" w14:textId="7DC7E8E3" w:rsidR="000A2AFD" w:rsidRPr="000A2AFD" w:rsidRDefault="00D84BDC" w:rsidP="00D84BDC">
      <w:pPr>
        <w:spacing w:line="360" w:lineRule="auto"/>
        <w:jc w:val="left"/>
        <w:rPr>
          <w:rFonts w:asciiTheme="minorBidi" w:eastAsia="MS Mincho" w:hAnsiTheme="minorBidi" w:cstheme="minorBidi"/>
          <w:noProof/>
          <w:kern w:val="48"/>
          <w:sz w:val="24"/>
          <w:szCs w:val="24"/>
          <w:lang w:val="en-GB"/>
        </w:rPr>
      </w:pPr>
      <w:r w:rsidRPr="00D84BDC">
        <w:rPr>
          <w:rFonts w:asciiTheme="minorBidi" w:eastAsia="MS Mincho" w:hAnsiTheme="minorBidi" w:cstheme="minorBidi"/>
          <w:noProof/>
          <w:kern w:val="48"/>
          <w:sz w:val="24"/>
          <w:szCs w:val="24"/>
          <w:lang w:val="en-GB"/>
        </w:rPr>
        <w:t xml:space="preserve">Zero Trust removes this trust. According to </w:t>
      </w:r>
      <w:r w:rsidRPr="00D84BDC">
        <w:rPr>
          <w:rFonts w:asciiTheme="minorBidi" w:eastAsia="MS Mincho" w:hAnsiTheme="minorBidi" w:cstheme="minorBidi"/>
          <w:b/>
          <w:bCs/>
          <w:noProof/>
          <w:kern w:val="48"/>
          <w:sz w:val="24"/>
          <w:szCs w:val="24"/>
          <w:lang w:val="en-GB"/>
        </w:rPr>
        <w:t>National Institute of Standards and Technology</w:t>
      </w:r>
      <w:r w:rsidRPr="00D84BDC">
        <w:rPr>
          <w:rFonts w:asciiTheme="minorBidi" w:eastAsia="MS Mincho" w:hAnsiTheme="minorBidi" w:cstheme="minorBidi"/>
          <w:noProof/>
          <w:kern w:val="48"/>
          <w:sz w:val="24"/>
          <w:szCs w:val="24"/>
          <w:lang w:val="en-GB"/>
        </w:rPr>
        <w:t>, every access request must be verified using identity, device status, and security policies</w:t>
      </w:r>
      <w:r>
        <w:rPr>
          <w:rFonts w:asciiTheme="minorBidi" w:eastAsia="MS Mincho" w:hAnsiTheme="minorBidi" w:cstheme="minorBidi"/>
          <w:noProof/>
          <w:kern w:val="48"/>
          <w:sz w:val="24"/>
          <w:szCs w:val="24"/>
          <w:lang w:val="en-GB"/>
        </w:rPr>
        <w:t xml:space="preserve"> </w:t>
      </w:r>
      <w:r w:rsidR="000A2AFD" w:rsidRPr="000A2AFD">
        <w:rPr>
          <w:rFonts w:asciiTheme="minorBidi" w:eastAsia="MS Mincho" w:hAnsiTheme="minorBidi" w:cstheme="minorBidi"/>
          <w:noProof/>
          <w:kern w:val="48"/>
          <w:sz w:val="24"/>
          <w:szCs w:val="24"/>
          <w:lang w:val="en-GB"/>
        </w:rPr>
        <w:t>[3].</w:t>
      </w:r>
    </w:p>
    <w:p w14:paraId="15489BF0" w14:textId="77777777" w:rsidR="000A2AFD" w:rsidRPr="000A2AFD" w:rsidRDefault="000A2AFD" w:rsidP="000A2AFD">
      <w:pPr>
        <w:spacing w:line="360" w:lineRule="auto"/>
        <w:jc w:val="left"/>
        <w:rPr>
          <w:rFonts w:asciiTheme="minorBidi" w:eastAsia="MS Mincho" w:hAnsiTheme="minorBidi" w:cstheme="minorBidi"/>
          <w:noProof/>
          <w:kern w:val="48"/>
          <w:sz w:val="24"/>
          <w:szCs w:val="24"/>
          <w:lang w:val="en-GB"/>
        </w:rPr>
      </w:pPr>
      <w:r w:rsidRPr="000A2AFD">
        <w:rPr>
          <w:rFonts w:asciiTheme="minorBidi" w:eastAsia="MS Mincho" w:hAnsiTheme="minorBidi" w:cstheme="minorBidi"/>
          <w:noProof/>
          <w:kern w:val="48"/>
          <w:sz w:val="24"/>
          <w:szCs w:val="24"/>
          <w:lang w:val="en-GB"/>
        </w:rPr>
        <w:t>It aligns with adaptive risk-based security, where decisions are dynamic, and with ISO/IEC 27001:2022’s risk-based governance, emphasising continuous assessment and proportionate controls against identified threats.</w:t>
      </w:r>
    </w:p>
    <w:p w14:paraId="1D931623" w14:textId="77777777" w:rsidR="000A2AFD" w:rsidRPr="000A2AFD" w:rsidRDefault="000A2AFD" w:rsidP="000A2AFD">
      <w:pPr>
        <w:spacing w:line="360" w:lineRule="auto"/>
        <w:jc w:val="left"/>
        <w:rPr>
          <w:rFonts w:asciiTheme="minorBidi" w:eastAsia="MS Mincho" w:hAnsiTheme="minorBidi" w:cstheme="minorBidi"/>
          <w:noProof/>
          <w:kern w:val="48"/>
          <w:sz w:val="24"/>
          <w:szCs w:val="24"/>
          <w:lang w:val="en-GB"/>
        </w:rPr>
      </w:pPr>
      <w:r w:rsidRPr="000A2AFD">
        <w:rPr>
          <w:rFonts w:asciiTheme="minorBidi" w:eastAsia="MS Mincho" w:hAnsiTheme="minorBidi" w:cstheme="minorBidi"/>
          <w:noProof/>
          <w:kern w:val="48"/>
          <w:sz w:val="24"/>
          <w:szCs w:val="24"/>
          <w:lang w:val="en-GB"/>
        </w:rPr>
        <w:t xml:space="preserve">Governance-wise, Zero Trust replaces perimeter confidence with continuous </w:t>
      </w:r>
      <w:r w:rsidRPr="000A2AFD">
        <w:rPr>
          <w:rFonts w:asciiTheme="minorBidi" w:eastAsia="MS Mincho" w:hAnsiTheme="minorBidi" w:cstheme="minorBidi"/>
          <w:noProof/>
          <w:kern w:val="48"/>
          <w:sz w:val="24"/>
          <w:szCs w:val="24"/>
          <w:lang w:val="en-GB"/>
        </w:rPr>
        <w:t>assurance, adopting an assume-breach approach requiring ongoing validation rather than one-time authentication [4].</w:t>
      </w:r>
    </w:p>
    <w:p w14:paraId="2C5DB67C" w14:textId="1C64DEA0" w:rsidR="000A2AFD" w:rsidRPr="000A2AFD" w:rsidRDefault="000A2AFD" w:rsidP="000A2AFD">
      <w:pPr>
        <w:spacing w:line="360" w:lineRule="auto"/>
        <w:jc w:val="left"/>
        <w:rPr>
          <w:rFonts w:asciiTheme="minorBidi" w:eastAsia="MS Mincho" w:hAnsiTheme="minorBidi" w:cstheme="minorBidi"/>
          <w:b/>
          <w:bCs/>
          <w:noProof/>
          <w:kern w:val="48"/>
          <w:sz w:val="24"/>
          <w:szCs w:val="24"/>
          <w:lang w:val="en-GB"/>
        </w:rPr>
      </w:pPr>
      <w:r w:rsidRPr="000A2AFD">
        <w:rPr>
          <w:rFonts w:asciiTheme="minorBidi" w:eastAsia="MS Mincho" w:hAnsiTheme="minorBidi" w:cstheme="minorBidi"/>
          <w:b/>
          <w:bCs/>
          <w:noProof/>
          <w:kern w:val="48"/>
          <w:sz w:val="24"/>
          <w:szCs w:val="24"/>
          <w:lang w:val="en-GB"/>
        </w:rPr>
        <w:t>Justification by Theoretical Foundations</w:t>
      </w:r>
      <w:r>
        <w:rPr>
          <w:rFonts w:asciiTheme="minorBidi" w:eastAsia="MS Mincho" w:hAnsiTheme="minorBidi" w:cstheme="minorBidi"/>
          <w:b/>
          <w:bCs/>
          <w:noProof/>
          <w:kern w:val="48"/>
          <w:sz w:val="24"/>
          <w:szCs w:val="24"/>
          <w:lang w:val="en-GB"/>
        </w:rPr>
        <w:t>:</w:t>
      </w:r>
    </w:p>
    <w:p w14:paraId="222E85FF" w14:textId="567E3988" w:rsidR="000A2AFD" w:rsidRPr="000A2AFD" w:rsidRDefault="000A2AFD" w:rsidP="000A2AFD">
      <w:pPr>
        <w:spacing w:line="360" w:lineRule="auto"/>
        <w:jc w:val="left"/>
        <w:rPr>
          <w:rFonts w:asciiTheme="minorBidi" w:eastAsia="MS Mincho" w:hAnsiTheme="minorBidi" w:cstheme="minorBidi"/>
          <w:noProof/>
          <w:kern w:val="48"/>
          <w:sz w:val="24"/>
          <w:szCs w:val="24"/>
          <w:lang w:val="en-GB"/>
        </w:rPr>
      </w:pPr>
      <w:r>
        <w:rPr>
          <w:rFonts w:asciiTheme="minorBidi" w:eastAsia="MS Mincho" w:hAnsiTheme="minorBidi" w:cstheme="minorBidi"/>
          <w:b/>
          <w:bCs/>
          <w:noProof/>
          <w:kern w:val="48"/>
          <w:sz w:val="24"/>
          <w:szCs w:val="24"/>
          <w:lang w:val="en-GB"/>
        </w:rPr>
        <w:t>a</w:t>
      </w:r>
      <w:r w:rsidRPr="000A2AFD">
        <w:rPr>
          <w:rFonts w:asciiTheme="minorBidi" w:eastAsia="MS Mincho" w:hAnsiTheme="minorBidi" w:cstheme="minorBidi"/>
          <w:b/>
          <w:bCs/>
          <w:noProof/>
          <w:kern w:val="48"/>
          <w:sz w:val="24"/>
          <w:szCs w:val="24"/>
          <w:lang w:val="en-GB"/>
        </w:rPr>
        <w:t>. Perimeter Defence Theory (Defence-in-Depth Model)</w:t>
      </w:r>
      <w:r w:rsidRPr="000A2AFD">
        <w:rPr>
          <w:rFonts w:asciiTheme="minorBidi" w:eastAsia="MS Mincho" w:hAnsiTheme="minorBidi" w:cstheme="minorBidi"/>
          <w:noProof/>
          <w:kern w:val="48"/>
          <w:sz w:val="24"/>
          <w:szCs w:val="24"/>
          <w:lang w:val="en-GB"/>
        </w:rPr>
        <w:br/>
        <w:t>Justified in the opening paragraph: the description of layered controls, hardened boundaries, and implicit internal trust directly reflects traditional defence-in-depth assumptions. The critique of broad post-authentication access highlights the theoretical limitation of perimeter reliance.</w:t>
      </w:r>
    </w:p>
    <w:p w14:paraId="26F954FD" w14:textId="7B787374" w:rsidR="00DC6C9E" w:rsidRPr="00DC6C9E" w:rsidRDefault="000A2AFD" w:rsidP="00DC6C9E">
      <w:pPr>
        <w:spacing w:line="360" w:lineRule="auto"/>
        <w:jc w:val="left"/>
        <w:rPr>
          <w:rFonts w:asciiTheme="minorBidi" w:eastAsia="MS Mincho" w:hAnsiTheme="minorBidi" w:cstheme="minorBidi"/>
          <w:noProof/>
          <w:kern w:val="48"/>
          <w:lang w:val="en-GB"/>
        </w:rPr>
      </w:pPr>
      <w:r>
        <w:rPr>
          <w:rFonts w:asciiTheme="minorBidi" w:eastAsia="MS Mincho" w:hAnsiTheme="minorBidi" w:cstheme="minorBidi"/>
          <w:b/>
          <w:bCs/>
          <w:noProof/>
          <w:kern w:val="48"/>
          <w:sz w:val="24"/>
          <w:szCs w:val="24"/>
          <w:lang w:val="en-GB"/>
        </w:rPr>
        <w:t>b</w:t>
      </w:r>
      <w:r w:rsidRPr="000A2AFD">
        <w:rPr>
          <w:rFonts w:asciiTheme="minorBidi" w:eastAsia="MS Mincho" w:hAnsiTheme="minorBidi" w:cstheme="minorBidi"/>
          <w:b/>
          <w:bCs/>
          <w:noProof/>
          <w:kern w:val="48"/>
          <w:sz w:val="24"/>
          <w:szCs w:val="24"/>
          <w:lang w:val="en-GB"/>
        </w:rPr>
        <w:t>. Zero Trust Architecture</w:t>
      </w:r>
      <w:r w:rsidR="001B08FD">
        <w:rPr>
          <w:rFonts w:asciiTheme="minorBidi" w:eastAsia="MS Mincho" w:hAnsiTheme="minorBidi" w:cstheme="minorBidi"/>
          <w:b/>
          <w:bCs/>
          <w:noProof/>
          <w:kern w:val="48"/>
          <w:sz w:val="24"/>
          <w:szCs w:val="24"/>
          <w:lang w:val="en-GB"/>
        </w:rPr>
        <w:t>,</w:t>
      </w:r>
      <w:r w:rsidR="000D41F1">
        <w:rPr>
          <w:rFonts w:asciiTheme="minorBidi" w:eastAsia="MS Mincho" w:hAnsiTheme="minorBidi" w:cstheme="minorBidi"/>
          <w:b/>
          <w:bCs/>
          <w:noProof/>
          <w:kern w:val="48"/>
          <w:sz w:val="24"/>
          <w:szCs w:val="24"/>
          <w:lang w:val="en-GB"/>
        </w:rPr>
        <w:t xml:space="preserve"> </w:t>
      </w:r>
      <w:r w:rsidRPr="000A2AFD">
        <w:rPr>
          <w:rFonts w:asciiTheme="minorBidi" w:eastAsia="MS Mincho" w:hAnsiTheme="minorBidi" w:cstheme="minorBidi"/>
          <w:b/>
          <w:bCs/>
          <w:noProof/>
          <w:kern w:val="48"/>
          <w:sz w:val="24"/>
          <w:szCs w:val="24"/>
          <w:lang w:val="en-GB"/>
        </w:rPr>
        <w:t>NIST SP 800-207</w:t>
      </w:r>
      <w:r w:rsidRPr="000A2AFD">
        <w:rPr>
          <w:rFonts w:asciiTheme="minorBidi" w:eastAsia="MS Mincho" w:hAnsiTheme="minorBidi" w:cstheme="minorBidi"/>
          <w:noProof/>
          <w:kern w:val="48"/>
          <w:sz w:val="24"/>
          <w:szCs w:val="24"/>
          <w:lang w:val="en-GB"/>
        </w:rPr>
        <w:br/>
      </w:r>
      <w:r w:rsidR="00DC6C9E" w:rsidRPr="00DC6C9E">
        <w:rPr>
          <w:rFonts w:asciiTheme="minorBidi" w:eastAsia="MS Mincho" w:hAnsiTheme="minorBidi" w:cstheme="minorBidi"/>
          <w:noProof/>
          <w:kern w:val="48"/>
          <w:lang w:val="en-GB"/>
        </w:rPr>
        <w:t xml:space="preserve">Every access request is verified using identity, device status, and context. This follows the National Institute of Standards and Technology (NIST) Zero Trust principle of </w:t>
      </w:r>
      <w:r w:rsidR="00DC6C9E" w:rsidRPr="00DC6C9E">
        <w:rPr>
          <w:rFonts w:asciiTheme="minorBidi" w:eastAsia="MS Mincho" w:hAnsiTheme="minorBidi" w:cstheme="minorBidi"/>
          <w:b/>
          <w:bCs/>
          <w:noProof/>
          <w:kern w:val="48"/>
          <w:lang w:val="en-GB"/>
        </w:rPr>
        <w:t>“never trust, always verify.”</w:t>
      </w:r>
      <w:r w:rsidR="00DC6C9E">
        <w:rPr>
          <w:rFonts w:asciiTheme="minorBidi" w:eastAsia="MS Mincho" w:hAnsiTheme="minorBidi" w:cstheme="minorBidi"/>
          <w:b/>
          <w:bCs/>
          <w:noProof/>
          <w:kern w:val="48"/>
          <w:lang w:val="en-GB"/>
        </w:rPr>
        <w:t>[1]</w:t>
      </w:r>
    </w:p>
    <w:p w14:paraId="60897E7D" w14:textId="77777777" w:rsidR="00DC6C9E" w:rsidRDefault="000A2AFD" w:rsidP="00DC6C9E">
      <w:pPr>
        <w:spacing w:line="360" w:lineRule="auto"/>
        <w:jc w:val="left"/>
        <w:rPr>
          <w:rFonts w:asciiTheme="minorBidi" w:eastAsia="MS Mincho" w:hAnsiTheme="minorBidi" w:cstheme="minorBidi"/>
          <w:b/>
          <w:bCs/>
          <w:noProof/>
          <w:kern w:val="48"/>
          <w:sz w:val="24"/>
          <w:szCs w:val="24"/>
          <w:lang w:val="en-GB"/>
        </w:rPr>
      </w:pPr>
      <w:r>
        <w:rPr>
          <w:rFonts w:asciiTheme="minorBidi" w:eastAsia="MS Mincho" w:hAnsiTheme="minorBidi" w:cstheme="minorBidi"/>
          <w:b/>
          <w:bCs/>
          <w:noProof/>
          <w:kern w:val="48"/>
          <w:sz w:val="24"/>
          <w:szCs w:val="24"/>
          <w:lang w:val="en-GB"/>
        </w:rPr>
        <w:t>c</w:t>
      </w:r>
      <w:r w:rsidRPr="000A2AFD">
        <w:rPr>
          <w:rFonts w:asciiTheme="minorBidi" w:eastAsia="MS Mincho" w:hAnsiTheme="minorBidi" w:cstheme="minorBidi"/>
          <w:b/>
          <w:bCs/>
          <w:noProof/>
          <w:kern w:val="48"/>
          <w:sz w:val="24"/>
          <w:szCs w:val="24"/>
          <w:lang w:val="en-GB"/>
        </w:rPr>
        <w:t xml:space="preserve">. </w:t>
      </w:r>
      <w:r w:rsidR="00AB1872">
        <w:rPr>
          <w:rFonts w:asciiTheme="minorBidi" w:eastAsia="MS Mincho" w:hAnsiTheme="minorBidi" w:cstheme="minorBidi"/>
          <w:b/>
          <w:bCs/>
          <w:noProof/>
          <w:kern w:val="48"/>
          <w:sz w:val="24"/>
          <w:szCs w:val="24"/>
          <w:lang w:val="en-GB"/>
        </w:rPr>
        <w:t>Adaptive Risk-Based Security Theory</w:t>
      </w:r>
      <w:r w:rsidR="00DC6C9E">
        <w:rPr>
          <w:rFonts w:asciiTheme="minorBidi" w:eastAsia="MS Mincho" w:hAnsiTheme="minorBidi" w:cstheme="minorBidi"/>
          <w:b/>
          <w:bCs/>
          <w:noProof/>
          <w:kern w:val="48"/>
          <w:sz w:val="24"/>
          <w:szCs w:val="24"/>
          <w:lang w:val="en-GB"/>
        </w:rPr>
        <w:t>:</w:t>
      </w:r>
    </w:p>
    <w:p w14:paraId="7BF8F225" w14:textId="77777777" w:rsidR="00DC6C9E" w:rsidRPr="00DC6C9E" w:rsidRDefault="00DC6C9E" w:rsidP="00DC6C9E">
      <w:pPr>
        <w:spacing w:line="360" w:lineRule="auto"/>
        <w:jc w:val="left"/>
        <w:rPr>
          <w:rFonts w:asciiTheme="minorBidi" w:eastAsia="MS Mincho" w:hAnsiTheme="minorBidi" w:cstheme="minorBidi"/>
          <w:noProof/>
          <w:kern w:val="48"/>
          <w:sz w:val="24"/>
          <w:szCs w:val="24"/>
          <w:lang w:val="en-GB"/>
        </w:rPr>
      </w:pPr>
      <w:r w:rsidRPr="00DC6C9E">
        <w:rPr>
          <w:rFonts w:asciiTheme="minorBidi" w:eastAsia="MS Mincho" w:hAnsiTheme="minorBidi" w:cstheme="minorBidi"/>
          <w:noProof/>
          <w:kern w:val="48"/>
          <w:sz w:val="24"/>
          <w:szCs w:val="24"/>
          <w:lang w:val="en-GB"/>
        </w:rPr>
        <w:t>Access decisions change based on context and risk signals, rather than relying only on fixed security policies.</w:t>
      </w:r>
    </w:p>
    <w:p w14:paraId="72D38174" w14:textId="27D061E6" w:rsidR="000A2AFD" w:rsidRPr="000A2AFD" w:rsidRDefault="000A2AFD" w:rsidP="000A2AFD">
      <w:pPr>
        <w:spacing w:line="360" w:lineRule="auto"/>
        <w:jc w:val="left"/>
        <w:rPr>
          <w:rFonts w:asciiTheme="minorBidi" w:eastAsia="MS Mincho" w:hAnsiTheme="minorBidi" w:cstheme="minorBidi"/>
          <w:noProof/>
          <w:kern w:val="48"/>
          <w:sz w:val="24"/>
          <w:szCs w:val="24"/>
          <w:lang w:val="en-GB"/>
        </w:rPr>
      </w:pPr>
      <w:r>
        <w:rPr>
          <w:rFonts w:asciiTheme="minorBidi" w:eastAsia="MS Mincho" w:hAnsiTheme="minorBidi" w:cstheme="minorBidi"/>
          <w:b/>
          <w:bCs/>
          <w:noProof/>
          <w:kern w:val="48"/>
          <w:sz w:val="24"/>
          <w:szCs w:val="24"/>
          <w:lang w:val="en-GB"/>
        </w:rPr>
        <w:t>d</w:t>
      </w:r>
      <w:r w:rsidRPr="000A2AFD">
        <w:rPr>
          <w:rFonts w:asciiTheme="minorBidi" w:eastAsia="MS Mincho" w:hAnsiTheme="minorBidi" w:cstheme="minorBidi"/>
          <w:b/>
          <w:bCs/>
          <w:noProof/>
          <w:kern w:val="48"/>
          <w:sz w:val="24"/>
          <w:szCs w:val="24"/>
          <w:lang w:val="en-GB"/>
        </w:rPr>
        <w:t>. Risk-Based Governance Theory</w:t>
      </w:r>
      <w:r w:rsidRPr="000A2AFD">
        <w:rPr>
          <w:rFonts w:asciiTheme="minorBidi" w:eastAsia="MS Mincho" w:hAnsiTheme="minorBidi" w:cstheme="minorBidi"/>
          <w:noProof/>
          <w:kern w:val="48"/>
          <w:sz w:val="24"/>
          <w:szCs w:val="24"/>
          <w:lang w:val="en-GB"/>
        </w:rPr>
        <w:br/>
        <w:t>Justified in the third paragraph: continuous evaluation, proportional controls, and governance alignment correspond directly with ISO’s risk treatment and continual improvement principles.</w:t>
      </w:r>
    </w:p>
    <w:p w14:paraId="371A2305" w14:textId="38D34758" w:rsidR="000A2AFD" w:rsidRPr="000A2AFD" w:rsidRDefault="000A2AFD" w:rsidP="000A2AFD">
      <w:pPr>
        <w:spacing w:line="360" w:lineRule="auto"/>
        <w:jc w:val="left"/>
        <w:rPr>
          <w:rFonts w:asciiTheme="minorBidi" w:eastAsia="MS Mincho" w:hAnsiTheme="minorBidi" w:cstheme="minorBidi"/>
          <w:noProof/>
          <w:kern w:val="48"/>
          <w:sz w:val="24"/>
          <w:szCs w:val="24"/>
          <w:lang w:val="en-GB"/>
        </w:rPr>
      </w:pPr>
      <w:r>
        <w:rPr>
          <w:rFonts w:asciiTheme="minorBidi" w:eastAsia="MS Mincho" w:hAnsiTheme="minorBidi" w:cstheme="minorBidi"/>
          <w:b/>
          <w:bCs/>
          <w:noProof/>
          <w:kern w:val="48"/>
          <w:sz w:val="24"/>
          <w:szCs w:val="24"/>
          <w:lang w:val="en-GB"/>
        </w:rPr>
        <w:t>f</w:t>
      </w:r>
      <w:r w:rsidRPr="000A2AFD">
        <w:rPr>
          <w:rFonts w:asciiTheme="minorBidi" w:eastAsia="MS Mincho" w:hAnsiTheme="minorBidi" w:cstheme="minorBidi"/>
          <w:b/>
          <w:bCs/>
          <w:noProof/>
          <w:kern w:val="48"/>
          <w:sz w:val="24"/>
          <w:szCs w:val="24"/>
          <w:lang w:val="en-GB"/>
        </w:rPr>
        <w:t>. Continuous Assurance / Assume-Breach Principle</w:t>
      </w:r>
      <w:r w:rsidRPr="000A2AFD">
        <w:rPr>
          <w:rFonts w:asciiTheme="minorBidi" w:eastAsia="MS Mincho" w:hAnsiTheme="minorBidi" w:cstheme="minorBidi"/>
          <w:noProof/>
          <w:kern w:val="48"/>
          <w:sz w:val="24"/>
          <w:szCs w:val="24"/>
          <w:lang w:val="en-GB"/>
        </w:rPr>
        <w:br/>
        <w:t xml:space="preserve">Justified in the final paragraph: the shift from episodic authentication to ongoing validation reflects continuous assurance theory and the assume-breach security </w:t>
      </w:r>
      <w:r w:rsidRPr="000A2AFD">
        <w:rPr>
          <w:rFonts w:asciiTheme="minorBidi" w:eastAsia="MS Mincho" w:hAnsiTheme="minorBidi" w:cstheme="minorBidi"/>
          <w:noProof/>
          <w:kern w:val="48"/>
          <w:sz w:val="24"/>
          <w:szCs w:val="24"/>
          <w:lang w:val="en-GB"/>
        </w:rPr>
        <w:lastRenderedPageBreak/>
        <w:t>mindset foundational to modern resilience models.</w:t>
      </w:r>
    </w:p>
    <w:p w14:paraId="78DFA086"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III. Core Principles of Zero Trust Architecture</w:t>
      </w:r>
    </w:p>
    <w:p w14:paraId="52CF78B3" w14:textId="77777777" w:rsidR="00047219" w:rsidRPr="00047219" w:rsidRDefault="00047219" w:rsidP="00047219">
      <w:pPr>
        <w:spacing w:line="360" w:lineRule="auto"/>
        <w:jc w:val="left"/>
        <w:rPr>
          <w:rFonts w:asciiTheme="minorBidi" w:eastAsia="MS Mincho" w:hAnsiTheme="minorBidi" w:cstheme="minorBidi"/>
          <w:noProof/>
          <w:kern w:val="48"/>
          <w:sz w:val="24"/>
          <w:szCs w:val="24"/>
          <w:lang w:val="en-GB"/>
        </w:rPr>
      </w:pPr>
      <w:r w:rsidRPr="00047219">
        <w:rPr>
          <w:rFonts w:asciiTheme="minorBidi" w:eastAsia="MS Mincho" w:hAnsiTheme="minorBidi" w:cstheme="minorBidi"/>
          <w:noProof/>
          <w:kern w:val="48"/>
          <w:sz w:val="24"/>
          <w:szCs w:val="24"/>
          <w:lang w:val="en-GB"/>
        </w:rPr>
        <w:t>Zero Trust Architecture follows several key principles. All data and services are treated as protected resources. Communication is secured no matter where it happens. Access is given for each session only, and security policies are applied based on context.</w:t>
      </w:r>
    </w:p>
    <w:p w14:paraId="361E1C75" w14:textId="419149A0"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Fifth, continuous monitoring improves security posture over time.</w:t>
      </w:r>
    </w:p>
    <w:p w14:paraId="3C367E02"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Micro-segmentation is a particularly critical principle within Zero Trust implementation. By logically isolating workloads and restricting east-west traffic flows, organisations significantly reduce lateral attack propagation. Empirical research examining segmented cloud-native environments demonstrates measurable reductions in breach spread compared to flat network topologies [5].</w:t>
      </w:r>
    </w:p>
    <w:p w14:paraId="118CF3D6"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Identity-centric control is equally central. Multi-factor authentication, behavioural profiling, device posture validation, and conditional access policies collectively form the enforcement backbone. The CISA Zero Trust Maturity Model further categorises implementation into identity, device, network, application workload, and data pillars, emphasising holistic integration rather than isolated deployment [6].</w:t>
      </w:r>
    </w:p>
    <w:p w14:paraId="67731BCD" w14:textId="7E5A7788"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However, scholars caution that identity centralisation introduces systemic risk. If identity providers or policy decision engines fail or are compromised, broad access disruption or exposure may occur. Therefore, resilience and redundancy planning are essential architectural considerations.</w:t>
      </w:r>
    </w:p>
    <w:p w14:paraId="45FE771E" w14:textId="38337AD5" w:rsidR="0064550E" w:rsidRPr="0064550E" w:rsidRDefault="00464C0B" w:rsidP="009B57EA">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4E2C861A"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IV. Architectural Components and Operational Structure</w:t>
      </w:r>
    </w:p>
    <w:p w14:paraId="1D2162DF" w14:textId="708919B7" w:rsidR="0064550E" w:rsidRPr="00BB3230"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A comprehensive Zero Trust environment includes several core components working in coordinated fashion. The Identity Provider manages authentication through multi-factor verification and federated identity services. The Policy Decision Point evaluates contextual access rules, while the Policy Enforcement Point executes these decisions at the resource interface. Continuous monitoring engines aggregate behavioural data, and Security Information and Event Management or Extended Detection and Response platforms provide advanced analytics and anomaly detection capabilities.</w:t>
      </w:r>
    </w:p>
    <w:p w14:paraId="2FB23A58" w14:textId="77777777" w:rsidR="001E3372" w:rsidRPr="00BB3230" w:rsidRDefault="001E3372" w:rsidP="009B57EA">
      <w:pPr>
        <w:spacing w:line="360" w:lineRule="auto"/>
        <w:jc w:val="left"/>
        <w:rPr>
          <w:rFonts w:asciiTheme="minorBidi" w:eastAsia="MS Mincho" w:hAnsiTheme="minorBidi" w:cstheme="minorBidi"/>
          <w:noProof/>
          <w:kern w:val="48"/>
          <w:sz w:val="24"/>
          <w:szCs w:val="24"/>
          <w:lang w:val="en-GB"/>
        </w:rPr>
      </w:pPr>
    </w:p>
    <w:p w14:paraId="1C152261" w14:textId="77777777" w:rsidR="006C3729" w:rsidRDefault="001E3372" w:rsidP="006C3729">
      <w:pPr>
        <w:keepNext/>
        <w:spacing w:line="360" w:lineRule="auto"/>
        <w:jc w:val="left"/>
      </w:pPr>
      <w:r w:rsidRPr="00BB3230">
        <w:rPr>
          <w:rFonts w:asciiTheme="minorBidi" w:eastAsia="MS Mincho" w:hAnsiTheme="minorBidi" w:cstheme="minorBidi"/>
          <w:b/>
          <w:bCs/>
          <w:noProof/>
          <w:kern w:val="48"/>
          <w:sz w:val="24"/>
          <w:szCs w:val="24"/>
          <w:lang w:val="en-GB"/>
          <w14:ligatures w14:val="standardContextual"/>
        </w:rPr>
        <w:drawing>
          <wp:inline distT="0" distB="0" distL="0" distR="0" wp14:anchorId="59A81E38" wp14:editId="4B3788D8">
            <wp:extent cx="3026228" cy="1563685"/>
            <wp:effectExtent l="0" t="0" r="3175" b="0"/>
            <wp:docPr id="2123237253" name="Picture 5" descr="A diagram of a computer security syst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3237253" name="Picture 5" descr="A diagram of a computer security system&#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038115" cy="1569827"/>
                    </a:xfrm>
                    <a:prstGeom prst="rect">
                      <a:avLst/>
                    </a:prstGeom>
                  </pic:spPr>
                </pic:pic>
              </a:graphicData>
            </a:graphic>
          </wp:inline>
        </w:drawing>
      </w:r>
    </w:p>
    <w:p w14:paraId="1DCFD059" w14:textId="1359529F" w:rsidR="001E3372" w:rsidRPr="00BB3230" w:rsidRDefault="006C3729" w:rsidP="006C3729">
      <w:pPr>
        <w:pStyle w:val="Caption"/>
        <w:rPr>
          <w:rFonts w:asciiTheme="minorBidi" w:eastAsia="MS Mincho" w:hAnsiTheme="minorBidi" w:cstheme="minorBidi"/>
          <w:noProof/>
          <w:kern w:val="48"/>
          <w:sz w:val="24"/>
          <w:szCs w:val="24"/>
          <w:lang w:val="en-GB"/>
        </w:rPr>
      </w:pPr>
      <w:r>
        <w:t xml:space="preserve">Figure </w:t>
      </w:r>
      <w:r>
        <w:fldChar w:fldCharType="begin"/>
      </w:r>
      <w:r>
        <w:instrText xml:space="preserve"> SEQ Figure \* ARABIC </w:instrText>
      </w:r>
      <w:r>
        <w:fldChar w:fldCharType="separate"/>
      </w:r>
      <w:r w:rsidR="00540908">
        <w:rPr>
          <w:noProof/>
        </w:rPr>
        <w:t>1</w:t>
      </w:r>
      <w:r>
        <w:fldChar w:fldCharType="end"/>
      </w:r>
      <w:r>
        <w:rPr>
          <w:lang w:val="en-GB"/>
        </w:rPr>
        <w:t xml:space="preserve">: </w:t>
      </w:r>
      <w:r w:rsidRPr="00240729">
        <w:rPr>
          <w:lang w:val="en-GB"/>
        </w:rPr>
        <w:t>Operational Structure</w:t>
      </w:r>
      <w:r>
        <w:rPr>
          <w:lang w:val="en-GB"/>
        </w:rPr>
        <w:t>, Zero Trust</w:t>
      </w:r>
    </w:p>
    <w:p w14:paraId="407D8A94" w14:textId="77777777" w:rsidR="001E3372" w:rsidRPr="0064550E" w:rsidRDefault="001E3372" w:rsidP="009B57EA">
      <w:pPr>
        <w:spacing w:line="360" w:lineRule="auto"/>
        <w:jc w:val="left"/>
        <w:rPr>
          <w:rFonts w:asciiTheme="minorBidi" w:eastAsia="MS Mincho" w:hAnsiTheme="minorBidi" w:cstheme="minorBidi"/>
          <w:noProof/>
          <w:kern w:val="48"/>
          <w:sz w:val="24"/>
          <w:szCs w:val="24"/>
          <w:lang w:val="en-GB"/>
        </w:rPr>
      </w:pPr>
    </w:p>
    <w:p w14:paraId="24DACD2B"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Operationally, Zero Trust transforms access control into a continuous feedback loop. When a user requests access, identity attributes, device health signals, geolocation, behavioural patterns, and risk scores are assessed. If contextual risk increases during a session, access privileges may be reduced or terminated dynamically. Research analysing Extended Detection and Response integration demonstrates enhanced anomaly detection accuracy within Zero Trust ecosystems compared to perimeter-based systems [7].</w:t>
      </w:r>
    </w:p>
    <w:p w14:paraId="78FDC163"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Nonetheless, implementation complexity increases significantly in multi-cloud environments where identity federation and policy synchronisation across heterogeneous platforms must be maintained. Gartner’s market analysis indicates that integration cost and configuration complexity remain primary barriers to rapid enterprise-wide adoption [8].</w:t>
      </w:r>
    </w:p>
    <w:p w14:paraId="39F0D9D8" w14:textId="4C28F132" w:rsidR="0064550E" w:rsidRPr="0064550E" w:rsidRDefault="008E25C5" w:rsidP="009B57EA">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67E1F614"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V. Comparative Evaluation with Traditional Security Models</w:t>
      </w:r>
    </w:p>
    <w:p w14:paraId="185DE46C" w14:textId="77777777" w:rsidR="00002BF4" w:rsidRPr="00002BF4" w:rsidRDefault="00002BF4" w:rsidP="00002BF4">
      <w:pPr>
        <w:spacing w:line="360" w:lineRule="auto"/>
        <w:jc w:val="left"/>
        <w:rPr>
          <w:rFonts w:asciiTheme="minorBidi" w:eastAsia="MS Mincho" w:hAnsiTheme="minorBidi" w:cstheme="minorBidi"/>
          <w:noProof/>
          <w:kern w:val="48"/>
          <w:sz w:val="24"/>
          <w:szCs w:val="24"/>
          <w:lang w:val="en-GB"/>
        </w:rPr>
      </w:pPr>
      <w:r w:rsidRPr="00002BF4">
        <w:rPr>
          <w:rFonts w:asciiTheme="minorBidi" w:eastAsia="MS Mincho" w:hAnsiTheme="minorBidi" w:cstheme="minorBidi"/>
          <w:noProof/>
          <w:kern w:val="48"/>
          <w:sz w:val="24"/>
          <w:szCs w:val="24"/>
          <w:lang w:val="en-GB"/>
        </w:rPr>
        <w:t>A clear comparison between traditional perimeter-based security and Zero Trust Architecture shows major differences in their design.</w:t>
      </w:r>
    </w:p>
    <w:p w14:paraId="62AA4976" w14:textId="5C21D10E"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 xml:space="preserve">Traditional models rely on network location as a trust determinant, whereas Zero Trust bases trust decisions on identity and </w:t>
      </w:r>
      <w:r w:rsidRPr="0064550E">
        <w:rPr>
          <w:rFonts w:asciiTheme="minorBidi" w:eastAsia="MS Mincho" w:hAnsiTheme="minorBidi" w:cstheme="minorBidi"/>
          <w:noProof/>
          <w:kern w:val="48"/>
          <w:sz w:val="24"/>
          <w:szCs w:val="24"/>
          <w:lang w:val="en-GB"/>
        </w:rPr>
        <w:t>contextual validation. In perimeter-based systems, lateral movement often remains insufficiently monitored once access is granted. In contrast, Zero Trust restricts east-west traffic through granular segmentation and session-based controls.</w:t>
      </w:r>
    </w:p>
    <w:p w14:paraId="39D118CC" w14:textId="2D5EFD1F" w:rsidR="0064550E" w:rsidRPr="000B56C6" w:rsidRDefault="0064550E" w:rsidP="000B56C6">
      <w:pPr>
        <w:spacing w:line="360" w:lineRule="auto"/>
        <w:jc w:val="left"/>
        <w:rPr>
          <w:rFonts w:asciiTheme="minorBidi" w:eastAsia="MS Mincho" w:hAnsiTheme="minorBidi" w:cstheme="minorBidi"/>
          <w:noProof/>
          <w:kern w:val="48"/>
          <w:lang w:val="en-GB"/>
        </w:rPr>
      </w:pPr>
      <w:r w:rsidRPr="0064550E">
        <w:rPr>
          <w:rFonts w:asciiTheme="minorBidi" w:eastAsia="MS Mincho" w:hAnsiTheme="minorBidi" w:cstheme="minorBidi"/>
          <w:noProof/>
          <w:kern w:val="48"/>
          <w:sz w:val="24"/>
          <w:szCs w:val="24"/>
          <w:lang w:val="en-GB"/>
        </w:rPr>
        <w:t xml:space="preserve">Incident response capabilities also differ significantly. Traditional architectures often respond reactively after breach detection. Zero Trust environments integrate automated response workflows that can revoke credentials, isolate devices, or modify access privileges dynamically. </w:t>
      </w:r>
      <w:r w:rsidR="000B56C6" w:rsidRPr="000B56C6">
        <w:rPr>
          <w:rFonts w:asciiTheme="minorBidi" w:eastAsia="MS Mincho" w:hAnsiTheme="minorBidi" w:cstheme="minorBidi"/>
          <w:noProof/>
          <w:kern w:val="48"/>
          <w:sz w:val="24"/>
          <w:szCs w:val="24"/>
          <w:lang w:val="en-GB"/>
        </w:rPr>
        <w:t>According to the IBM Cost of a Data Breach Report, organisations that use mature Zero Trust strategies usually face lower breach costs than those using only traditional perimeter security</w:t>
      </w:r>
      <w:r w:rsidRPr="0064550E">
        <w:rPr>
          <w:rFonts w:asciiTheme="minorBidi" w:eastAsia="MS Mincho" w:hAnsiTheme="minorBidi" w:cstheme="minorBidi"/>
          <w:noProof/>
          <w:kern w:val="48"/>
          <w:sz w:val="24"/>
          <w:szCs w:val="24"/>
          <w:lang w:val="en-GB"/>
        </w:rPr>
        <w:t xml:space="preserve"> [9].</w:t>
      </w:r>
    </w:p>
    <w:tbl>
      <w:tblPr>
        <w:tblW w:w="4806" w:type="dxa"/>
        <w:tblCellSpacing w:w="15" w:type="dxa"/>
        <w:tblBorders>
          <w:top w:val="dashDotStroked" w:sz="24" w:space="0" w:color="074F6A" w:themeColor="accent4" w:themeShade="80"/>
          <w:left w:val="dashDotStroked" w:sz="24" w:space="0" w:color="074F6A" w:themeColor="accent4" w:themeShade="80"/>
          <w:bottom w:val="dashDotStroked" w:sz="24" w:space="0" w:color="074F6A" w:themeColor="accent4" w:themeShade="80"/>
          <w:right w:val="dashDotStroked" w:sz="24" w:space="0" w:color="074F6A" w:themeColor="accent4" w:themeShade="80"/>
        </w:tblBorders>
        <w:tblLayout w:type="fixed"/>
        <w:tblCellMar>
          <w:top w:w="15" w:type="dxa"/>
          <w:left w:w="15" w:type="dxa"/>
          <w:bottom w:w="15" w:type="dxa"/>
          <w:right w:w="15" w:type="dxa"/>
        </w:tblCellMar>
        <w:tblLook w:val="04A0" w:firstRow="1" w:lastRow="0" w:firstColumn="1" w:lastColumn="0" w:noHBand="0" w:noVBand="1"/>
      </w:tblPr>
      <w:tblGrid>
        <w:gridCol w:w="1246"/>
        <w:gridCol w:w="1095"/>
        <w:gridCol w:w="1247"/>
        <w:gridCol w:w="1218"/>
      </w:tblGrid>
      <w:tr w:rsidR="00380DAC" w:rsidRPr="00B75A36" w14:paraId="5FA8F508" w14:textId="77777777" w:rsidTr="00380DAC">
        <w:trPr>
          <w:tblHeader/>
          <w:tblCellSpacing w:w="15" w:type="dxa"/>
        </w:trPr>
        <w:tc>
          <w:tcPr>
            <w:tcW w:w="1201" w:type="dxa"/>
            <w:shd w:val="clear" w:color="auto" w:fill="074F6A" w:themeFill="accent4" w:themeFillShade="80"/>
            <w:vAlign w:val="center"/>
            <w:hideMark/>
          </w:tcPr>
          <w:p w14:paraId="4C515698" w14:textId="77777777" w:rsidR="001E3372" w:rsidRPr="00B75A36" w:rsidRDefault="001E3372" w:rsidP="009B57EA">
            <w:pPr>
              <w:spacing w:line="360" w:lineRule="auto"/>
              <w:jc w:val="left"/>
              <w:rPr>
                <w:rFonts w:asciiTheme="minorBidi" w:eastAsia="MS Mincho" w:hAnsiTheme="minorBidi" w:cstheme="minorBidi"/>
                <w:b/>
                <w:bCs/>
                <w:noProof/>
                <w:color w:val="FFFFFF" w:themeColor="background1"/>
                <w:kern w:val="48"/>
                <w:sz w:val="16"/>
                <w:szCs w:val="16"/>
                <w:lang w:val="en-GB"/>
              </w:rPr>
            </w:pPr>
            <w:r w:rsidRPr="00B75A36">
              <w:rPr>
                <w:rFonts w:asciiTheme="minorBidi" w:eastAsia="MS Mincho" w:hAnsiTheme="minorBidi" w:cstheme="minorBidi"/>
                <w:b/>
                <w:bCs/>
                <w:noProof/>
                <w:color w:val="FFFFFF" w:themeColor="background1"/>
                <w:kern w:val="48"/>
                <w:sz w:val="16"/>
                <w:szCs w:val="16"/>
                <w:lang w:val="en-GB"/>
              </w:rPr>
              <w:t>Feature</w:t>
            </w:r>
          </w:p>
        </w:tc>
        <w:tc>
          <w:tcPr>
            <w:tcW w:w="1065" w:type="dxa"/>
            <w:shd w:val="clear" w:color="auto" w:fill="074F6A" w:themeFill="accent4" w:themeFillShade="80"/>
            <w:vAlign w:val="center"/>
            <w:hideMark/>
          </w:tcPr>
          <w:p w14:paraId="6773F310" w14:textId="77777777" w:rsidR="001E3372" w:rsidRPr="00B75A36" w:rsidRDefault="001E3372" w:rsidP="009B57EA">
            <w:pPr>
              <w:spacing w:line="360" w:lineRule="auto"/>
              <w:jc w:val="left"/>
              <w:rPr>
                <w:rFonts w:asciiTheme="minorBidi" w:eastAsia="MS Mincho" w:hAnsiTheme="minorBidi" w:cstheme="minorBidi"/>
                <w:b/>
                <w:bCs/>
                <w:noProof/>
                <w:color w:val="FFFFFF" w:themeColor="background1"/>
                <w:kern w:val="48"/>
                <w:sz w:val="16"/>
                <w:szCs w:val="16"/>
                <w:lang w:val="en-GB"/>
              </w:rPr>
            </w:pPr>
            <w:r w:rsidRPr="00B75A36">
              <w:rPr>
                <w:rFonts w:asciiTheme="minorBidi" w:eastAsia="MS Mincho" w:hAnsiTheme="minorBidi" w:cstheme="minorBidi"/>
                <w:b/>
                <w:bCs/>
                <w:noProof/>
                <w:color w:val="FFFFFF" w:themeColor="background1"/>
                <w:kern w:val="48"/>
                <w:sz w:val="16"/>
                <w:szCs w:val="16"/>
                <w:lang w:val="en-GB"/>
              </w:rPr>
              <w:t>Traditional Perimeter Model</w:t>
            </w:r>
          </w:p>
        </w:tc>
        <w:tc>
          <w:tcPr>
            <w:tcW w:w="1217" w:type="dxa"/>
            <w:shd w:val="clear" w:color="auto" w:fill="074F6A" w:themeFill="accent4" w:themeFillShade="80"/>
            <w:vAlign w:val="center"/>
            <w:hideMark/>
          </w:tcPr>
          <w:p w14:paraId="66409197" w14:textId="77777777" w:rsidR="001E3372" w:rsidRPr="00B75A36" w:rsidRDefault="001E3372" w:rsidP="009B57EA">
            <w:pPr>
              <w:spacing w:line="360" w:lineRule="auto"/>
              <w:jc w:val="left"/>
              <w:rPr>
                <w:rFonts w:asciiTheme="minorBidi" w:eastAsia="MS Mincho" w:hAnsiTheme="minorBidi" w:cstheme="minorBidi"/>
                <w:b/>
                <w:bCs/>
                <w:noProof/>
                <w:color w:val="FFFFFF" w:themeColor="background1"/>
                <w:kern w:val="48"/>
                <w:sz w:val="16"/>
                <w:szCs w:val="16"/>
                <w:lang w:val="en-GB"/>
              </w:rPr>
            </w:pPr>
            <w:r w:rsidRPr="00B75A36">
              <w:rPr>
                <w:rFonts w:asciiTheme="minorBidi" w:eastAsia="MS Mincho" w:hAnsiTheme="minorBidi" w:cstheme="minorBidi"/>
                <w:b/>
                <w:bCs/>
                <w:noProof/>
                <w:color w:val="FFFFFF" w:themeColor="background1"/>
                <w:kern w:val="48"/>
                <w:sz w:val="16"/>
                <w:szCs w:val="16"/>
                <w:lang w:val="en-GB"/>
              </w:rPr>
              <w:t>Zero Trust Architecture</w:t>
            </w:r>
          </w:p>
        </w:tc>
        <w:tc>
          <w:tcPr>
            <w:tcW w:w="1173" w:type="dxa"/>
            <w:shd w:val="clear" w:color="auto" w:fill="074F6A" w:themeFill="accent4" w:themeFillShade="80"/>
            <w:vAlign w:val="center"/>
            <w:hideMark/>
          </w:tcPr>
          <w:p w14:paraId="561E3375" w14:textId="77777777" w:rsidR="001E3372" w:rsidRPr="00B75A36" w:rsidRDefault="001E3372" w:rsidP="009B57EA">
            <w:pPr>
              <w:spacing w:line="360" w:lineRule="auto"/>
              <w:jc w:val="left"/>
              <w:rPr>
                <w:rFonts w:asciiTheme="minorBidi" w:eastAsia="MS Mincho" w:hAnsiTheme="minorBidi" w:cstheme="minorBidi"/>
                <w:b/>
                <w:bCs/>
                <w:noProof/>
                <w:color w:val="FFFFFF" w:themeColor="background1"/>
                <w:kern w:val="48"/>
                <w:sz w:val="16"/>
                <w:szCs w:val="16"/>
                <w:lang w:val="en-GB"/>
              </w:rPr>
            </w:pPr>
            <w:r w:rsidRPr="00B75A36">
              <w:rPr>
                <w:rFonts w:asciiTheme="minorBidi" w:eastAsia="MS Mincho" w:hAnsiTheme="minorBidi" w:cstheme="minorBidi"/>
                <w:b/>
                <w:bCs/>
                <w:noProof/>
                <w:color w:val="FFFFFF" w:themeColor="background1"/>
                <w:kern w:val="48"/>
                <w:sz w:val="16"/>
                <w:szCs w:val="16"/>
                <w:lang w:val="en-GB"/>
              </w:rPr>
              <w:t>Secure Access Service Edge (SASE)</w:t>
            </w:r>
          </w:p>
        </w:tc>
      </w:tr>
      <w:tr w:rsidR="00534E0B" w:rsidRPr="00B75A36" w14:paraId="767FCAC4" w14:textId="77777777" w:rsidTr="00380DAC">
        <w:trPr>
          <w:tblCellSpacing w:w="15" w:type="dxa"/>
        </w:trPr>
        <w:tc>
          <w:tcPr>
            <w:tcW w:w="1201" w:type="dxa"/>
            <w:shd w:val="clear" w:color="auto" w:fill="CAEDFB" w:themeFill="accent4" w:themeFillTint="33"/>
            <w:vAlign w:val="center"/>
            <w:hideMark/>
          </w:tcPr>
          <w:p w14:paraId="6FCD1277"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Trust Assumption</w:t>
            </w:r>
          </w:p>
        </w:tc>
        <w:tc>
          <w:tcPr>
            <w:tcW w:w="1065" w:type="dxa"/>
            <w:shd w:val="clear" w:color="auto" w:fill="FAE2D5" w:themeFill="accent2" w:themeFillTint="33"/>
            <w:vAlign w:val="center"/>
            <w:hideMark/>
          </w:tcPr>
          <w:p w14:paraId="294A41EA" w14:textId="6E69BB14"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 xml:space="preserve">Trust </w:t>
            </w:r>
            <w:r w:rsidR="00380DAC" w:rsidRPr="00B75A36">
              <w:rPr>
                <w:rFonts w:asciiTheme="minorBidi" w:eastAsia="MS Mincho" w:hAnsiTheme="minorBidi" w:cstheme="minorBidi"/>
                <w:noProof/>
                <w:kern w:val="48"/>
                <w:sz w:val="16"/>
                <w:szCs w:val="16"/>
                <w:lang w:val="en-GB"/>
              </w:rPr>
              <w:t xml:space="preserve">the </w:t>
            </w:r>
            <w:r w:rsidRPr="00B75A36">
              <w:rPr>
                <w:rFonts w:asciiTheme="minorBidi" w:eastAsia="MS Mincho" w:hAnsiTheme="minorBidi" w:cstheme="minorBidi"/>
                <w:noProof/>
                <w:kern w:val="48"/>
                <w:sz w:val="16"/>
                <w:szCs w:val="16"/>
                <w:lang w:val="en-GB"/>
              </w:rPr>
              <w:t>internal network</w:t>
            </w:r>
          </w:p>
        </w:tc>
        <w:tc>
          <w:tcPr>
            <w:tcW w:w="1217" w:type="dxa"/>
            <w:shd w:val="clear" w:color="auto" w:fill="D9F2D0" w:themeFill="accent6" w:themeFillTint="33"/>
            <w:vAlign w:val="center"/>
            <w:hideMark/>
          </w:tcPr>
          <w:p w14:paraId="20CF6A07"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Never trust, always verify</w:t>
            </w:r>
          </w:p>
        </w:tc>
        <w:tc>
          <w:tcPr>
            <w:tcW w:w="1173" w:type="dxa"/>
            <w:shd w:val="clear" w:color="auto" w:fill="DAE9F7" w:themeFill="text2" w:themeFillTint="1A"/>
            <w:vAlign w:val="center"/>
            <w:hideMark/>
          </w:tcPr>
          <w:p w14:paraId="502354FA"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Cloud-delivered secure connectivity</w:t>
            </w:r>
          </w:p>
        </w:tc>
      </w:tr>
      <w:tr w:rsidR="00534E0B" w:rsidRPr="00B75A36" w14:paraId="179C1238" w14:textId="77777777" w:rsidTr="00380DAC">
        <w:trPr>
          <w:tblCellSpacing w:w="15" w:type="dxa"/>
        </w:trPr>
        <w:tc>
          <w:tcPr>
            <w:tcW w:w="1201" w:type="dxa"/>
            <w:shd w:val="clear" w:color="auto" w:fill="CAEDFB" w:themeFill="accent4" w:themeFillTint="33"/>
            <w:vAlign w:val="center"/>
            <w:hideMark/>
          </w:tcPr>
          <w:p w14:paraId="1F92BA24"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Access Control</w:t>
            </w:r>
          </w:p>
        </w:tc>
        <w:tc>
          <w:tcPr>
            <w:tcW w:w="1065" w:type="dxa"/>
            <w:shd w:val="clear" w:color="auto" w:fill="FAE2D5" w:themeFill="accent2" w:themeFillTint="33"/>
            <w:vAlign w:val="center"/>
            <w:hideMark/>
          </w:tcPr>
          <w:p w14:paraId="5AFBB125"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Network-based</w:t>
            </w:r>
          </w:p>
        </w:tc>
        <w:tc>
          <w:tcPr>
            <w:tcW w:w="1217" w:type="dxa"/>
            <w:shd w:val="clear" w:color="auto" w:fill="D9F2D0" w:themeFill="accent6" w:themeFillTint="33"/>
            <w:vAlign w:val="center"/>
            <w:hideMark/>
          </w:tcPr>
          <w:p w14:paraId="04C7CFE2"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Identity &amp; context-based</w:t>
            </w:r>
          </w:p>
        </w:tc>
        <w:tc>
          <w:tcPr>
            <w:tcW w:w="1173" w:type="dxa"/>
            <w:shd w:val="clear" w:color="auto" w:fill="DAE9F7" w:themeFill="text2" w:themeFillTint="1A"/>
            <w:vAlign w:val="center"/>
            <w:hideMark/>
          </w:tcPr>
          <w:p w14:paraId="007EB2C0"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Cloud policy-based access</w:t>
            </w:r>
          </w:p>
        </w:tc>
      </w:tr>
      <w:tr w:rsidR="00534E0B" w:rsidRPr="00B75A36" w14:paraId="5EA4B81E" w14:textId="77777777" w:rsidTr="00380DAC">
        <w:trPr>
          <w:tblCellSpacing w:w="15" w:type="dxa"/>
        </w:trPr>
        <w:tc>
          <w:tcPr>
            <w:tcW w:w="1201" w:type="dxa"/>
            <w:shd w:val="clear" w:color="auto" w:fill="CAEDFB" w:themeFill="accent4" w:themeFillTint="33"/>
            <w:vAlign w:val="center"/>
            <w:hideMark/>
          </w:tcPr>
          <w:p w14:paraId="5973B719"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Lateral Movement Risk</w:t>
            </w:r>
          </w:p>
        </w:tc>
        <w:tc>
          <w:tcPr>
            <w:tcW w:w="1065" w:type="dxa"/>
            <w:shd w:val="clear" w:color="auto" w:fill="FAE2D5" w:themeFill="accent2" w:themeFillTint="33"/>
            <w:vAlign w:val="center"/>
            <w:hideMark/>
          </w:tcPr>
          <w:p w14:paraId="47442DBC"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High</w:t>
            </w:r>
          </w:p>
        </w:tc>
        <w:tc>
          <w:tcPr>
            <w:tcW w:w="1217" w:type="dxa"/>
            <w:shd w:val="clear" w:color="auto" w:fill="D9F2D0" w:themeFill="accent6" w:themeFillTint="33"/>
            <w:vAlign w:val="center"/>
            <w:hideMark/>
          </w:tcPr>
          <w:p w14:paraId="1D9B59D2"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Low (micro-segmentation)</w:t>
            </w:r>
          </w:p>
        </w:tc>
        <w:tc>
          <w:tcPr>
            <w:tcW w:w="1173" w:type="dxa"/>
            <w:shd w:val="clear" w:color="auto" w:fill="DAE9F7" w:themeFill="text2" w:themeFillTint="1A"/>
            <w:vAlign w:val="center"/>
            <w:hideMark/>
          </w:tcPr>
          <w:p w14:paraId="6BD17C91"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Moderate</w:t>
            </w:r>
          </w:p>
        </w:tc>
      </w:tr>
      <w:tr w:rsidR="00534E0B" w:rsidRPr="00B75A36" w14:paraId="7F005541" w14:textId="77777777" w:rsidTr="00380DAC">
        <w:trPr>
          <w:tblCellSpacing w:w="15" w:type="dxa"/>
        </w:trPr>
        <w:tc>
          <w:tcPr>
            <w:tcW w:w="1201" w:type="dxa"/>
            <w:shd w:val="clear" w:color="auto" w:fill="CAEDFB" w:themeFill="accent4" w:themeFillTint="33"/>
            <w:vAlign w:val="center"/>
            <w:hideMark/>
          </w:tcPr>
          <w:p w14:paraId="70383109"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Verification Method</w:t>
            </w:r>
          </w:p>
        </w:tc>
        <w:tc>
          <w:tcPr>
            <w:tcW w:w="1065" w:type="dxa"/>
            <w:shd w:val="clear" w:color="auto" w:fill="FAE2D5" w:themeFill="accent2" w:themeFillTint="33"/>
            <w:vAlign w:val="center"/>
            <w:hideMark/>
          </w:tcPr>
          <w:p w14:paraId="36BE13D1"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One-time authentication</w:t>
            </w:r>
          </w:p>
        </w:tc>
        <w:tc>
          <w:tcPr>
            <w:tcW w:w="1217" w:type="dxa"/>
            <w:shd w:val="clear" w:color="auto" w:fill="D9F2D0" w:themeFill="accent6" w:themeFillTint="33"/>
            <w:vAlign w:val="center"/>
            <w:hideMark/>
          </w:tcPr>
          <w:p w14:paraId="350B01FB"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Continuous verification</w:t>
            </w:r>
          </w:p>
        </w:tc>
        <w:tc>
          <w:tcPr>
            <w:tcW w:w="1173" w:type="dxa"/>
            <w:shd w:val="clear" w:color="auto" w:fill="DAE9F7" w:themeFill="text2" w:themeFillTint="1A"/>
            <w:vAlign w:val="center"/>
            <w:hideMark/>
          </w:tcPr>
          <w:p w14:paraId="0257D7D9"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Policy-based validation</w:t>
            </w:r>
          </w:p>
        </w:tc>
      </w:tr>
      <w:tr w:rsidR="00534E0B" w:rsidRPr="00B75A36" w14:paraId="2EBC632A" w14:textId="77777777" w:rsidTr="00380DAC">
        <w:trPr>
          <w:tblCellSpacing w:w="15" w:type="dxa"/>
        </w:trPr>
        <w:tc>
          <w:tcPr>
            <w:tcW w:w="1201" w:type="dxa"/>
            <w:shd w:val="clear" w:color="auto" w:fill="CAEDFB" w:themeFill="accent4" w:themeFillTint="33"/>
            <w:vAlign w:val="center"/>
            <w:hideMark/>
          </w:tcPr>
          <w:p w14:paraId="4AD38C03"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Automation Level</w:t>
            </w:r>
          </w:p>
        </w:tc>
        <w:tc>
          <w:tcPr>
            <w:tcW w:w="1065" w:type="dxa"/>
            <w:shd w:val="clear" w:color="auto" w:fill="FAE2D5" w:themeFill="accent2" w:themeFillTint="33"/>
            <w:vAlign w:val="center"/>
            <w:hideMark/>
          </w:tcPr>
          <w:p w14:paraId="30AF2123"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Limited</w:t>
            </w:r>
          </w:p>
        </w:tc>
        <w:tc>
          <w:tcPr>
            <w:tcW w:w="1217" w:type="dxa"/>
            <w:shd w:val="clear" w:color="auto" w:fill="D9F2D0" w:themeFill="accent6" w:themeFillTint="33"/>
            <w:vAlign w:val="center"/>
            <w:hideMark/>
          </w:tcPr>
          <w:p w14:paraId="49971195"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High (SOAR integration)</w:t>
            </w:r>
          </w:p>
        </w:tc>
        <w:tc>
          <w:tcPr>
            <w:tcW w:w="1173" w:type="dxa"/>
            <w:shd w:val="clear" w:color="auto" w:fill="DAE9F7" w:themeFill="text2" w:themeFillTint="1A"/>
            <w:vAlign w:val="center"/>
            <w:hideMark/>
          </w:tcPr>
          <w:p w14:paraId="438A611D"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Moderate</w:t>
            </w:r>
          </w:p>
        </w:tc>
      </w:tr>
      <w:tr w:rsidR="00534E0B" w:rsidRPr="00B75A36" w14:paraId="7DBCF720" w14:textId="77777777" w:rsidTr="00380DAC">
        <w:trPr>
          <w:tblCellSpacing w:w="15" w:type="dxa"/>
        </w:trPr>
        <w:tc>
          <w:tcPr>
            <w:tcW w:w="1201" w:type="dxa"/>
            <w:shd w:val="clear" w:color="auto" w:fill="CAEDFB" w:themeFill="accent4" w:themeFillTint="33"/>
            <w:vAlign w:val="center"/>
            <w:hideMark/>
          </w:tcPr>
          <w:p w14:paraId="0C34FCA1"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Regulatory Alignment</w:t>
            </w:r>
          </w:p>
        </w:tc>
        <w:tc>
          <w:tcPr>
            <w:tcW w:w="1065" w:type="dxa"/>
            <w:shd w:val="clear" w:color="auto" w:fill="FAE2D5" w:themeFill="accent2" w:themeFillTint="33"/>
            <w:vAlign w:val="center"/>
            <w:hideMark/>
          </w:tcPr>
          <w:p w14:paraId="67CC7312"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Partial</w:t>
            </w:r>
          </w:p>
        </w:tc>
        <w:tc>
          <w:tcPr>
            <w:tcW w:w="1217" w:type="dxa"/>
            <w:shd w:val="clear" w:color="auto" w:fill="D9F2D0" w:themeFill="accent6" w:themeFillTint="33"/>
            <w:vAlign w:val="center"/>
            <w:hideMark/>
          </w:tcPr>
          <w:p w14:paraId="2967576D"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Strong (GDPR, NIS2, DORA)</w:t>
            </w:r>
          </w:p>
        </w:tc>
        <w:tc>
          <w:tcPr>
            <w:tcW w:w="1173" w:type="dxa"/>
            <w:shd w:val="clear" w:color="auto" w:fill="DAE9F7" w:themeFill="text2" w:themeFillTint="1A"/>
            <w:vAlign w:val="center"/>
            <w:hideMark/>
          </w:tcPr>
          <w:p w14:paraId="7C91BAEC" w14:textId="77777777" w:rsidR="001E3372" w:rsidRPr="00B75A36" w:rsidRDefault="001E3372" w:rsidP="009B57EA">
            <w:pPr>
              <w:spacing w:line="360" w:lineRule="auto"/>
              <w:jc w:val="left"/>
              <w:rPr>
                <w:rFonts w:asciiTheme="minorBidi" w:eastAsia="MS Mincho" w:hAnsiTheme="minorBidi" w:cstheme="minorBidi"/>
                <w:noProof/>
                <w:kern w:val="48"/>
                <w:sz w:val="16"/>
                <w:szCs w:val="16"/>
                <w:lang w:val="en-GB"/>
              </w:rPr>
            </w:pPr>
            <w:r w:rsidRPr="00B75A36">
              <w:rPr>
                <w:rFonts w:asciiTheme="minorBidi" w:eastAsia="MS Mincho" w:hAnsiTheme="minorBidi" w:cstheme="minorBidi"/>
                <w:noProof/>
                <w:kern w:val="48"/>
                <w:sz w:val="16"/>
                <w:szCs w:val="16"/>
                <w:lang w:val="en-GB"/>
              </w:rPr>
              <w:t>Connectivity-focused</w:t>
            </w:r>
          </w:p>
        </w:tc>
      </w:tr>
    </w:tbl>
    <w:p w14:paraId="2478E0B5" w14:textId="77777777" w:rsidR="001E3372" w:rsidRPr="0064550E" w:rsidRDefault="001E3372" w:rsidP="009B57EA">
      <w:pPr>
        <w:spacing w:line="360" w:lineRule="auto"/>
        <w:jc w:val="left"/>
        <w:rPr>
          <w:rFonts w:asciiTheme="minorBidi" w:eastAsia="MS Mincho" w:hAnsiTheme="minorBidi" w:cstheme="minorBidi"/>
          <w:noProof/>
          <w:kern w:val="48"/>
          <w:sz w:val="24"/>
          <w:szCs w:val="24"/>
          <w:lang w:val="en-GB"/>
        </w:rPr>
      </w:pPr>
    </w:p>
    <w:p w14:paraId="25B1174A"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 xml:space="preserve">However, critics argue that long-term empirical longitudinal studies are still </w:t>
      </w:r>
      <w:r w:rsidRPr="0064550E">
        <w:rPr>
          <w:rFonts w:asciiTheme="minorBidi" w:eastAsia="MS Mincho" w:hAnsiTheme="minorBidi" w:cstheme="minorBidi"/>
          <w:noProof/>
          <w:kern w:val="48"/>
          <w:sz w:val="24"/>
          <w:szCs w:val="24"/>
          <w:lang w:val="en-GB"/>
        </w:rPr>
        <w:lastRenderedPageBreak/>
        <w:t>limited. Some academic reviews emphasise that while breach containment improves, full elimination of systemic risk is unrealistic without complementary governance controls such as secure software development practices and workforce awareness training [10].</w:t>
      </w:r>
    </w:p>
    <w:p w14:paraId="15D728CF"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Furthermore, earlier identity-based frameworks such as BeyondCorp pioneered perimeter-less access but lacked comprehensive segmentation and policy orchestration integration found in formalised NIST ZTA models [11]. Therefore, Zero Trust can be viewed as an evolution rather than an isolated innovation.</w:t>
      </w:r>
    </w:p>
    <w:p w14:paraId="7A454624" w14:textId="14469159" w:rsidR="0064550E" w:rsidRPr="0064550E" w:rsidRDefault="008E25C5" w:rsidP="009B57EA">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4EA0D514"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VI. Anticipate, Protect, Detect and Respond Integration</w:t>
      </w:r>
    </w:p>
    <w:p w14:paraId="42BD51C2" w14:textId="77777777" w:rsidR="00562106" w:rsidRPr="00562106" w:rsidRDefault="00562106" w:rsidP="00562106">
      <w:pPr>
        <w:spacing w:line="360" w:lineRule="auto"/>
        <w:jc w:val="left"/>
        <w:rPr>
          <w:rFonts w:asciiTheme="minorBidi" w:eastAsia="MS Mincho" w:hAnsiTheme="minorBidi" w:cstheme="minorBidi"/>
          <w:noProof/>
          <w:kern w:val="48"/>
          <w:sz w:val="24"/>
          <w:szCs w:val="24"/>
          <w:lang w:val="en-GB"/>
        </w:rPr>
      </w:pPr>
      <w:r w:rsidRPr="00562106">
        <w:rPr>
          <w:rFonts w:asciiTheme="minorBidi" w:eastAsia="MS Mincho" w:hAnsiTheme="minorBidi" w:cstheme="minorBidi"/>
          <w:b/>
          <w:bCs/>
          <w:noProof/>
          <w:kern w:val="48"/>
          <w:sz w:val="24"/>
          <w:szCs w:val="24"/>
          <w:lang w:val="en-GB"/>
        </w:rPr>
        <w:t>Zero Trust Architecture</w:t>
      </w:r>
      <w:r w:rsidRPr="00562106">
        <w:rPr>
          <w:rFonts w:asciiTheme="minorBidi" w:eastAsia="MS Mincho" w:hAnsiTheme="minorBidi" w:cstheme="minorBidi"/>
          <w:noProof/>
          <w:kern w:val="48"/>
          <w:sz w:val="24"/>
          <w:szCs w:val="24"/>
          <w:lang w:val="en-GB"/>
        </w:rPr>
        <w:t xml:space="preserve"> strengthens security through four stages: anticipation, protection, detection, and response.</w:t>
      </w:r>
    </w:p>
    <w:p w14:paraId="73F660F5" w14:textId="77777777" w:rsidR="00562106" w:rsidRPr="00562106" w:rsidRDefault="00562106" w:rsidP="00562106">
      <w:pPr>
        <w:spacing w:line="360" w:lineRule="auto"/>
        <w:jc w:val="left"/>
        <w:rPr>
          <w:rFonts w:asciiTheme="minorBidi" w:eastAsia="MS Mincho" w:hAnsiTheme="minorBidi" w:cstheme="minorBidi"/>
          <w:noProof/>
          <w:kern w:val="48"/>
          <w:sz w:val="24"/>
          <w:szCs w:val="24"/>
          <w:lang w:val="en-GB"/>
        </w:rPr>
      </w:pPr>
      <w:r w:rsidRPr="00562106">
        <w:rPr>
          <w:rFonts w:asciiTheme="minorBidi" w:eastAsia="MS Mincho" w:hAnsiTheme="minorBidi" w:cstheme="minorBidi"/>
          <w:b/>
          <w:bCs/>
          <w:noProof/>
          <w:kern w:val="48"/>
          <w:sz w:val="24"/>
          <w:szCs w:val="24"/>
          <w:lang w:val="en-GB"/>
        </w:rPr>
        <w:t>Anticipation:</w:t>
      </w:r>
      <w:r w:rsidRPr="00562106">
        <w:rPr>
          <w:rFonts w:asciiTheme="minorBidi" w:eastAsia="MS Mincho" w:hAnsiTheme="minorBidi" w:cstheme="minorBidi"/>
          <w:noProof/>
          <w:kern w:val="48"/>
          <w:sz w:val="24"/>
          <w:szCs w:val="24"/>
          <w:lang w:val="en-GB"/>
        </w:rPr>
        <w:t xml:space="preserve"> continuous risk assessment using behavioural analytics and threat intelligence to predict attacks.</w:t>
      </w:r>
    </w:p>
    <w:p w14:paraId="4DF27CE8" w14:textId="77777777" w:rsidR="00562106" w:rsidRPr="00562106" w:rsidRDefault="00562106" w:rsidP="00562106">
      <w:pPr>
        <w:spacing w:line="360" w:lineRule="auto"/>
        <w:jc w:val="left"/>
        <w:rPr>
          <w:rFonts w:asciiTheme="minorBidi" w:eastAsia="MS Mincho" w:hAnsiTheme="minorBidi" w:cstheme="minorBidi"/>
          <w:noProof/>
          <w:kern w:val="48"/>
          <w:sz w:val="24"/>
          <w:szCs w:val="24"/>
          <w:lang w:val="en-GB"/>
        </w:rPr>
      </w:pPr>
      <w:r w:rsidRPr="00562106">
        <w:rPr>
          <w:rFonts w:asciiTheme="minorBidi" w:eastAsia="MS Mincho" w:hAnsiTheme="minorBidi" w:cstheme="minorBidi"/>
          <w:b/>
          <w:bCs/>
          <w:noProof/>
          <w:kern w:val="48"/>
          <w:sz w:val="24"/>
          <w:szCs w:val="24"/>
          <w:lang w:val="en-GB"/>
        </w:rPr>
        <w:t>Protection:</w:t>
      </w:r>
      <w:r w:rsidRPr="00562106">
        <w:rPr>
          <w:rFonts w:asciiTheme="minorBidi" w:eastAsia="MS Mincho" w:hAnsiTheme="minorBidi" w:cstheme="minorBidi"/>
          <w:noProof/>
          <w:kern w:val="48"/>
          <w:sz w:val="24"/>
          <w:szCs w:val="24"/>
          <w:lang w:val="en-GB"/>
        </w:rPr>
        <w:t xml:space="preserve"> controls such as multi-factor authentication, encryption, device checks, and just-in-time access enforce least-privilege security.</w:t>
      </w:r>
    </w:p>
    <w:p w14:paraId="6AAEAB51" w14:textId="77777777" w:rsidR="00562106" w:rsidRPr="00562106" w:rsidRDefault="00562106" w:rsidP="00562106">
      <w:pPr>
        <w:spacing w:line="360" w:lineRule="auto"/>
        <w:jc w:val="left"/>
        <w:rPr>
          <w:rFonts w:asciiTheme="minorBidi" w:eastAsia="MS Mincho" w:hAnsiTheme="minorBidi" w:cstheme="minorBidi"/>
          <w:noProof/>
          <w:kern w:val="48"/>
          <w:sz w:val="24"/>
          <w:szCs w:val="24"/>
          <w:lang w:val="en-GB"/>
        </w:rPr>
      </w:pPr>
      <w:r w:rsidRPr="00562106">
        <w:rPr>
          <w:rFonts w:asciiTheme="minorBidi" w:eastAsia="MS Mincho" w:hAnsiTheme="minorBidi" w:cstheme="minorBidi"/>
          <w:b/>
          <w:bCs/>
          <w:noProof/>
          <w:kern w:val="48"/>
          <w:sz w:val="24"/>
          <w:szCs w:val="24"/>
          <w:lang w:val="en-GB"/>
        </w:rPr>
        <w:t>Detection:</w:t>
      </w:r>
      <w:r w:rsidRPr="00562106">
        <w:rPr>
          <w:rFonts w:asciiTheme="minorBidi" w:eastAsia="MS Mincho" w:hAnsiTheme="minorBidi" w:cstheme="minorBidi"/>
          <w:noProof/>
          <w:kern w:val="48"/>
          <w:sz w:val="24"/>
          <w:szCs w:val="24"/>
          <w:lang w:val="en-GB"/>
        </w:rPr>
        <w:t xml:space="preserve"> integration with </w:t>
      </w:r>
      <w:r w:rsidRPr="00562106">
        <w:rPr>
          <w:rFonts w:asciiTheme="minorBidi" w:eastAsia="MS Mincho" w:hAnsiTheme="minorBidi" w:cstheme="minorBidi"/>
          <w:b/>
          <w:bCs/>
          <w:noProof/>
          <w:kern w:val="48"/>
          <w:sz w:val="24"/>
          <w:szCs w:val="24"/>
          <w:lang w:val="en-GB"/>
        </w:rPr>
        <w:t>Extended Detection and Response</w:t>
      </w:r>
      <w:r w:rsidRPr="00562106">
        <w:rPr>
          <w:rFonts w:asciiTheme="minorBidi" w:eastAsia="MS Mincho" w:hAnsiTheme="minorBidi" w:cstheme="minorBidi"/>
          <w:noProof/>
          <w:kern w:val="48"/>
          <w:sz w:val="24"/>
          <w:szCs w:val="24"/>
          <w:lang w:val="en-GB"/>
        </w:rPr>
        <w:t xml:space="preserve"> helps identify unusual activity across endpoints, networks, and cloud systems.</w:t>
      </w:r>
    </w:p>
    <w:p w14:paraId="49EF36DD" w14:textId="77777777" w:rsidR="00562106" w:rsidRPr="00562106" w:rsidRDefault="00562106" w:rsidP="00562106">
      <w:pPr>
        <w:spacing w:line="360" w:lineRule="auto"/>
        <w:jc w:val="left"/>
        <w:rPr>
          <w:rFonts w:asciiTheme="minorBidi" w:eastAsia="MS Mincho" w:hAnsiTheme="minorBidi" w:cstheme="minorBidi"/>
          <w:noProof/>
          <w:kern w:val="48"/>
          <w:sz w:val="24"/>
          <w:szCs w:val="24"/>
          <w:lang w:val="en-GB"/>
        </w:rPr>
      </w:pPr>
      <w:r w:rsidRPr="00562106">
        <w:rPr>
          <w:rFonts w:asciiTheme="minorBidi" w:eastAsia="MS Mincho" w:hAnsiTheme="minorBidi" w:cstheme="minorBidi"/>
          <w:b/>
          <w:bCs/>
          <w:noProof/>
          <w:kern w:val="48"/>
          <w:sz w:val="24"/>
          <w:szCs w:val="24"/>
          <w:lang w:val="en-GB"/>
        </w:rPr>
        <w:t>Response:</w:t>
      </w:r>
      <w:r w:rsidRPr="00562106">
        <w:rPr>
          <w:rFonts w:asciiTheme="minorBidi" w:eastAsia="MS Mincho" w:hAnsiTheme="minorBidi" w:cstheme="minorBidi"/>
          <w:noProof/>
          <w:kern w:val="48"/>
          <w:sz w:val="24"/>
          <w:szCs w:val="24"/>
          <w:lang w:val="en-GB"/>
        </w:rPr>
        <w:t xml:space="preserve"> automation allows faster isolation of threats and removal of compromised access.</w:t>
      </w:r>
    </w:p>
    <w:p w14:paraId="20BBE2A7" w14:textId="77777777" w:rsidR="00562106" w:rsidRDefault="00562106" w:rsidP="00562106">
      <w:pPr>
        <w:spacing w:line="360" w:lineRule="auto"/>
        <w:jc w:val="left"/>
        <w:rPr>
          <w:rFonts w:asciiTheme="minorBidi" w:eastAsia="MS Mincho" w:hAnsiTheme="minorBidi" w:cstheme="minorBidi"/>
          <w:noProof/>
          <w:kern w:val="48"/>
          <w:sz w:val="24"/>
          <w:szCs w:val="24"/>
          <w:lang w:val="en-GB"/>
        </w:rPr>
      </w:pPr>
      <w:r w:rsidRPr="00562106">
        <w:rPr>
          <w:rFonts w:asciiTheme="minorBidi" w:eastAsia="MS Mincho" w:hAnsiTheme="minorBidi" w:cstheme="minorBidi"/>
          <w:noProof/>
          <w:kern w:val="48"/>
          <w:sz w:val="24"/>
          <w:szCs w:val="24"/>
          <w:lang w:val="en-GB"/>
        </w:rPr>
        <w:t>However, automated responses must be carefully configured to avoid disruption from false alerts.</w:t>
      </w:r>
    </w:p>
    <w:p w14:paraId="768F8BC8" w14:textId="54B0E130" w:rsidR="0064550E" w:rsidRPr="0064550E" w:rsidRDefault="00464C0B" w:rsidP="00562106">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7BF270F6"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VII. Implementation Challenges and Organisational Barriers</w:t>
      </w:r>
    </w:p>
    <w:p w14:paraId="1EE49092" w14:textId="188769A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Despite its strategic advantages, Zero Trust implementation presents several significant challenges. Legacy infrastructure often lacks compatibility with identity federation protocols or API-based policy enforcement mechanisms. Retrofitting such systems can be financially and technically demanding [</w:t>
      </w:r>
      <w:r w:rsidR="00CA5B49" w:rsidRPr="00BB3230">
        <w:rPr>
          <w:rFonts w:asciiTheme="minorBidi" w:eastAsia="MS Mincho" w:hAnsiTheme="minorBidi" w:cstheme="minorBidi"/>
          <w:noProof/>
          <w:kern w:val="48"/>
          <w:sz w:val="24"/>
          <w:szCs w:val="24"/>
          <w:lang w:val="en-GB"/>
        </w:rPr>
        <w:t>12]</w:t>
      </w:r>
      <w:r w:rsidRPr="0064550E">
        <w:rPr>
          <w:rFonts w:asciiTheme="minorBidi" w:eastAsia="MS Mincho" w:hAnsiTheme="minorBidi" w:cstheme="minorBidi"/>
          <w:noProof/>
          <w:kern w:val="48"/>
          <w:sz w:val="24"/>
          <w:szCs w:val="24"/>
          <w:lang w:val="en-GB"/>
        </w:rPr>
        <w:t>.</w:t>
      </w:r>
    </w:p>
    <w:p w14:paraId="4630990B" w14:textId="77777777" w:rsidR="00BD795C" w:rsidRPr="00BD795C" w:rsidRDefault="00BD795C" w:rsidP="00BD795C">
      <w:pPr>
        <w:spacing w:line="360" w:lineRule="auto"/>
        <w:jc w:val="left"/>
        <w:rPr>
          <w:rFonts w:asciiTheme="minorBidi" w:eastAsia="MS Mincho" w:hAnsiTheme="minorBidi" w:cstheme="minorBidi"/>
          <w:noProof/>
          <w:kern w:val="48"/>
          <w:sz w:val="24"/>
          <w:szCs w:val="24"/>
          <w:lang w:val="en-GB"/>
        </w:rPr>
      </w:pPr>
      <w:r w:rsidRPr="00BD795C">
        <w:rPr>
          <w:rFonts w:asciiTheme="minorBidi" w:eastAsia="MS Mincho" w:hAnsiTheme="minorBidi" w:cstheme="minorBidi"/>
          <w:noProof/>
          <w:kern w:val="48"/>
          <w:sz w:val="24"/>
          <w:szCs w:val="24"/>
          <w:lang w:val="en-GB"/>
        </w:rPr>
        <w:t xml:space="preserve">Cost is a major challenge when adopting </w:t>
      </w:r>
      <w:r w:rsidRPr="00BD795C">
        <w:rPr>
          <w:rFonts w:asciiTheme="minorBidi" w:eastAsia="MS Mincho" w:hAnsiTheme="minorBidi" w:cstheme="minorBidi"/>
          <w:b/>
          <w:bCs/>
          <w:noProof/>
          <w:kern w:val="48"/>
          <w:sz w:val="24"/>
          <w:szCs w:val="24"/>
          <w:lang w:val="en-GB"/>
        </w:rPr>
        <w:t>Zero Trust Architecture</w:t>
      </w:r>
      <w:r w:rsidRPr="00BD795C">
        <w:rPr>
          <w:rFonts w:asciiTheme="minorBidi" w:eastAsia="MS Mincho" w:hAnsiTheme="minorBidi" w:cstheme="minorBidi"/>
          <w:noProof/>
          <w:kern w:val="48"/>
          <w:sz w:val="24"/>
          <w:szCs w:val="24"/>
          <w:lang w:val="en-GB"/>
        </w:rPr>
        <w:t>. Tools such as identity governance, segmentation, and endpoint detection can be expensive for small and medium organisations. Although they reduce breach costs in the long term, initial investment can be difficult.</w:t>
      </w:r>
    </w:p>
    <w:p w14:paraId="516C0FBD" w14:textId="77777777" w:rsidR="00BD795C" w:rsidRPr="00BD795C" w:rsidRDefault="00BD795C" w:rsidP="00BD795C">
      <w:pPr>
        <w:spacing w:line="360" w:lineRule="auto"/>
        <w:jc w:val="left"/>
        <w:rPr>
          <w:rFonts w:asciiTheme="minorBidi" w:eastAsia="MS Mincho" w:hAnsiTheme="minorBidi" w:cstheme="minorBidi"/>
          <w:noProof/>
          <w:kern w:val="48"/>
          <w:sz w:val="24"/>
          <w:szCs w:val="24"/>
          <w:lang w:val="en-GB"/>
        </w:rPr>
      </w:pPr>
      <w:r w:rsidRPr="00BD795C">
        <w:rPr>
          <w:rFonts w:asciiTheme="minorBidi" w:eastAsia="MS Mincho" w:hAnsiTheme="minorBidi" w:cstheme="minorBidi"/>
          <w:noProof/>
          <w:kern w:val="48"/>
          <w:sz w:val="24"/>
          <w:szCs w:val="24"/>
          <w:lang w:val="en-GB"/>
        </w:rPr>
        <w:t>Organisational resistance is another issue. Staff used to broad access may resist least-privilege controls, so cultural change is needed along with technical changes.</w:t>
      </w:r>
    </w:p>
    <w:p w14:paraId="39A4B035" w14:textId="77777777" w:rsidR="00BD795C" w:rsidRPr="00BD795C" w:rsidRDefault="00BD795C" w:rsidP="00BD795C">
      <w:pPr>
        <w:spacing w:line="360" w:lineRule="auto"/>
        <w:jc w:val="left"/>
        <w:rPr>
          <w:rFonts w:asciiTheme="minorBidi" w:eastAsia="MS Mincho" w:hAnsiTheme="minorBidi" w:cstheme="minorBidi"/>
          <w:noProof/>
          <w:kern w:val="48"/>
          <w:sz w:val="24"/>
          <w:szCs w:val="24"/>
          <w:lang w:val="en-GB"/>
        </w:rPr>
      </w:pPr>
      <w:r w:rsidRPr="00BD795C">
        <w:rPr>
          <w:rFonts w:asciiTheme="minorBidi" w:eastAsia="MS Mincho" w:hAnsiTheme="minorBidi" w:cstheme="minorBidi"/>
          <w:noProof/>
          <w:kern w:val="48"/>
          <w:sz w:val="24"/>
          <w:szCs w:val="24"/>
          <w:lang w:val="en-GB"/>
        </w:rPr>
        <w:t xml:space="preserve">Policy management can also become complex. Very strict policies reduce productivity, while weak policies reduce security. Studies suggest aligning Zero Trust with frameworks like </w:t>
      </w:r>
      <w:r w:rsidRPr="00BD795C">
        <w:rPr>
          <w:rFonts w:asciiTheme="minorBidi" w:eastAsia="MS Mincho" w:hAnsiTheme="minorBidi" w:cstheme="minorBidi"/>
          <w:b/>
          <w:bCs/>
          <w:noProof/>
          <w:kern w:val="48"/>
          <w:sz w:val="24"/>
          <w:szCs w:val="24"/>
          <w:lang w:val="en-GB"/>
        </w:rPr>
        <w:t>ISO/IEC 27001</w:t>
      </w:r>
      <w:r w:rsidRPr="00BD795C">
        <w:rPr>
          <w:rFonts w:asciiTheme="minorBidi" w:eastAsia="MS Mincho" w:hAnsiTheme="minorBidi" w:cstheme="minorBidi"/>
          <w:noProof/>
          <w:kern w:val="48"/>
          <w:sz w:val="24"/>
          <w:szCs w:val="24"/>
          <w:lang w:val="en-GB"/>
        </w:rPr>
        <w:t xml:space="preserve"> for better governance.</w:t>
      </w:r>
    </w:p>
    <w:p w14:paraId="7E08C654" w14:textId="77777777" w:rsidR="00BD795C" w:rsidRPr="00BD795C" w:rsidRDefault="00BD795C" w:rsidP="00BD795C">
      <w:pPr>
        <w:spacing w:line="360" w:lineRule="auto"/>
        <w:jc w:val="left"/>
        <w:rPr>
          <w:rFonts w:asciiTheme="minorBidi" w:eastAsia="MS Mincho" w:hAnsiTheme="minorBidi" w:cstheme="minorBidi"/>
          <w:noProof/>
          <w:kern w:val="48"/>
          <w:sz w:val="24"/>
          <w:szCs w:val="24"/>
          <w:lang w:val="en-GB"/>
        </w:rPr>
      </w:pPr>
      <w:r w:rsidRPr="00BD795C">
        <w:rPr>
          <w:rFonts w:asciiTheme="minorBidi" w:eastAsia="MS Mincho" w:hAnsiTheme="minorBidi" w:cstheme="minorBidi"/>
          <w:noProof/>
          <w:kern w:val="48"/>
          <w:sz w:val="24"/>
          <w:szCs w:val="24"/>
          <w:lang w:val="en-GB"/>
        </w:rPr>
        <w:lastRenderedPageBreak/>
        <w:t>Finally, centralised identity systems create risk. If authentication services fail or are compromised, many operations can stop. Backup systems and resilience planning are therefore necessary.</w:t>
      </w:r>
    </w:p>
    <w:p w14:paraId="70C188CB" w14:textId="77A1FAE9" w:rsidR="0064550E" w:rsidRPr="0064550E" w:rsidRDefault="008E25C5" w:rsidP="009B57EA">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4BA9C496"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VIII. Regulatory and Compliance Alignment</w:t>
      </w:r>
    </w:p>
    <w:p w14:paraId="0082F466" w14:textId="77777777" w:rsidR="00DA7B31" w:rsidRPr="00DA7B31" w:rsidRDefault="0064550E" w:rsidP="00DA7B31">
      <w:pPr>
        <w:spacing w:line="360" w:lineRule="auto"/>
        <w:jc w:val="left"/>
        <w:rPr>
          <w:rFonts w:asciiTheme="minorBidi" w:eastAsia="MS Mincho" w:hAnsiTheme="minorBidi" w:cstheme="minorBidi"/>
          <w:noProof/>
          <w:kern w:val="48"/>
          <w:lang w:val="en-GB"/>
        </w:rPr>
      </w:pPr>
      <w:r w:rsidRPr="0064550E">
        <w:rPr>
          <w:rFonts w:asciiTheme="minorBidi" w:eastAsia="MS Mincho" w:hAnsiTheme="minorBidi" w:cstheme="minorBidi"/>
          <w:noProof/>
          <w:kern w:val="48"/>
          <w:sz w:val="24"/>
          <w:szCs w:val="24"/>
          <w:lang w:val="en-GB"/>
        </w:rPr>
        <w:t xml:space="preserve">Zero Trust Architecture demonstrates strong alignment with contemporary regulatory frameworks. </w:t>
      </w:r>
      <w:r w:rsidR="00DA7B31" w:rsidRPr="00DA7B31">
        <w:rPr>
          <w:rFonts w:asciiTheme="minorBidi" w:eastAsia="MS Mincho" w:hAnsiTheme="minorBidi" w:cstheme="minorBidi"/>
          <w:b/>
          <w:bCs/>
          <w:noProof/>
          <w:kern w:val="48"/>
          <w:lang w:val="en-GB"/>
        </w:rPr>
        <w:t>Simplified and shorter version:</w:t>
      </w:r>
    </w:p>
    <w:p w14:paraId="3AE6A793" w14:textId="77777777" w:rsidR="00DA7B31" w:rsidRPr="00DA7B31" w:rsidRDefault="00DA7B31" w:rsidP="00DA7B31">
      <w:pPr>
        <w:spacing w:line="360" w:lineRule="auto"/>
        <w:jc w:val="left"/>
        <w:rPr>
          <w:rFonts w:asciiTheme="minorBidi" w:eastAsia="MS Mincho" w:hAnsiTheme="minorBidi" w:cstheme="minorBidi"/>
          <w:noProof/>
          <w:kern w:val="48"/>
          <w:sz w:val="24"/>
          <w:szCs w:val="24"/>
          <w:lang w:val="en-GB"/>
        </w:rPr>
      </w:pPr>
      <w:r w:rsidRPr="00DA7B31">
        <w:rPr>
          <w:rFonts w:asciiTheme="minorBidi" w:eastAsia="MS Mincho" w:hAnsiTheme="minorBidi" w:cstheme="minorBidi"/>
          <w:noProof/>
          <w:kern w:val="48"/>
          <w:sz w:val="24"/>
          <w:szCs w:val="24"/>
          <w:lang w:val="en-GB"/>
        </w:rPr>
        <w:t xml:space="preserve">The </w:t>
      </w:r>
      <w:r w:rsidRPr="00DA7B31">
        <w:rPr>
          <w:rFonts w:asciiTheme="minorBidi" w:eastAsia="MS Mincho" w:hAnsiTheme="minorBidi" w:cstheme="minorBidi"/>
          <w:b/>
          <w:bCs/>
          <w:noProof/>
          <w:kern w:val="48"/>
          <w:sz w:val="24"/>
          <w:szCs w:val="24"/>
          <w:lang w:val="en-GB"/>
        </w:rPr>
        <w:t>General Data Protection Regulation</w:t>
      </w:r>
      <w:r w:rsidRPr="00DA7B31">
        <w:rPr>
          <w:rFonts w:asciiTheme="minorBidi" w:eastAsia="MS Mincho" w:hAnsiTheme="minorBidi" w:cstheme="minorBidi"/>
          <w:noProof/>
          <w:kern w:val="48"/>
          <w:sz w:val="24"/>
          <w:szCs w:val="24"/>
          <w:lang w:val="en-GB"/>
        </w:rPr>
        <w:t xml:space="preserve"> requires organisations to protect data by design and limit access to only what is necessary (least privilege).</w:t>
      </w:r>
    </w:p>
    <w:p w14:paraId="3DB786EC" w14:textId="77777777" w:rsidR="00DA7B31" w:rsidRPr="00DA7B31" w:rsidRDefault="00DA7B31" w:rsidP="00DA7B31">
      <w:pPr>
        <w:spacing w:line="360" w:lineRule="auto"/>
        <w:jc w:val="left"/>
        <w:rPr>
          <w:rFonts w:asciiTheme="minorBidi" w:eastAsia="MS Mincho" w:hAnsiTheme="minorBidi" w:cstheme="minorBidi"/>
          <w:noProof/>
          <w:kern w:val="48"/>
          <w:sz w:val="24"/>
          <w:szCs w:val="24"/>
          <w:lang w:val="en-GB"/>
        </w:rPr>
      </w:pPr>
      <w:r w:rsidRPr="00DA7B31">
        <w:rPr>
          <w:rFonts w:asciiTheme="minorBidi" w:eastAsia="MS Mincho" w:hAnsiTheme="minorBidi" w:cstheme="minorBidi"/>
          <w:noProof/>
          <w:kern w:val="48"/>
          <w:sz w:val="24"/>
          <w:szCs w:val="24"/>
          <w:lang w:val="en-GB"/>
        </w:rPr>
        <w:t xml:space="preserve">The </w:t>
      </w:r>
      <w:r w:rsidRPr="00DA7B31">
        <w:rPr>
          <w:rFonts w:asciiTheme="minorBidi" w:eastAsia="MS Mincho" w:hAnsiTheme="minorBidi" w:cstheme="minorBidi"/>
          <w:b/>
          <w:bCs/>
          <w:noProof/>
          <w:kern w:val="48"/>
          <w:sz w:val="24"/>
          <w:szCs w:val="24"/>
          <w:lang w:val="en-GB"/>
        </w:rPr>
        <w:t>NIS2 Directive</w:t>
      </w:r>
      <w:r w:rsidRPr="00DA7B31">
        <w:rPr>
          <w:rFonts w:asciiTheme="minorBidi" w:eastAsia="MS Mincho" w:hAnsiTheme="minorBidi" w:cstheme="minorBidi"/>
          <w:noProof/>
          <w:kern w:val="48"/>
          <w:sz w:val="24"/>
          <w:szCs w:val="24"/>
          <w:lang w:val="en-GB"/>
        </w:rPr>
        <w:t xml:space="preserve"> requires strong cybersecurity risk management for important organisations in the EU. Zero Trust supports this by using continuous monitoring and proactive risk control.</w:t>
      </w:r>
    </w:p>
    <w:p w14:paraId="329651D3" w14:textId="44BFECD7" w:rsidR="0064550E" w:rsidRPr="0064550E" w:rsidRDefault="0064550E" w:rsidP="00DA7B31">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[13].</w:t>
      </w:r>
    </w:p>
    <w:p w14:paraId="4BCDD18F" w14:textId="2F15F5AE"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The Digital Operational Resilience Act emphasises ICT risk management, incident reporting, and resilience testing for financial institutions. Zero Trust’s integrated monitoring and automated response capabilities enhance regulatory conformity within such contexts.</w:t>
      </w:r>
    </w:p>
    <w:p w14:paraId="31ED46D9" w14:textId="6FCF17A1"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 xml:space="preserve">In addition, ISO/IEC 27001:2022 requires systematic risk assessment and control implementation, which Zero Trust operationalises through contextual policy enforcement and adaptive access </w:t>
      </w:r>
      <w:r w:rsidRPr="0064550E">
        <w:rPr>
          <w:rFonts w:asciiTheme="minorBidi" w:eastAsia="MS Mincho" w:hAnsiTheme="minorBidi" w:cstheme="minorBidi"/>
          <w:noProof/>
          <w:kern w:val="48"/>
          <w:sz w:val="24"/>
          <w:szCs w:val="24"/>
          <w:lang w:val="en-GB"/>
        </w:rPr>
        <w:t>governance. Consequently, Zero Trust can strengthen regulatory posture when embedded within structured compliance frameworks.</w:t>
      </w:r>
    </w:p>
    <w:p w14:paraId="76C3BBE2" w14:textId="0762D2BC" w:rsidR="0064550E" w:rsidRPr="0064550E" w:rsidRDefault="008E25C5" w:rsidP="009B57EA">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4E0BD120"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IX. Critical Limitations and Scholarly Debate</w:t>
      </w:r>
    </w:p>
    <w:p w14:paraId="36629490" w14:textId="30B04AC2"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While Zero Trust significantly reduces lateral movement and improves visibility, it does not eliminate cybersecurity risk. Systematic reviews conclude that Zero Trust improves breach containment but must operate alongside secure development practices, vulnerability management, and workforce awareness initiatives.</w:t>
      </w:r>
    </w:p>
    <w:p w14:paraId="7EEA2D47" w14:textId="019D470D"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Operational complexity may increase administrative burden. Additionally, increased authentication prompts may reduce user experience quality if not optimised. Some researchers caution that excessive reliance on AI-driven behavioural analytics may introduce algorithmic bias or false positives requiring manual oversight.</w:t>
      </w:r>
    </w:p>
    <w:p w14:paraId="78D7FC3E"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Moreover, Zero Trust cannot fully mitigate social engineering attacks where legitimate credentials are voluntarily disclosed. Therefore, human-centric risk remains a persistent vulnerability regardless of architectural sophistication.</w:t>
      </w:r>
    </w:p>
    <w:p w14:paraId="10F4D5AE" w14:textId="2324962A" w:rsidR="0064550E" w:rsidRPr="0064550E" w:rsidRDefault="008E25C5" w:rsidP="009B57EA">
      <w:pPr>
        <w:spacing w:line="360" w:lineRule="auto"/>
        <w:jc w:val="left"/>
        <w:rPr>
          <w:rFonts w:asciiTheme="minorBidi" w:eastAsia="MS Mincho" w:hAnsiTheme="minorBidi" w:cstheme="minorBidi"/>
          <w:noProof/>
          <w:kern w:val="48"/>
          <w:sz w:val="24"/>
          <w:szCs w:val="24"/>
          <w:lang w:val="en-GB"/>
        </w:rPr>
      </w:pPr>
      <w:r w:rsidRPr="00BB3230">
        <w:rPr>
          <w:rFonts w:asciiTheme="minorBidi" w:eastAsia="MS Mincho" w:hAnsiTheme="minorBidi" w:cstheme="minorBidi"/>
          <w:noProof/>
          <w:kern w:val="48"/>
          <w:sz w:val="24"/>
          <w:szCs w:val="24"/>
          <w:lang w:val="en-GB"/>
        </w:rPr>
        <w:t xml:space="preserve"> </w:t>
      </w:r>
    </w:p>
    <w:p w14:paraId="1BB63121"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X. Future Directions</w:t>
      </w:r>
    </w:p>
    <w:p w14:paraId="78A683DD" w14:textId="2D3CE226" w:rsidR="005C4806" w:rsidRPr="005C4806" w:rsidRDefault="005C4806" w:rsidP="00FA0385">
      <w:pPr>
        <w:spacing w:line="360" w:lineRule="auto"/>
        <w:jc w:val="left"/>
        <w:rPr>
          <w:rFonts w:asciiTheme="minorBidi" w:eastAsia="MS Mincho" w:hAnsiTheme="minorBidi" w:cstheme="minorBidi"/>
          <w:noProof/>
          <w:kern w:val="48"/>
          <w:sz w:val="24"/>
          <w:szCs w:val="24"/>
          <w:lang w:val="en-GB"/>
        </w:rPr>
      </w:pPr>
      <w:r w:rsidRPr="005C4806">
        <w:rPr>
          <w:rFonts w:asciiTheme="minorBidi" w:eastAsia="MS Mincho" w:hAnsiTheme="minorBidi" w:cstheme="minorBidi"/>
          <w:noProof/>
          <w:kern w:val="48"/>
          <w:sz w:val="24"/>
          <w:szCs w:val="24"/>
          <w:lang w:val="en-GB"/>
        </w:rPr>
        <w:t xml:space="preserve">Future studies suggest that </w:t>
      </w:r>
      <w:r w:rsidR="001F2ED2">
        <w:rPr>
          <w:rFonts w:asciiTheme="minorBidi" w:eastAsia="MS Mincho" w:hAnsiTheme="minorBidi" w:cstheme="minorBidi"/>
          <w:noProof/>
          <w:kern w:val="48"/>
          <w:sz w:val="24"/>
          <w:szCs w:val="24"/>
          <w:lang w:val="en-GB"/>
        </w:rPr>
        <w:t>Zero</w:t>
      </w:r>
      <w:r w:rsidRPr="005C4806">
        <w:rPr>
          <w:rFonts w:asciiTheme="minorBidi" w:eastAsia="MS Mincho" w:hAnsiTheme="minorBidi" w:cstheme="minorBidi"/>
          <w:noProof/>
          <w:kern w:val="48"/>
          <w:sz w:val="24"/>
          <w:szCs w:val="24"/>
          <w:lang w:val="en-GB"/>
        </w:rPr>
        <w:t xml:space="preserve"> Trust Architecture</w:t>
      </w:r>
      <w:r w:rsidR="001F2ED2">
        <w:rPr>
          <w:rFonts w:asciiTheme="minorBidi" w:eastAsia="MS Mincho" w:hAnsiTheme="minorBidi" w:cstheme="minorBidi"/>
          <w:noProof/>
          <w:kern w:val="48"/>
          <w:sz w:val="24"/>
          <w:szCs w:val="24"/>
          <w:lang w:val="en-GB"/>
        </w:rPr>
        <w:t xml:space="preserve"> </w:t>
      </w:r>
      <w:r w:rsidRPr="005C4806">
        <w:rPr>
          <w:rFonts w:asciiTheme="minorBidi" w:eastAsia="MS Mincho" w:hAnsiTheme="minorBidi" w:cstheme="minorBidi"/>
          <w:noProof/>
          <w:kern w:val="48"/>
          <w:sz w:val="24"/>
          <w:szCs w:val="24"/>
          <w:lang w:val="en-GB"/>
        </w:rPr>
        <w:t xml:space="preserve">may combine with Secure </w:t>
      </w:r>
      <w:r w:rsidRPr="005C4806">
        <w:rPr>
          <w:rFonts w:asciiTheme="minorBidi" w:eastAsia="MS Mincho" w:hAnsiTheme="minorBidi" w:cstheme="minorBidi"/>
          <w:noProof/>
          <w:kern w:val="48"/>
          <w:sz w:val="24"/>
          <w:szCs w:val="24"/>
          <w:lang w:val="en-GB"/>
        </w:rPr>
        <w:lastRenderedPageBreak/>
        <w:t>Access Service Edge</w:t>
      </w:r>
      <w:r w:rsidR="001F2ED2">
        <w:rPr>
          <w:rFonts w:asciiTheme="minorBidi" w:eastAsia="MS Mincho" w:hAnsiTheme="minorBidi" w:cstheme="minorBidi"/>
          <w:noProof/>
          <w:kern w:val="48"/>
          <w:sz w:val="24"/>
          <w:szCs w:val="24"/>
          <w:lang w:val="en-GB"/>
        </w:rPr>
        <w:t xml:space="preserve"> </w:t>
      </w:r>
      <w:r w:rsidRPr="005C4806">
        <w:rPr>
          <w:rFonts w:asciiTheme="minorBidi" w:eastAsia="MS Mincho" w:hAnsiTheme="minorBidi" w:cstheme="minorBidi"/>
          <w:noProof/>
          <w:kern w:val="48"/>
          <w:sz w:val="24"/>
          <w:szCs w:val="24"/>
          <w:lang w:val="en-GB"/>
        </w:rPr>
        <w:t>to merge network and security services in cloud systems.</w:t>
      </w:r>
    </w:p>
    <w:p w14:paraId="37878C51" w14:textId="38AD922C" w:rsidR="0064550E" w:rsidRPr="0064550E" w:rsidRDefault="005C4806" w:rsidP="005C4806">
      <w:pPr>
        <w:spacing w:line="360" w:lineRule="auto"/>
        <w:jc w:val="left"/>
        <w:rPr>
          <w:rFonts w:asciiTheme="minorBidi" w:eastAsia="MS Mincho" w:hAnsiTheme="minorBidi" w:cstheme="minorBidi"/>
          <w:noProof/>
          <w:kern w:val="48"/>
          <w:sz w:val="24"/>
          <w:szCs w:val="24"/>
          <w:lang w:val="en-GB"/>
        </w:rPr>
      </w:pPr>
      <w:r w:rsidRPr="005C4806">
        <w:rPr>
          <w:rFonts w:asciiTheme="minorBidi" w:eastAsia="MS Mincho" w:hAnsiTheme="minorBidi" w:cstheme="minorBidi"/>
          <w:noProof/>
          <w:kern w:val="48"/>
          <w:sz w:val="24"/>
          <w:szCs w:val="24"/>
          <w:lang w:val="en-GB"/>
        </w:rPr>
        <w:t>AI-based adaptive access control could also improve decision accuracy by analysing user context</w:t>
      </w:r>
      <w:r>
        <w:rPr>
          <w:rFonts w:asciiTheme="minorBidi" w:eastAsia="MS Mincho" w:hAnsiTheme="minorBidi" w:cstheme="minorBidi"/>
          <w:noProof/>
          <w:kern w:val="48"/>
          <w:sz w:val="24"/>
          <w:szCs w:val="24"/>
          <w:lang w:val="en-GB"/>
        </w:rPr>
        <w:t xml:space="preserve"> </w:t>
      </w:r>
      <w:r w:rsidR="0064550E" w:rsidRPr="0064550E">
        <w:rPr>
          <w:rFonts w:asciiTheme="minorBidi" w:eastAsia="MS Mincho" w:hAnsiTheme="minorBidi" w:cstheme="minorBidi"/>
          <w:noProof/>
          <w:kern w:val="48"/>
          <w:sz w:val="24"/>
          <w:szCs w:val="24"/>
          <w:lang w:val="en-GB"/>
        </w:rPr>
        <w:t>[</w:t>
      </w:r>
      <w:r w:rsidR="003A1F32" w:rsidRPr="00BB3230">
        <w:rPr>
          <w:rFonts w:asciiTheme="minorBidi" w:eastAsia="MS Mincho" w:hAnsiTheme="minorBidi" w:cstheme="minorBidi"/>
          <w:noProof/>
          <w:kern w:val="48"/>
          <w:sz w:val="24"/>
          <w:szCs w:val="24"/>
          <w:lang w:val="en-GB"/>
        </w:rPr>
        <w:t>14</w:t>
      </w:r>
      <w:r w:rsidR="0064550E" w:rsidRPr="0064550E">
        <w:rPr>
          <w:rFonts w:asciiTheme="minorBidi" w:eastAsia="MS Mincho" w:hAnsiTheme="minorBidi" w:cstheme="minorBidi"/>
          <w:noProof/>
          <w:kern w:val="48"/>
          <w:sz w:val="24"/>
          <w:szCs w:val="24"/>
          <w:lang w:val="en-GB"/>
        </w:rPr>
        <w:t>].</w:t>
      </w:r>
    </w:p>
    <w:p w14:paraId="661EC448" w14:textId="77777777" w:rsidR="0064550E" w:rsidRPr="0064550E" w:rsidRDefault="0064550E" w:rsidP="009B57EA">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Post-quantum cryptographic research may further influence Zero Trust architectures as encryption standards evolve. Additionally, decentralised identity frameworks may reduce centralised authentication bottlenecks.</w:t>
      </w:r>
    </w:p>
    <w:p w14:paraId="1B2C85E2" w14:textId="42DBAE46" w:rsidR="0064550E" w:rsidRDefault="0064550E" w:rsidP="00FA0385">
      <w:pPr>
        <w:spacing w:line="360" w:lineRule="auto"/>
        <w:jc w:val="left"/>
        <w:rPr>
          <w:rFonts w:asciiTheme="minorBidi" w:eastAsia="MS Mincho" w:hAnsiTheme="minorBidi" w:cstheme="minorBidi"/>
          <w:noProof/>
          <w:kern w:val="48"/>
          <w:sz w:val="24"/>
          <w:szCs w:val="24"/>
          <w:lang w:val="en-GB"/>
        </w:rPr>
      </w:pPr>
      <w:r w:rsidRPr="0064550E">
        <w:rPr>
          <w:rFonts w:asciiTheme="minorBidi" w:eastAsia="MS Mincho" w:hAnsiTheme="minorBidi" w:cstheme="minorBidi"/>
          <w:noProof/>
          <w:kern w:val="48"/>
          <w:sz w:val="24"/>
          <w:szCs w:val="24"/>
          <w:lang w:val="en-GB"/>
        </w:rPr>
        <w:t>Zero Trust is therefore best understood as an evolving architectural philosophy rather than a static implementation blueprint.</w:t>
      </w:r>
    </w:p>
    <w:p w14:paraId="5412CC9E" w14:textId="77777777" w:rsidR="00BD795C" w:rsidRPr="0064550E" w:rsidRDefault="00BD795C" w:rsidP="00FA0385">
      <w:pPr>
        <w:spacing w:line="360" w:lineRule="auto"/>
        <w:jc w:val="left"/>
        <w:rPr>
          <w:rFonts w:asciiTheme="minorBidi" w:eastAsia="MS Mincho" w:hAnsiTheme="minorBidi" w:cstheme="minorBidi"/>
          <w:noProof/>
          <w:kern w:val="48"/>
          <w:sz w:val="24"/>
          <w:szCs w:val="24"/>
          <w:lang w:val="en-GB"/>
        </w:rPr>
      </w:pPr>
    </w:p>
    <w:p w14:paraId="1618E128"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XI. Conclusion</w:t>
      </w:r>
    </w:p>
    <w:p w14:paraId="3224F0CA" w14:textId="77777777" w:rsidR="00E71D5E" w:rsidRPr="00E71D5E" w:rsidRDefault="00E71D5E" w:rsidP="00E71D5E">
      <w:pPr>
        <w:spacing w:line="360" w:lineRule="auto"/>
        <w:jc w:val="left"/>
        <w:rPr>
          <w:rFonts w:asciiTheme="minorBidi" w:eastAsia="MS Mincho" w:hAnsiTheme="minorBidi" w:cstheme="minorBidi"/>
          <w:noProof/>
          <w:kern w:val="48"/>
          <w:sz w:val="24"/>
          <w:szCs w:val="24"/>
          <w:lang w:val="en-GB"/>
        </w:rPr>
      </w:pPr>
      <w:r w:rsidRPr="00E71D5E">
        <w:rPr>
          <w:rFonts w:asciiTheme="minorBidi" w:eastAsia="MS Mincho" w:hAnsiTheme="minorBidi" w:cstheme="minorBidi"/>
          <w:noProof/>
          <w:kern w:val="48"/>
          <w:sz w:val="24"/>
          <w:szCs w:val="24"/>
          <w:lang w:val="en-GB"/>
        </w:rPr>
        <w:t>Zero Trust Architecture represents a major shift in cybersecurity governance, replacing implicit network trust with identity-based continuous verification to overcome the limits of perimeter models in distributed environments.</w:t>
      </w:r>
    </w:p>
    <w:p w14:paraId="4E36317A" w14:textId="77777777" w:rsidR="00E71D5E" w:rsidRPr="00E71D5E" w:rsidRDefault="00E71D5E" w:rsidP="00E71D5E">
      <w:pPr>
        <w:spacing w:line="360" w:lineRule="auto"/>
        <w:jc w:val="left"/>
        <w:rPr>
          <w:rFonts w:asciiTheme="minorBidi" w:eastAsia="MS Mincho" w:hAnsiTheme="minorBidi" w:cstheme="minorBidi"/>
          <w:noProof/>
          <w:kern w:val="48"/>
          <w:sz w:val="24"/>
          <w:szCs w:val="24"/>
          <w:lang w:val="en-GB"/>
        </w:rPr>
      </w:pPr>
      <w:r w:rsidRPr="00E71D5E">
        <w:rPr>
          <w:rFonts w:asciiTheme="minorBidi" w:eastAsia="MS Mincho" w:hAnsiTheme="minorBidi" w:cstheme="minorBidi"/>
          <w:noProof/>
          <w:kern w:val="48"/>
          <w:sz w:val="24"/>
          <w:szCs w:val="24"/>
          <w:lang w:val="en-GB"/>
        </w:rPr>
        <w:t>Despite challenges such as implementation complexity, cost, and organisational resistance, evidence shows improved breach containment, greater visibility, and stronger regulatory alignment when applied within mature governance structures.</w:t>
      </w:r>
    </w:p>
    <w:p w14:paraId="1014E2B9" w14:textId="77777777" w:rsidR="00E71D5E" w:rsidRPr="00E71D5E" w:rsidRDefault="00E71D5E" w:rsidP="00E71D5E">
      <w:pPr>
        <w:spacing w:line="360" w:lineRule="auto"/>
        <w:jc w:val="left"/>
        <w:rPr>
          <w:rFonts w:asciiTheme="minorBidi" w:eastAsia="MS Mincho" w:hAnsiTheme="minorBidi" w:cstheme="minorBidi"/>
          <w:noProof/>
          <w:kern w:val="48"/>
          <w:sz w:val="24"/>
          <w:szCs w:val="24"/>
          <w:lang w:val="en-GB"/>
        </w:rPr>
      </w:pPr>
      <w:r w:rsidRPr="00E71D5E">
        <w:rPr>
          <w:rFonts w:asciiTheme="minorBidi" w:eastAsia="MS Mincho" w:hAnsiTheme="minorBidi" w:cstheme="minorBidi"/>
          <w:noProof/>
          <w:kern w:val="48"/>
          <w:sz w:val="24"/>
          <w:szCs w:val="24"/>
          <w:lang w:val="en-GB"/>
        </w:rPr>
        <w:t xml:space="preserve">Zero Trust is not a product but a comprehensive transformation strategy requiring architectural integration, cultural change, and continuous refinement. When systematically governed, it provides a strong foundation for resilient data </w:t>
      </w:r>
      <w:r w:rsidRPr="00E71D5E">
        <w:rPr>
          <w:rFonts w:asciiTheme="minorBidi" w:eastAsia="MS Mincho" w:hAnsiTheme="minorBidi" w:cstheme="minorBidi"/>
          <w:noProof/>
          <w:kern w:val="48"/>
          <w:sz w:val="24"/>
          <w:szCs w:val="24"/>
          <w:lang w:val="en-GB"/>
        </w:rPr>
        <w:t>protection and compliance in modern enterprises.</w:t>
      </w:r>
    </w:p>
    <w:p w14:paraId="2C5ED984" w14:textId="767427F4" w:rsidR="0064550E" w:rsidRPr="0064550E" w:rsidRDefault="00E71D5E" w:rsidP="009B57EA">
      <w:pPr>
        <w:spacing w:line="360" w:lineRule="auto"/>
        <w:jc w:val="left"/>
        <w:rPr>
          <w:rFonts w:asciiTheme="minorBidi" w:eastAsia="MS Mincho" w:hAnsiTheme="minorBidi" w:cstheme="minorBidi"/>
          <w:noProof/>
          <w:kern w:val="48"/>
          <w:sz w:val="24"/>
          <w:szCs w:val="24"/>
          <w:lang w:val="en-GB"/>
        </w:rPr>
      </w:pPr>
      <w:r>
        <w:rPr>
          <w:rFonts w:asciiTheme="minorBidi" w:eastAsia="MS Mincho" w:hAnsiTheme="minorBidi" w:cstheme="minorBidi"/>
          <w:noProof/>
          <w:kern w:val="48"/>
          <w:sz w:val="24"/>
          <w:szCs w:val="24"/>
          <w:lang w:val="en-GB"/>
        </w:rPr>
        <w:t xml:space="preserve">  </w:t>
      </w:r>
      <w:r w:rsidR="008E25C5" w:rsidRPr="00BB3230">
        <w:rPr>
          <w:rFonts w:asciiTheme="minorBidi" w:eastAsia="MS Mincho" w:hAnsiTheme="minorBidi" w:cstheme="minorBidi"/>
          <w:noProof/>
          <w:kern w:val="48"/>
          <w:sz w:val="24"/>
          <w:szCs w:val="24"/>
          <w:lang w:val="en-GB"/>
        </w:rPr>
        <w:t xml:space="preserve"> </w:t>
      </w:r>
    </w:p>
    <w:p w14:paraId="4DCB70CC" w14:textId="77777777" w:rsidR="0064550E" w:rsidRPr="0064550E" w:rsidRDefault="0064550E" w:rsidP="009B57EA">
      <w:pPr>
        <w:spacing w:line="360" w:lineRule="auto"/>
        <w:jc w:val="left"/>
        <w:rPr>
          <w:rFonts w:asciiTheme="minorBidi" w:eastAsia="MS Mincho" w:hAnsiTheme="minorBidi" w:cstheme="minorBidi"/>
          <w:b/>
          <w:bCs/>
          <w:noProof/>
          <w:kern w:val="48"/>
          <w:sz w:val="24"/>
          <w:szCs w:val="24"/>
          <w:lang w:val="en-GB"/>
        </w:rPr>
      </w:pPr>
      <w:r w:rsidRPr="0064550E">
        <w:rPr>
          <w:rFonts w:asciiTheme="minorBidi" w:eastAsia="MS Mincho" w:hAnsiTheme="minorBidi" w:cstheme="minorBidi"/>
          <w:b/>
          <w:bCs/>
          <w:noProof/>
          <w:kern w:val="48"/>
          <w:sz w:val="24"/>
          <w:szCs w:val="24"/>
          <w:lang w:val="en-GB"/>
        </w:rPr>
        <w:t>References (IEEE Style – Sequential Order)</w:t>
      </w:r>
    </w:p>
    <w:p w14:paraId="5754E73E" w14:textId="6D9737DA" w:rsidR="0016321C" w:rsidRDefault="0016321C" w:rsidP="0016321C">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[1] </w:t>
      </w:r>
      <w:r>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S. Rose, O. Borchert, S. Mitchell, and S. Connelly, "Zero Trust Architecture," NIST Special Publication 800-207, Aug. 2020. </w:t>
      </w:r>
    </w:p>
    <w:p w14:paraId="5DB2A2BF" w14:textId="77777777" w:rsidR="0016321C" w:rsidRPr="0016321C" w:rsidRDefault="0016321C" w:rsidP="0016321C">
      <w:pPr>
        <w:spacing w:line="360" w:lineRule="auto"/>
        <w:jc w:val="left"/>
        <w:rPr>
          <w:rFonts w:asciiTheme="minorBidi" w:eastAsia="MS Mincho" w:hAnsiTheme="minorBidi" w:cstheme="minorBidi"/>
          <w:noProof/>
          <w:kern w:val="48"/>
          <w:sz w:val="24"/>
          <w:szCs w:val="24"/>
          <w:lang w:val="en-GB"/>
        </w:rPr>
      </w:pPr>
    </w:p>
    <w:p w14:paraId="47F4390A" w14:textId="5D468F3E" w:rsidR="0016321C" w:rsidRDefault="0016321C" w:rsidP="0016321C">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[2] </w:t>
      </w:r>
      <w:r>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M. L. Gambo and A. Almulhem, "Zero Trust Architecture: A Systematic Literature Review," </w:t>
      </w:r>
      <w:r w:rsidRPr="0016321C">
        <w:rPr>
          <w:rFonts w:asciiTheme="minorBidi" w:eastAsia="MS Mincho" w:hAnsiTheme="minorBidi" w:cstheme="minorBidi"/>
          <w:i/>
          <w:iCs/>
          <w:noProof/>
          <w:kern w:val="48"/>
          <w:sz w:val="24"/>
          <w:szCs w:val="24"/>
          <w:lang w:val="en-GB"/>
        </w:rPr>
        <w:t>IEEE Access</w:t>
      </w:r>
      <w:r w:rsidRPr="0016321C">
        <w:rPr>
          <w:rFonts w:asciiTheme="minorBidi" w:eastAsia="MS Mincho" w:hAnsiTheme="minorBidi" w:cstheme="minorBidi"/>
          <w:noProof/>
          <w:kern w:val="48"/>
          <w:sz w:val="24"/>
          <w:szCs w:val="24"/>
          <w:lang w:val="en-GB"/>
        </w:rPr>
        <w:t>, vol. 12, pp. 15421–15445, 2024</w:t>
      </w:r>
      <w:r>
        <w:rPr>
          <w:rFonts w:asciiTheme="minorBidi" w:eastAsia="MS Mincho" w:hAnsiTheme="minorBidi" w:cstheme="minorBidi"/>
          <w:noProof/>
          <w:kern w:val="48"/>
          <w:sz w:val="24"/>
          <w:szCs w:val="24"/>
          <w:lang w:val="en-GB"/>
        </w:rPr>
        <w:t>.</w:t>
      </w:r>
    </w:p>
    <w:p w14:paraId="6F382C3F" w14:textId="66553320" w:rsidR="0016321C" w:rsidRPr="0016321C" w:rsidRDefault="0016321C" w:rsidP="0016321C">
      <w:pPr>
        <w:spacing w:line="360" w:lineRule="auto"/>
        <w:jc w:val="left"/>
        <w:rPr>
          <w:rFonts w:asciiTheme="minorBidi" w:eastAsia="MS Mincho" w:hAnsiTheme="minorBidi" w:cstheme="minorBidi"/>
          <w:noProof/>
          <w:kern w:val="48"/>
          <w:sz w:val="24"/>
          <w:szCs w:val="24"/>
          <w:lang w:val="en-GB"/>
        </w:rPr>
      </w:pPr>
      <w:r>
        <w:rPr>
          <w:rFonts w:asciiTheme="minorBidi" w:eastAsia="MS Mincho" w:hAnsiTheme="minorBidi" w:cstheme="minorBidi"/>
          <w:noProof/>
          <w:kern w:val="48"/>
          <w:sz w:val="24"/>
          <w:szCs w:val="24"/>
          <w:lang w:val="en-GB"/>
        </w:rPr>
        <w:t xml:space="preserve"> </w:t>
      </w:r>
    </w:p>
    <w:p w14:paraId="590652A3" w14:textId="447E88A7" w:rsidR="0016321C" w:rsidRPr="0016321C" w:rsidRDefault="0016321C" w:rsidP="0016321C">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[3] </w:t>
      </w:r>
      <w:r>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Y. Chen </w:t>
      </w:r>
      <w:r w:rsidRPr="0016321C">
        <w:rPr>
          <w:rFonts w:asciiTheme="minorBidi" w:eastAsia="MS Mincho" w:hAnsiTheme="minorBidi" w:cstheme="minorBidi"/>
          <w:i/>
          <w:iCs/>
          <w:noProof/>
          <w:kern w:val="48"/>
          <w:sz w:val="24"/>
          <w:szCs w:val="24"/>
          <w:lang w:val="en-GB"/>
        </w:rPr>
        <w:t>et al.</w:t>
      </w:r>
      <w:r w:rsidRPr="0016321C">
        <w:rPr>
          <w:rFonts w:asciiTheme="minorBidi" w:eastAsia="MS Mincho" w:hAnsiTheme="minorBidi" w:cstheme="minorBidi"/>
          <w:noProof/>
          <w:kern w:val="48"/>
          <w:sz w:val="24"/>
          <w:szCs w:val="24"/>
          <w:lang w:val="en-GB"/>
        </w:rPr>
        <w:t xml:space="preserve">, "Artificial Intelligence for Adaptive Access Control," </w:t>
      </w:r>
      <w:r w:rsidRPr="0016321C">
        <w:rPr>
          <w:rFonts w:asciiTheme="minorBidi" w:eastAsia="MS Mincho" w:hAnsiTheme="minorBidi" w:cstheme="minorBidi"/>
          <w:i/>
          <w:iCs/>
          <w:noProof/>
          <w:kern w:val="48"/>
          <w:sz w:val="24"/>
          <w:szCs w:val="24"/>
          <w:lang w:val="en-GB"/>
        </w:rPr>
        <w:t>IEEE Security &amp; Privacy</w:t>
      </w:r>
      <w:r w:rsidRPr="0016321C">
        <w:rPr>
          <w:rFonts w:asciiTheme="minorBidi" w:eastAsia="MS Mincho" w:hAnsiTheme="minorBidi" w:cstheme="minorBidi"/>
          <w:noProof/>
          <w:kern w:val="48"/>
          <w:sz w:val="24"/>
          <w:szCs w:val="24"/>
          <w:lang w:val="en-GB"/>
        </w:rPr>
        <w:t>, vol. 22, no. 1,2024</w:t>
      </w:r>
      <w:r>
        <w:rPr>
          <w:rFonts w:asciiTheme="minorBidi" w:eastAsia="MS Mincho" w:hAnsiTheme="minorBidi" w:cstheme="minorBidi"/>
          <w:noProof/>
          <w:kern w:val="48"/>
          <w:sz w:val="24"/>
          <w:szCs w:val="24"/>
          <w:lang w:val="en-GB"/>
        </w:rPr>
        <w:t>.</w:t>
      </w:r>
    </w:p>
    <w:p w14:paraId="629D2AD4" w14:textId="71435EB2" w:rsidR="0016321C" w:rsidRPr="0016321C" w:rsidRDefault="0016321C" w:rsidP="0016321C">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[4]</w:t>
      </w:r>
      <w:r>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 </w:t>
      </w:r>
      <w:r w:rsidRPr="0016321C">
        <w:rPr>
          <w:rFonts w:asciiTheme="minorBidi" w:eastAsia="MS Mincho" w:hAnsiTheme="minorBidi" w:cstheme="minorBidi"/>
          <w:i/>
          <w:iCs/>
          <w:noProof/>
          <w:kern w:val="48"/>
          <w:sz w:val="24"/>
          <w:szCs w:val="24"/>
          <w:lang w:val="en-GB"/>
        </w:rPr>
        <w:t>Information Security, Cybersecurity and Privacy Protection — Information Security Management Systems — Requirements</w:t>
      </w:r>
      <w:r w:rsidRPr="0016321C">
        <w:rPr>
          <w:rFonts w:asciiTheme="minorBidi" w:eastAsia="MS Mincho" w:hAnsiTheme="minorBidi" w:cstheme="minorBidi"/>
          <w:noProof/>
          <w:kern w:val="48"/>
          <w:sz w:val="24"/>
          <w:szCs w:val="24"/>
          <w:lang w:val="en-GB"/>
        </w:rPr>
        <w:t>, ISO/IEC 27001:2022, Oct. 2022.</w:t>
      </w:r>
    </w:p>
    <w:p w14:paraId="4280EB45" w14:textId="3AA41467" w:rsidR="0016321C" w:rsidRDefault="0016321C" w:rsidP="00EA5EF2">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[5] </w:t>
      </w:r>
      <w:r w:rsidR="00EA5EF2">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S. Khan and R. Mitchell, "Micro-segmentation in Modern Networks," </w:t>
      </w:r>
      <w:r w:rsidRPr="0016321C">
        <w:rPr>
          <w:rFonts w:asciiTheme="minorBidi" w:eastAsia="MS Mincho" w:hAnsiTheme="minorBidi" w:cstheme="minorBidi"/>
          <w:i/>
          <w:iCs/>
          <w:noProof/>
          <w:kern w:val="48"/>
          <w:sz w:val="24"/>
          <w:szCs w:val="24"/>
          <w:lang w:val="en-GB"/>
        </w:rPr>
        <w:t>Journal of Cybersecurity</w:t>
      </w:r>
      <w:r w:rsidRPr="0016321C">
        <w:rPr>
          <w:rFonts w:asciiTheme="minorBidi" w:eastAsia="MS Mincho" w:hAnsiTheme="minorBidi" w:cstheme="minorBidi"/>
          <w:noProof/>
          <w:kern w:val="48"/>
          <w:sz w:val="24"/>
          <w:szCs w:val="24"/>
          <w:lang w:val="en-GB"/>
        </w:rPr>
        <w:t>, vol. 7, no. 1, pp. 1–15, 2021.</w:t>
      </w:r>
    </w:p>
    <w:p w14:paraId="3548885C" w14:textId="77777777" w:rsidR="00EA5EF2" w:rsidRPr="0016321C" w:rsidRDefault="00EA5EF2" w:rsidP="0016321C">
      <w:pPr>
        <w:spacing w:line="360" w:lineRule="auto"/>
        <w:jc w:val="left"/>
        <w:rPr>
          <w:rFonts w:asciiTheme="minorBidi" w:eastAsia="MS Mincho" w:hAnsiTheme="minorBidi" w:cstheme="minorBidi"/>
          <w:noProof/>
          <w:kern w:val="48"/>
          <w:sz w:val="24"/>
          <w:szCs w:val="24"/>
          <w:lang w:val="en-GB"/>
        </w:rPr>
      </w:pPr>
    </w:p>
    <w:p w14:paraId="66CE9141" w14:textId="12540088" w:rsidR="0016321C" w:rsidRDefault="0016321C" w:rsidP="00EA5EF2">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[6] </w:t>
      </w:r>
      <w:r w:rsidR="00EA5EF2">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CISA, "Zero Trust Maturity</w:t>
      </w:r>
      <w:r w:rsidR="00EA5EF2">
        <w:rPr>
          <w:rFonts w:asciiTheme="minorBidi" w:eastAsia="MS Mincho" w:hAnsiTheme="minorBidi" w:cstheme="minorBidi"/>
          <w:noProof/>
          <w:kern w:val="48"/>
          <w:sz w:val="24"/>
          <w:szCs w:val="24"/>
          <w:lang w:val="en-GB"/>
        </w:rPr>
        <w:t xml:space="preserve"> </w:t>
      </w:r>
      <w:r w:rsidRPr="0016321C">
        <w:rPr>
          <w:rFonts w:asciiTheme="minorBidi" w:eastAsia="MS Mincho" w:hAnsiTheme="minorBidi" w:cstheme="minorBidi"/>
          <w:noProof/>
          <w:kern w:val="48"/>
          <w:sz w:val="24"/>
          <w:szCs w:val="24"/>
          <w:lang w:val="en-GB"/>
        </w:rPr>
        <w:t>Model Version 2.0," Cybersecurity and Infrastructure Security Agency, Washington, DC, USA, Apr. 2023.</w:t>
      </w:r>
    </w:p>
    <w:p w14:paraId="4586C623" w14:textId="77777777" w:rsidR="00EA5EF2" w:rsidRPr="0016321C" w:rsidRDefault="00EA5EF2" w:rsidP="00EA5EF2">
      <w:pPr>
        <w:spacing w:line="360" w:lineRule="auto"/>
        <w:ind w:left="720" w:hanging="720"/>
        <w:jc w:val="left"/>
        <w:rPr>
          <w:rFonts w:asciiTheme="minorBidi" w:eastAsia="MS Mincho" w:hAnsiTheme="minorBidi" w:cstheme="minorBidi"/>
          <w:noProof/>
          <w:kern w:val="48"/>
          <w:sz w:val="24"/>
          <w:szCs w:val="24"/>
          <w:lang w:val="en-GB"/>
        </w:rPr>
      </w:pPr>
    </w:p>
    <w:p w14:paraId="1DA746A1" w14:textId="3B692598" w:rsidR="0016321C" w:rsidRDefault="0016321C" w:rsidP="00EA5EF2">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[7] </w:t>
      </w:r>
      <w:r w:rsidR="00EA5EF2">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A. Ahmad </w:t>
      </w:r>
      <w:r w:rsidRPr="0016321C">
        <w:rPr>
          <w:rFonts w:asciiTheme="minorBidi" w:eastAsia="MS Mincho" w:hAnsiTheme="minorBidi" w:cstheme="minorBidi"/>
          <w:i/>
          <w:iCs/>
          <w:noProof/>
          <w:kern w:val="48"/>
          <w:sz w:val="24"/>
          <w:szCs w:val="24"/>
          <w:lang w:val="en-GB"/>
        </w:rPr>
        <w:t>et al.</w:t>
      </w:r>
      <w:r w:rsidRPr="0016321C">
        <w:rPr>
          <w:rFonts w:asciiTheme="minorBidi" w:eastAsia="MS Mincho" w:hAnsiTheme="minorBidi" w:cstheme="minorBidi"/>
          <w:noProof/>
          <w:kern w:val="48"/>
          <w:sz w:val="24"/>
          <w:szCs w:val="24"/>
          <w:lang w:val="en-GB"/>
        </w:rPr>
        <w:t xml:space="preserve">, "A Review of Extended Detection and Response Systems," </w:t>
      </w:r>
      <w:r w:rsidRPr="0016321C">
        <w:rPr>
          <w:rFonts w:asciiTheme="minorBidi" w:eastAsia="MS Mincho" w:hAnsiTheme="minorBidi" w:cstheme="minorBidi"/>
          <w:i/>
          <w:iCs/>
          <w:noProof/>
          <w:kern w:val="48"/>
          <w:sz w:val="24"/>
          <w:szCs w:val="24"/>
          <w:lang w:val="en-GB"/>
        </w:rPr>
        <w:t>IEEE Access</w:t>
      </w:r>
      <w:r w:rsidRPr="0016321C">
        <w:rPr>
          <w:rFonts w:asciiTheme="minorBidi" w:eastAsia="MS Mincho" w:hAnsiTheme="minorBidi" w:cstheme="minorBidi"/>
          <w:noProof/>
          <w:kern w:val="48"/>
          <w:sz w:val="24"/>
          <w:szCs w:val="24"/>
          <w:lang w:val="en-GB"/>
        </w:rPr>
        <w:t>, vol. 10, pp. 112000–112015, 2022.</w:t>
      </w:r>
    </w:p>
    <w:p w14:paraId="1E8120C2" w14:textId="77777777" w:rsidR="00EA5EF2" w:rsidRPr="0016321C" w:rsidRDefault="00EA5EF2" w:rsidP="00EA5EF2">
      <w:pPr>
        <w:spacing w:line="360" w:lineRule="auto"/>
        <w:ind w:left="720" w:hanging="720"/>
        <w:jc w:val="left"/>
        <w:rPr>
          <w:rFonts w:asciiTheme="minorBidi" w:eastAsia="MS Mincho" w:hAnsiTheme="minorBidi" w:cstheme="minorBidi"/>
          <w:noProof/>
          <w:kern w:val="48"/>
          <w:sz w:val="24"/>
          <w:szCs w:val="24"/>
          <w:lang w:val="en-GB"/>
        </w:rPr>
      </w:pPr>
    </w:p>
    <w:p w14:paraId="354D4410" w14:textId="69CD5B45" w:rsidR="0016321C" w:rsidRDefault="0016321C" w:rsidP="00EA5EF2">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[8] </w:t>
      </w:r>
      <w:r w:rsidR="00EA5EF2">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Gartner, "Market Guide for Zero Trust Network Access," Gartner Inc., Stamford, CT, USA, Tech. Rep. G00742118, Feb. 17, 2022.</w:t>
      </w:r>
    </w:p>
    <w:p w14:paraId="77C871B5" w14:textId="77777777" w:rsidR="00EA5EF2" w:rsidRPr="0016321C" w:rsidRDefault="00EA5EF2" w:rsidP="00EA5EF2">
      <w:pPr>
        <w:spacing w:line="360" w:lineRule="auto"/>
        <w:ind w:left="720" w:hanging="720"/>
        <w:jc w:val="left"/>
        <w:rPr>
          <w:rFonts w:asciiTheme="minorBidi" w:eastAsia="MS Mincho" w:hAnsiTheme="minorBidi" w:cstheme="minorBidi"/>
          <w:noProof/>
          <w:kern w:val="48"/>
          <w:sz w:val="24"/>
          <w:szCs w:val="24"/>
          <w:lang w:val="en-GB"/>
        </w:rPr>
      </w:pPr>
    </w:p>
    <w:p w14:paraId="7038EEC7" w14:textId="5FBF2BE8" w:rsidR="0016321C" w:rsidRDefault="0016321C" w:rsidP="00EA5EF2">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[9] </w:t>
      </w:r>
      <w:r w:rsidR="00EA5EF2">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IBM Security, "Cost of a Data Breach Report 2023," IBM, Armonk, NY, USA, Jul. 2023.</w:t>
      </w:r>
    </w:p>
    <w:p w14:paraId="7313CFA3" w14:textId="77777777" w:rsidR="00EA5EF2" w:rsidRPr="0016321C" w:rsidRDefault="00EA5EF2" w:rsidP="00EA5EF2">
      <w:pPr>
        <w:spacing w:line="360" w:lineRule="auto"/>
        <w:ind w:left="720" w:hanging="720"/>
        <w:jc w:val="left"/>
        <w:rPr>
          <w:rFonts w:asciiTheme="minorBidi" w:eastAsia="MS Mincho" w:hAnsiTheme="minorBidi" w:cstheme="minorBidi"/>
          <w:noProof/>
          <w:kern w:val="48"/>
          <w:sz w:val="24"/>
          <w:szCs w:val="24"/>
          <w:lang w:val="en-GB"/>
        </w:rPr>
      </w:pPr>
    </w:p>
    <w:p w14:paraId="532D47BF" w14:textId="15366B22" w:rsidR="0016321C" w:rsidRDefault="0016321C" w:rsidP="00EA5EF2">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[10]</w:t>
      </w:r>
      <w:r w:rsidR="00EA5EF2">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 S. Mushtaq </w:t>
      </w:r>
      <w:r w:rsidRPr="0016321C">
        <w:rPr>
          <w:rFonts w:asciiTheme="minorBidi" w:eastAsia="MS Mincho" w:hAnsiTheme="minorBidi" w:cstheme="minorBidi"/>
          <w:i/>
          <w:iCs/>
          <w:noProof/>
          <w:kern w:val="48"/>
          <w:sz w:val="24"/>
          <w:szCs w:val="24"/>
          <w:lang w:val="en-GB"/>
        </w:rPr>
        <w:t>et al.</w:t>
      </w:r>
      <w:r w:rsidRPr="0016321C">
        <w:rPr>
          <w:rFonts w:asciiTheme="minorBidi" w:eastAsia="MS Mincho" w:hAnsiTheme="minorBidi" w:cstheme="minorBidi"/>
          <w:noProof/>
          <w:kern w:val="48"/>
          <w:sz w:val="24"/>
          <w:szCs w:val="24"/>
          <w:lang w:val="en-GB"/>
        </w:rPr>
        <w:t xml:space="preserve">, "Implementation and Evaluation of Zero Trust Architecture," </w:t>
      </w:r>
      <w:r w:rsidRPr="0016321C">
        <w:rPr>
          <w:rFonts w:asciiTheme="minorBidi" w:eastAsia="MS Mincho" w:hAnsiTheme="minorBidi" w:cstheme="minorBidi"/>
          <w:i/>
          <w:iCs/>
          <w:noProof/>
          <w:kern w:val="48"/>
          <w:sz w:val="24"/>
          <w:szCs w:val="24"/>
          <w:lang w:val="en-GB"/>
        </w:rPr>
        <w:t>Sensors</w:t>
      </w:r>
      <w:r w:rsidRPr="0016321C">
        <w:rPr>
          <w:rFonts w:asciiTheme="minorBidi" w:eastAsia="MS Mincho" w:hAnsiTheme="minorBidi" w:cstheme="minorBidi"/>
          <w:noProof/>
          <w:kern w:val="48"/>
          <w:sz w:val="24"/>
          <w:szCs w:val="24"/>
          <w:lang w:val="en-GB"/>
        </w:rPr>
        <w:t>, vol. 24, no. 5, 2024</w:t>
      </w:r>
      <w:r w:rsidR="00EA5EF2">
        <w:rPr>
          <w:rFonts w:asciiTheme="minorBidi" w:eastAsia="MS Mincho" w:hAnsiTheme="minorBidi" w:cstheme="minorBidi"/>
          <w:noProof/>
          <w:kern w:val="48"/>
          <w:sz w:val="24"/>
          <w:szCs w:val="24"/>
          <w:lang w:val="en-GB"/>
        </w:rPr>
        <w:t>.</w:t>
      </w:r>
    </w:p>
    <w:p w14:paraId="48FE5CBE" w14:textId="6138CB60" w:rsidR="00FC5627" w:rsidRPr="0016321C" w:rsidRDefault="00FC5627" w:rsidP="00EA5EF2">
      <w:pPr>
        <w:spacing w:line="360" w:lineRule="auto"/>
        <w:ind w:left="720" w:hanging="720"/>
        <w:jc w:val="left"/>
        <w:rPr>
          <w:rFonts w:asciiTheme="minorBidi" w:eastAsia="MS Mincho" w:hAnsiTheme="minorBidi" w:cstheme="minorBidi"/>
          <w:noProof/>
          <w:kern w:val="48"/>
          <w:sz w:val="24"/>
          <w:szCs w:val="24"/>
          <w:lang w:val="en-GB"/>
        </w:rPr>
      </w:pPr>
      <w:r>
        <w:rPr>
          <w:rFonts w:asciiTheme="minorBidi" w:eastAsia="MS Mincho" w:hAnsiTheme="minorBidi" w:cstheme="minorBidi"/>
          <w:noProof/>
          <w:kern w:val="48"/>
          <w:sz w:val="24"/>
          <w:szCs w:val="24"/>
          <w:lang w:val="en-GB"/>
        </w:rPr>
        <w:tab/>
      </w:r>
    </w:p>
    <w:p w14:paraId="0B26432E" w14:textId="5ADF005C" w:rsidR="0016321C" w:rsidRDefault="0016321C" w:rsidP="00FC5627">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[11] </w:t>
      </w:r>
      <w:r w:rsidR="00FC5627">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R. Ward and B. Beyer, "BeyondCorp: A New Approach to Enterprise </w:t>
      </w:r>
      <w:r w:rsidRPr="0016321C">
        <w:rPr>
          <w:rFonts w:asciiTheme="minorBidi" w:eastAsia="MS Mincho" w:hAnsiTheme="minorBidi" w:cstheme="minorBidi"/>
          <w:noProof/>
          <w:kern w:val="48"/>
          <w:sz w:val="24"/>
          <w:szCs w:val="24"/>
          <w:lang w:val="en-GB"/>
        </w:rPr>
        <w:t xml:space="preserve">Security," </w:t>
      </w:r>
      <w:r w:rsidRPr="0016321C">
        <w:rPr>
          <w:rFonts w:asciiTheme="minorBidi" w:eastAsia="MS Mincho" w:hAnsiTheme="minorBidi" w:cstheme="minorBidi"/>
          <w:i/>
          <w:iCs/>
          <w:noProof/>
          <w:kern w:val="48"/>
          <w:sz w:val="24"/>
          <w:szCs w:val="24"/>
          <w:lang w:val="en-GB"/>
        </w:rPr>
        <w:t>login: The USENIX Magazine</w:t>
      </w:r>
      <w:r w:rsidRPr="0016321C">
        <w:rPr>
          <w:rFonts w:asciiTheme="minorBidi" w:eastAsia="MS Mincho" w:hAnsiTheme="minorBidi" w:cstheme="minorBidi"/>
          <w:noProof/>
          <w:kern w:val="48"/>
          <w:sz w:val="24"/>
          <w:szCs w:val="24"/>
          <w:lang w:val="en-GB"/>
        </w:rPr>
        <w:t>, vol. 39, no. 6, pp. 6–11, Dec. 2014.</w:t>
      </w:r>
    </w:p>
    <w:p w14:paraId="6454EFC7" w14:textId="77777777" w:rsidR="00FC5627" w:rsidRPr="0016321C" w:rsidRDefault="00FC5627" w:rsidP="00FC5627">
      <w:pPr>
        <w:spacing w:line="360" w:lineRule="auto"/>
        <w:ind w:left="720" w:hanging="720"/>
        <w:jc w:val="left"/>
        <w:rPr>
          <w:rFonts w:asciiTheme="minorBidi" w:eastAsia="MS Mincho" w:hAnsiTheme="minorBidi" w:cstheme="minorBidi"/>
          <w:noProof/>
          <w:kern w:val="48"/>
          <w:sz w:val="24"/>
          <w:szCs w:val="24"/>
          <w:lang w:val="en-GB"/>
        </w:rPr>
      </w:pPr>
    </w:p>
    <w:p w14:paraId="55EBF88D" w14:textId="7CBE13CA" w:rsidR="0016321C" w:rsidRDefault="0016321C" w:rsidP="00FC5627">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[12]</w:t>
      </w:r>
      <w:r w:rsidR="00FC5627">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 xml:space="preserve"> J. A. Ruth, G. V. Mahesh, P. Visalakshi, R. Uma, and A. Meenakshi, Eds., </w:t>
      </w:r>
      <w:r w:rsidRPr="0016321C">
        <w:rPr>
          <w:rFonts w:asciiTheme="minorBidi" w:eastAsia="MS Mincho" w:hAnsiTheme="minorBidi" w:cstheme="minorBidi"/>
          <w:i/>
          <w:iCs/>
          <w:noProof/>
          <w:kern w:val="48"/>
          <w:sz w:val="24"/>
          <w:szCs w:val="24"/>
          <w:lang w:val="en-GB"/>
        </w:rPr>
        <w:t>Machine Learning and Cryptographic Solutions for Data Protection and Network Security</w:t>
      </w:r>
      <w:r w:rsidRPr="0016321C">
        <w:rPr>
          <w:rFonts w:asciiTheme="minorBidi" w:eastAsia="MS Mincho" w:hAnsiTheme="minorBidi" w:cstheme="minorBidi"/>
          <w:noProof/>
          <w:kern w:val="48"/>
          <w:sz w:val="24"/>
          <w:szCs w:val="24"/>
          <w:lang w:val="en-GB"/>
        </w:rPr>
        <w:t>. Hershey, PA, USA: IGI Global, 2024.</w:t>
      </w:r>
    </w:p>
    <w:p w14:paraId="57A8304F" w14:textId="77777777" w:rsidR="00FC5627" w:rsidRPr="0016321C" w:rsidRDefault="00FC5627" w:rsidP="00FC5627">
      <w:pPr>
        <w:spacing w:line="360" w:lineRule="auto"/>
        <w:ind w:left="720" w:hanging="720"/>
        <w:jc w:val="left"/>
        <w:rPr>
          <w:rFonts w:asciiTheme="minorBidi" w:eastAsia="MS Mincho" w:hAnsiTheme="minorBidi" w:cstheme="minorBidi"/>
          <w:noProof/>
          <w:kern w:val="48"/>
          <w:sz w:val="24"/>
          <w:szCs w:val="24"/>
          <w:lang w:val="en-GB"/>
        </w:rPr>
      </w:pPr>
    </w:p>
    <w:p w14:paraId="58AB25F1" w14:textId="6A523D89" w:rsidR="0016321C" w:rsidRPr="0016321C" w:rsidRDefault="0016321C" w:rsidP="00FC5627">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[13] </w:t>
      </w:r>
      <w:r w:rsidR="00FC5627">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noProof/>
          <w:kern w:val="48"/>
          <w:sz w:val="24"/>
          <w:szCs w:val="24"/>
          <w:lang w:val="en-GB"/>
        </w:rPr>
        <w:t>ENISA, "Technical Guidance on the Implementation of NIS2," European Union Agency for Cybersecurity, Athens, Greece, Jun. 2025.</w:t>
      </w:r>
    </w:p>
    <w:p w14:paraId="38DB7DE5" w14:textId="6425748F" w:rsidR="0016321C" w:rsidRPr="0016321C" w:rsidRDefault="0016321C" w:rsidP="00717E73">
      <w:pPr>
        <w:spacing w:line="360" w:lineRule="auto"/>
        <w:ind w:left="720" w:hanging="720"/>
        <w:jc w:val="left"/>
        <w:rPr>
          <w:rFonts w:asciiTheme="minorBidi" w:eastAsia="MS Mincho" w:hAnsiTheme="minorBidi" w:cstheme="minorBidi"/>
          <w:noProof/>
          <w:kern w:val="48"/>
          <w:sz w:val="24"/>
          <w:szCs w:val="24"/>
          <w:lang w:val="en-GB"/>
        </w:rPr>
      </w:pPr>
      <w:r w:rsidRPr="0016321C">
        <w:rPr>
          <w:rFonts w:asciiTheme="minorBidi" w:eastAsia="MS Mincho" w:hAnsiTheme="minorBidi" w:cstheme="minorBidi"/>
          <w:noProof/>
          <w:kern w:val="48"/>
          <w:sz w:val="24"/>
          <w:szCs w:val="24"/>
          <w:lang w:val="en-GB"/>
        </w:rPr>
        <w:t xml:space="preserve">[14] </w:t>
      </w:r>
      <w:r w:rsidR="00FC5627">
        <w:rPr>
          <w:rFonts w:asciiTheme="minorBidi" w:eastAsia="MS Mincho" w:hAnsiTheme="minorBidi" w:cstheme="minorBidi"/>
          <w:noProof/>
          <w:kern w:val="48"/>
          <w:sz w:val="24"/>
          <w:szCs w:val="24"/>
          <w:lang w:val="en-GB"/>
        </w:rPr>
        <w:tab/>
      </w:r>
      <w:r w:rsidRPr="0016321C">
        <w:rPr>
          <w:rFonts w:asciiTheme="minorBidi" w:eastAsia="MS Mincho" w:hAnsiTheme="minorBidi" w:cstheme="minorBidi"/>
          <w:i/>
          <w:iCs/>
          <w:noProof/>
          <w:kern w:val="48"/>
          <w:sz w:val="24"/>
          <w:szCs w:val="24"/>
          <w:lang w:val="en-GB"/>
        </w:rPr>
        <w:t>Regulation (EU) 2022/2554 of the European Parliament and of the Council of 14 December 2022 on Digital Operational Resilience for the Financial Sector (DORA)</w:t>
      </w:r>
      <w:r w:rsidRPr="0016321C">
        <w:rPr>
          <w:rFonts w:asciiTheme="minorBidi" w:eastAsia="MS Mincho" w:hAnsiTheme="minorBidi" w:cstheme="minorBidi"/>
          <w:noProof/>
          <w:kern w:val="48"/>
          <w:sz w:val="24"/>
          <w:szCs w:val="24"/>
          <w:lang w:val="en-GB"/>
        </w:rPr>
        <w:t>, OJ L 333, 27.12.2022, pp. 1–79.</w:t>
      </w:r>
    </w:p>
    <w:p w14:paraId="0D158C3C" w14:textId="77777777" w:rsidR="00BB3230" w:rsidRDefault="00BB3230" w:rsidP="009B57EA">
      <w:pPr>
        <w:spacing w:line="360" w:lineRule="auto"/>
        <w:jc w:val="left"/>
        <w:rPr>
          <w:rFonts w:asciiTheme="minorBidi" w:hAnsiTheme="minorBidi" w:cstheme="minorBidi"/>
          <w:b/>
          <w:bCs/>
          <w:sz w:val="24"/>
          <w:szCs w:val="24"/>
        </w:rPr>
        <w:sectPr w:rsidR="00BB3230" w:rsidSect="00BB3230">
          <w:type w:val="continuous"/>
          <w:pgSz w:w="11906" w:h="16838" w:code="9"/>
          <w:pgMar w:top="450" w:right="893" w:bottom="1440" w:left="893" w:header="720" w:footer="720" w:gutter="0"/>
          <w:pgBorders w:offsetFrom="page">
            <w:top w:val="dashDotStroked" w:sz="24" w:space="24" w:color="074F6A" w:themeColor="accent4" w:themeShade="80"/>
            <w:left w:val="dashDotStroked" w:sz="24" w:space="24" w:color="074F6A" w:themeColor="accent4" w:themeShade="80"/>
            <w:bottom w:val="dashDotStroked" w:sz="24" w:space="24" w:color="074F6A" w:themeColor="accent4" w:themeShade="80"/>
            <w:right w:val="dashDotStroked" w:sz="24" w:space="24" w:color="074F6A" w:themeColor="accent4" w:themeShade="80"/>
          </w:pgBorders>
          <w:cols w:num="2" w:space="720"/>
          <w:docGrid w:linePitch="360"/>
        </w:sectPr>
      </w:pPr>
    </w:p>
    <w:p w14:paraId="689806E2" w14:textId="77777777" w:rsidR="004F1D36" w:rsidRDefault="004F1D36" w:rsidP="009B57EA">
      <w:pPr>
        <w:spacing w:line="360" w:lineRule="auto"/>
        <w:jc w:val="left"/>
        <w:rPr>
          <w:rFonts w:asciiTheme="minorBidi" w:hAnsiTheme="minorBidi" w:cstheme="minorBidi"/>
          <w:b/>
          <w:bCs/>
          <w:sz w:val="24"/>
          <w:szCs w:val="24"/>
        </w:rPr>
      </w:pPr>
    </w:p>
    <w:p w14:paraId="4570A2EC" w14:textId="77777777" w:rsidR="004F1D36" w:rsidRDefault="004F1D36" w:rsidP="009B57EA">
      <w:pPr>
        <w:spacing w:line="360" w:lineRule="auto"/>
        <w:jc w:val="left"/>
        <w:rPr>
          <w:rFonts w:asciiTheme="minorBidi" w:hAnsiTheme="minorBidi" w:cstheme="minorBidi"/>
          <w:b/>
          <w:bCs/>
          <w:sz w:val="24"/>
          <w:szCs w:val="24"/>
        </w:rPr>
      </w:pPr>
    </w:p>
    <w:p w14:paraId="2F41816B" w14:textId="77777777" w:rsidR="004F1D36" w:rsidRDefault="004F1D36" w:rsidP="009B57EA">
      <w:pPr>
        <w:spacing w:line="360" w:lineRule="auto"/>
        <w:jc w:val="left"/>
        <w:rPr>
          <w:rFonts w:asciiTheme="minorBidi" w:hAnsiTheme="minorBidi" w:cstheme="minorBidi"/>
          <w:b/>
          <w:bCs/>
          <w:sz w:val="24"/>
          <w:szCs w:val="24"/>
        </w:rPr>
      </w:pPr>
    </w:p>
    <w:p w14:paraId="002C5FB7" w14:textId="77777777" w:rsidR="0016321C" w:rsidRDefault="0016321C" w:rsidP="009B57EA">
      <w:pPr>
        <w:spacing w:line="360" w:lineRule="auto"/>
        <w:jc w:val="left"/>
        <w:rPr>
          <w:rFonts w:asciiTheme="minorBidi" w:hAnsiTheme="minorBidi" w:cstheme="minorBidi"/>
          <w:b/>
          <w:bCs/>
          <w:sz w:val="24"/>
          <w:szCs w:val="24"/>
        </w:rPr>
      </w:pPr>
    </w:p>
    <w:p w14:paraId="32C8A925" w14:textId="77777777" w:rsidR="0016321C" w:rsidRDefault="0016321C" w:rsidP="009B57EA">
      <w:pPr>
        <w:spacing w:line="360" w:lineRule="auto"/>
        <w:jc w:val="left"/>
        <w:rPr>
          <w:rFonts w:asciiTheme="minorBidi" w:hAnsiTheme="minorBidi" w:cstheme="minorBidi"/>
          <w:b/>
          <w:bCs/>
          <w:sz w:val="24"/>
          <w:szCs w:val="24"/>
        </w:rPr>
      </w:pPr>
    </w:p>
    <w:p w14:paraId="3082C426" w14:textId="77777777" w:rsidR="0016321C" w:rsidRDefault="0016321C" w:rsidP="009B57EA">
      <w:pPr>
        <w:spacing w:line="360" w:lineRule="auto"/>
        <w:jc w:val="left"/>
        <w:rPr>
          <w:rFonts w:asciiTheme="minorBidi" w:hAnsiTheme="minorBidi" w:cstheme="minorBidi"/>
          <w:b/>
          <w:bCs/>
          <w:sz w:val="24"/>
          <w:szCs w:val="24"/>
        </w:rPr>
      </w:pPr>
    </w:p>
    <w:p w14:paraId="458F0F6B" w14:textId="77777777" w:rsidR="0016321C" w:rsidRDefault="0016321C" w:rsidP="009B57EA">
      <w:pPr>
        <w:spacing w:line="360" w:lineRule="auto"/>
        <w:jc w:val="left"/>
        <w:rPr>
          <w:rFonts w:asciiTheme="minorBidi" w:hAnsiTheme="minorBidi" w:cstheme="minorBidi"/>
          <w:b/>
          <w:bCs/>
          <w:sz w:val="24"/>
          <w:szCs w:val="24"/>
        </w:rPr>
      </w:pPr>
    </w:p>
    <w:p w14:paraId="2847D36F" w14:textId="77777777" w:rsidR="0016321C" w:rsidRDefault="0016321C" w:rsidP="009B57EA">
      <w:pPr>
        <w:spacing w:line="360" w:lineRule="auto"/>
        <w:jc w:val="left"/>
        <w:rPr>
          <w:rFonts w:asciiTheme="minorBidi" w:hAnsiTheme="minorBidi" w:cstheme="minorBidi"/>
          <w:b/>
          <w:bCs/>
          <w:sz w:val="24"/>
          <w:szCs w:val="24"/>
        </w:rPr>
      </w:pPr>
    </w:p>
    <w:p w14:paraId="64498E62" w14:textId="77777777" w:rsidR="0016321C" w:rsidRDefault="0016321C" w:rsidP="009B57EA">
      <w:pPr>
        <w:spacing w:line="360" w:lineRule="auto"/>
        <w:jc w:val="left"/>
        <w:rPr>
          <w:rFonts w:asciiTheme="minorBidi" w:hAnsiTheme="minorBidi" w:cstheme="minorBidi"/>
          <w:b/>
          <w:bCs/>
          <w:sz w:val="24"/>
          <w:szCs w:val="24"/>
        </w:rPr>
      </w:pPr>
    </w:p>
    <w:p w14:paraId="0B2A1FC6" w14:textId="77777777" w:rsidR="0016321C" w:rsidRDefault="0016321C" w:rsidP="009B57EA">
      <w:pPr>
        <w:spacing w:line="360" w:lineRule="auto"/>
        <w:jc w:val="left"/>
        <w:rPr>
          <w:rFonts w:asciiTheme="minorBidi" w:hAnsiTheme="minorBidi" w:cstheme="minorBidi"/>
          <w:b/>
          <w:bCs/>
          <w:sz w:val="24"/>
          <w:szCs w:val="24"/>
        </w:rPr>
      </w:pPr>
    </w:p>
    <w:p w14:paraId="4248392D" w14:textId="77777777" w:rsidR="0016321C" w:rsidRDefault="0016321C" w:rsidP="009B57EA">
      <w:pPr>
        <w:spacing w:line="360" w:lineRule="auto"/>
        <w:jc w:val="left"/>
        <w:rPr>
          <w:rFonts w:asciiTheme="minorBidi" w:hAnsiTheme="minorBidi" w:cstheme="minorBidi"/>
          <w:b/>
          <w:bCs/>
          <w:sz w:val="24"/>
          <w:szCs w:val="24"/>
        </w:rPr>
      </w:pPr>
    </w:p>
    <w:p w14:paraId="3E32B49C" w14:textId="77777777" w:rsidR="0016321C" w:rsidRDefault="0016321C" w:rsidP="009B57EA">
      <w:pPr>
        <w:spacing w:line="360" w:lineRule="auto"/>
        <w:jc w:val="left"/>
        <w:rPr>
          <w:rFonts w:asciiTheme="minorBidi" w:hAnsiTheme="minorBidi" w:cstheme="minorBidi"/>
          <w:b/>
          <w:bCs/>
          <w:sz w:val="24"/>
          <w:szCs w:val="24"/>
        </w:rPr>
      </w:pPr>
    </w:p>
    <w:p w14:paraId="6734694C" w14:textId="77777777" w:rsidR="0016321C" w:rsidRDefault="0016321C" w:rsidP="009B57EA">
      <w:pPr>
        <w:spacing w:line="360" w:lineRule="auto"/>
        <w:jc w:val="left"/>
        <w:rPr>
          <w:rFonts w:asciiTheme="minorBidi" w:hAnsiTheme="minorBidi" w:cstheme="minorBidi"/>
          <w:b/>
          <w:bCs/>
          <w:sz w:val="24"/>
          <w:szCs w:val="24"/>
        </w:rPr>
      </w:pPr>
    </w:p>
    <w:p w14:paraId="279E77B1" w14:textId="77777777" w:rsidR="0016321C" w:rsidRDefault="0016321C" w:rsidP="009B57EA">
      <w:pPr>
        <w:spacing w:line="360" w:lineRule="auto"/>
        <w:jc w:val="left"/>
        <w:rPr>
          <w:rFonts w:asciiTheme="minorBidi" w:hAnsiTheme="minorBidi" w:cstheme="minorBidi"/>
          <w:b/>
          <w:bCs/>
          <w:sz w:val="24"/>
          <w:szCs w:val="24"/>
        </w:rPr>
      </w:pPr>
    </w:p>
    <w:p w14:paraId="3073E1F2" w14:textId="77777777" w:rsidR="0016321C" w:rsidRDefault="0016321C" w:rsidP="009B57EA">
      <w:pPr>
        <w:spacing w:line="360" w:lineRule="auto"/>
        <w:jc w:val="left"/>
        <w:rPr>
          <w:rFonts w:asciiTheme="minorBidi" w:hAnsiTheme="minorBidi" w:cstheme="minorBidi"/>
          <w:b/>
          <w:bCs/>
          <w:sz w:val="24"/>
          <w:szCs w:val="24"/>
        </w:rPr>
      </w:pPr>
    </w:p>
    <w:p w14:paraId="39FE171A" w14:textId="77777777" w:rsidR="0016321C" w:rsidRDefault="0016321C" w:rsidP="009B57EA">
      <w:pPr>
        <w:spacing w:line="360" w:lineRule="auto"/>
        <w:jc w:val="left"/>
        <w:rPr>
          <w:rFonts w:asciiTheme="minorBidi" w:hAnsiTheme="minorBidi" w:cstheme="minorBidi"/>
          <w:b/>
          <w:bCs/>
          <w:sz w:val="24"/>
          <w:szCs w:val="24"/>
        </w:rPr>
      </w:pPr>
    </w:p>
    <w:p w14:paraId="416D6FE7" w14:textId="77777777" w:rsidR="004F1D36" w:rsidRPr="00BB3230" w:rsidRDefault="004F1D36" w:rsidP="009B57EA">
      <w:pPr>
        <w:spacing w:line="360" w:lineRule="auto"/>
        <w:jc w:val="left"/>
        <w:rPr>
          <w:rFonts w:asciiTheme="minorBidi" w:hAnsiTheme="minorBidi" w:cstheme="minorBidi"/>
          <w:b/>
          <w:bCs/>
          <w:sz w:val="24"/>
          <w:szCs w:val="24"/>
        </w:rPr>
      </w:pPr>
    </w:p>
    <w:p w14:paraId="09794126" w14:textId="77777777" w:rsidR="007028A8" w:rsidRPr="00BB3230" w:rsidRDefault="007028A8" w:rsidP="009B57EA">
      <w:pPr>
        <w:spacing w:line="360" w:lineRule="auto"/>
        <w:jc w:val="left"/>
        <w:rPr>
          <w:rFonts w:asciiTheme="minorBidi" w:hAnsiTheme="minorBidi" w:cstheme="minorBidi"/>
          <w:b/>
          <w:bCs/>
          <w:sz w:val="24"/>
          <w:szCs w:val="24"/>
        </w:rPr>
      </w:pPr>
    </w:p>
    <w:p w14:paraId="226239E5" w14:textId="77777777" w:rsidR="007028A8" w:rsidRPr="00BB3230" w:rsidRDefault="007028A8" w:rsidP="009B57EA">
      <w:pPr>
        <w:spacing w:line="360" w:lineRule="auto"/>
        <w:jc w:val="left"/>
        <w:rPr>
          <w:rFonts w:asciiTheme="minorBidi" w:hAnsiTheme="minorBidi" w:cstheme="minorBidi"/>
          <w:b/>
          <w:bCs/>
          <w:sz w:val="24"/>
          <w:szCs w:val="24"/>
        </w:rPr>
      </w:pPr>
    </w:p>
    <w:p w14:paraId="048A32CF" w14:textId="77777777" w:rsidR="007028A8" w:rsidRPr="00BB3230" w:rsidRDefault="007028A8" w:rsidP="009B57EA">
      <w:pPr>
        <w:spacing w:line="360" w:lineRule="auto"/>
        <w:jc w:val="left"/>
        <w:rPr>
          <w:rFonts w:asciiTheme="minorBidi" w:hAnsiTheme="minorBidi" w:cstheme="minorBidi"/>
          <w:b/>
          <w:bCs/>
          <w:sz w:val="24"/>
          <w:szCs w:val="24"/>
        </w:rPr>
      </w:pPr>
    </w:p>
    <w:p w14:paraId="5BA46573" w14:textId="77777777" w:rsidR="007028A8" w:rsidRPr="00BB3230" w:rsidRDefault="007028A8" w:rsidP="009B57EA">
      <w:pPr>
        <w:spacing w:line="360" w:lineRule="auto"/>
        <w:jc w:val="left"/>
        <w:rPr>
          <w:rFonts w:asciiTheme="minorBidi" w:hAnsiTheme="minorBidi" w:cstheme="minorBidi"/>
          <w:b/>
          <w:bCs/>
          <w:sz w:val="24"/>
          <w:szCs w:val="24"/>
        </w:rPr>
      </w:pPr>
    </w:p>
    <w:p w14:paraId="1E077CB4" w14:textId="77777777" w:rsidR="007028A8" w:rsidRPr="00BB3230" w:rsidRDefault="007028A8" w:rsidP="009B57EA">
      <w:pPr>
        <w:spacing w:line="360" w:lineRule="auto"/>
        <w:jc w:val="left"/>
        <w:rPr>
          <w:rFonts w:asciiTheme="minorBidi" w:hAnsiTheme="minorBidi" w:cstheme="minorBidi"/>
          <w:b/>
          <w:bCs/>
          <w:sz w:val="24"/>
          <w:szCs w:val="24"/>
        </w:rPr>
      </w:pPr>
    </w:p>
    <w:p w14:paraId="7F37B884" w14:textId="77777777" w:rsidR="007028A8" w:rsidRPr="00BB3230" w:rsidRDefault="007028A8" w:rsidP="009B57EA">
      <w:pPr>
        <w:spacing w:line="360" w:lineRule="auto"/>
        <w:jc w:val="left"/>
        <w:rPr>
          <w:rFonts w:asciiTheme="minorBidi" w:hAnsiTheme="minorBidi" w:cstheme="minorBidi"/>
          <w:b/>
          <w:bCs/>
          <w:sz w:val="24"/>
          <w:szCs w:val="24"/>
        </w:rPr>
      </w:pPr>
    </w:p>
    <w:p w14:paraId="22FD9C5D" w14:textId="77777777" w:rsidR="007028A8" w:rsidRPr="00BB3230" w:rsidRDefault="007028A8" w:rsidP="009B57EA">
      <w:pPr>
        <w:spacing w:line="360" w:lineRule="auto"/>
        <w:jc w:val="left"/>
        <w:rPr>
          <w:rFonts w:asciiTheme="minorBidi" w:hAnsiTheme="minorBidi" w:cstheme="minorBidi"/>
          <w:b/>
          <w:bCs/>
          <w:sz w:val="24"/>
          <w:szCs w:val="24"/>
        </w:rPr>
      </w:pPr>
    </w:p>
    <w:p w14:paraId="04DC4581" w14:textId="77777777" w:rsidR="007028A8" w:rsidRPr="00BB3230" w:rsidRDefault="007028A8" w:rsidP="009B57EA">
      <w:pPr>
        <w:spacing w:line="360" w:lineRule="auto"/>
        <w:jc w:val="left"/>
        <w:rPr>
          <w:rFonts w:asciiTheme="minorBidi" w:hAnsiTheme="minorBidi" w:cstheme="minorBidi"/>
          <w:b/>
          <w:bCs/>
          <w:sz w:val="24"/>
          <w:szCs w:val="24"/>
        </w:rPr>
      </w:pPr>
    </w:p>
    <w:p w14:paraId="1EFB90DF" w14:textId="77777777" w:rsidR="007028A8" w:rsidRPr="00BB3230" w:rsidRDefault="007028A8" w:rsidP="009B57EA">
      <w:pPr>
        <w:spacing w:line="360" w:lineRule="auto"/>
        <w:jc w:val="left"/>
        <w:rPr>
          <w:rFonts w:asciiTheme="minorBidi" w:hAnsiTheme="minorBidi" w:cstheme="minorBidi"/>
          <w:b/>
          <w:bCs/>
          <w:sz w:val="24"/>
          <w:szCs w:val="24"/>
        </w:rPr>
      </w:pPr>
    </w:p>
    <w:p w14:paraId="507EBF34" w14:textId="35F221F1" w:rsidR="007028A8" w:rsidRPr="00BB3230" w:rsidRDefault="00BB3230" w:rsidP="009B57EA">
      <w:pPr>
        <w:spacing w:line="360" w:lineRule="auto"/>
        <w:jc w:val="left"/>
        <w:rPr>
          <w:rFonts w:asciiTheme="minorBidi" w:hAnsiTheme="minorBidi" w:cstheme="minorBidi"/>
          <w:b/>
          <w:bCs/>
          <w:sz w:val="24"/>
          <w:szCs w:val="24"/>
        </w:rPr>
      </w:pPr>
      <w:r w:rsidRPr="00BB3230">
        <w:rPr>
          <w:rFonts w:asciiTheme="minorBidi" w:hAnsiTheme="minorBidi" w:cstheme="minorBidi"/>
          <w:noProof/>
        </w:rPr>
        <mc:AlternateContent>
          <mc:Choice Requires="wps">
            <w:drawing>
              <wp:anchor distT="0" distB="0" distL="114300" distR="114300" simplePos="0" relativeHeight="251660288" behindDoc="0" locked="0" layoutInCell="1" allowOverlap="1" wp14:anchorId="4C64FEF0" wp14:editId="08CF9BD0">
                <wp:simplePos x="0" y="0"/>
                <wp:positionH relativeFrom="page">
                  <wp:posOffset>2606722</wp:posOffset>
                </wp:positionH>
                <wp:positionV relativeFrom="page">
                  <wp:posOffset>2975212</wp:posOffset>
                </wp:positionV>
                <wp:extent cx="4334510" cy="2640842"/>
                <wp:effectExtent l="0" t="0" r="8890" b="7620"/>
                <wp:wrapNone/>
                <wp:docPr id="1" name="Text Box 30"/>
                <wp:cNvGraphicFramePr/>
                <a:graphic xmlns:a="http://schemas.openxmlformats.org/drawingml/2006/main">
                  <a:graphicData uri="http://schemas.microsoft.com/office/word/2010/wordprocessingShape">
                    <wps:wsp>
                      <wps:cNvSpPr txBox="1"/>
                      <wps:spPr>
                        <a:xfrm>
                          <a:off x="0" y="0"/>
                          <a:ext cx="4334510" cy="2640842"/>
                        </a:xfrm>
                        <a:prstGeom prst="rect">
                          <a:avLst/>
                        </a:prstGeom>
                        <a:solidFill>
                          <a:schemeClr val="accent4">
                            <a:lumMod val="20000"/>
                            <a:lumOff val="80000"/>
                          </a:schemeClr>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167300F7" w14:textId="53B3FFE9" w:rsidR="009E3CCB" w:rsidRDefault="00000000" w:rsidP="00BB3230">
                            <w:pPr>
                              <w:pStyle w:val="NoSpacing"/>
                              <w:shd w:val="clear" w:color="auto" w:fill="DAE9F7" w:themeFill="text2" w:themeFillTint="1A"/>
                              <w:rPr>
                                <w:rFonts w:asciiTheme="majorHAnsi" w:eastAsiaTheme="majorEastAsia" w:hAnsiTheme="majorHAnsi" w:cstheme="majorBidi"/>
                                <w:color w:val="262626" w:themeColor="text1" w:themeTint="D9"/>
                                <w:sz w:val="72"/>
                              </w:rPr>
                            </w:pPr>
                            <w:sdt>
                              <w:sdtPr>
                                <w:rPr>
                                  <w:rFonts w:asciiTheme="minorBidi" w:eastAsia="SimSun" w:hAnsiTheme="minorBidi"/>
                                  <w:b/>
                                  <w:bCs/>
                                  <w:noProof/>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C3729">
                                  <w:rPr>
                                    <w:rFonts w:asciiTheme="minorBidi" w:eastAsia="SimSun" w:hAnsiTheme="minorBidi"/>
                                    <w:b/>
                                    <w:bCs/>
                                    <w:noProof/>
                                    <w:sz w:val="40"/>
                                    <w:szCs w:val="40"/>
                                  </w:rPr>
                                  <w:t>Student Name:  Nasira Perveen Student Id:        2331267                         Module Code:   ACCA5034   Assignment Title:                    Research and case scenario in Data Security and Compliance         Lecturer. Dr Mohammed Ben Farah Submission Date: 31st March 2026 (2 pm)</w:t>
                                </w:r>
                              </w:sdtContent>
                            </w:sdt>
                          </w:p>
                          <w:p w14:paraId="54F8B7F4" w14:textId="4A5DB264" w:rsidR="009E3CCB" w:rsidRDefault="00000000" w:rsidP="009E3CCB">
                            <w:pPr>
                              <w:spacing w:before="120"/>
                              <w:jc w:val="both"/>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E3CCB">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type w14:anchorId="4C64FEF0" id="_x0000_t202" coordsize="21600,21600" o:spt="202" path="m,l,21600r21600,l21600,xe">
                <v:stroke joinstyle="miter"/>
                <v:path gradientshapeok="t" o:connecttype="rect"/>
              </v:shapetype>
              <v:shape id="Text Box 30" o:spid="_x0000_s1026" type="#_x0000_t202" style="position:absolute;margin-left:205.25pt;margin-top:234.25pt;width:341.3pt;height:207.9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" fillcolor="#caedfb [663]" stroked="f" strokeweight=".5pt">
                <v:textbox inset="0,0,0,0">
                  <w:txbxContent>
                    <w:p w14:paraId="167300F7" w14:textId="53B3FFE9" w:rsidR="009E3CCB" w:rsidRDefault="00000000" w:rsidP="00BB3230">
                      <w:pPr>
                        <w:pStyle w:val="NoSpacing"/>
                        <w:shd w:val="clear" w:color="auto" w:fill="DAE9F7" w:themeFill="text2" w:themeFillTint="1A"/>
                        <w:rPr>
                          <w:rFonts w:asciiTheme="majorHAnsi" w:eastAsiaTheme="majorEastAsia" w:hAnsiTheme="majorHAnsi" w:cstheme="majorBidi"/>
                          <w:color w:val="262626" w:themeColor="text1" w:themeTint="D9"/>
                          <w:sz w:val="72"/>
                        </w:rPr>
                      </w:pPr>
                      <w:sdt>
                        <w:sdtPr>
                          <w:rPr>
                            <w:rFonts w:asciiTheme="minorBidi" w:eastAsia="SimSun" w:hAnsiTheme="minorBidi"/>
                            <w:b/>
                            <w:bCs/>
                            <w:noProof/>
                            <w:sz w:val="40"/>
                            <w:szCs w:val="40"/>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C3729">
                            <w:rPr>
                              <w:rFonts w:asciiTheme="minorBidi" w:eastAsia="SimSun" w:hAnsiTheme="minorBidi"/>
                              <w:b/>
                              <w:bCs/>
                              <w:noProof/>
                              <w:sz w:val="40"/>
                              <w:szCs w:val="40"/>
                            </w:rPr>
                            <w:t>Student Name:  Nasira Perveen Student Id:        2331267                         Module Code:   ACCA5034   Assignment Title:                    Research and case scenario in Data Security and Compliance         Lecturer. Dr Mohammed Ben Farah Submission Date: 31st March 2026 (2 pm)</w:t>
                          </w:r>
                        </w:sdtContent>
                      </w:sdt>
                    </w:p>
                    <w:p w14:paraId="54F8B7F4" w14:textId="4A5DB264" w:rsidR="009E3CCB" w:rsidRDefault="00000000" w:rsidP="009E3CCB">
                      <w:pPr>
                        <w:spacing w:before="120"/>
                        <w:jc w:val="both"/>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9E3CCB">
                            <w:rPr>
                              <w:color w:val="404040" w:themeColor="text1" w:themeTint="BF"/>
                              <w:sz w:val="36"/>
                              <w:szCs w:val="36"/>
                            </w:rPr>
                            <w:t xml:space="preserve">     </w:t>
                          </w:r>
                        </w:sdtContent>
                      </w:sdt>
                    </w:p>
                  </w:txbxContent>
                </v:textbox>
                <w10:wrap anchorx="page" anchory="page"/>
              </v:shape>
            </w:pict>
          </mc:Fallback>
        </mc:AlternateContent>
      </w:r>
    </w:p>
    <w:p w14:paraId="356D1558" w14:textId="77777777" w:rsidR="0064550E" w:rsidRPr="00BB3230" w:rsidRDefault="0064550E" w:rsidP="009B57EA">
      <w:pPr>
        <w:spacing w:line="360" w:lineRule="auto"/>
        <w:jc w:val="left"/>
        <w:rPr>
          <w:rFonts w:asciiTheme="minorBidi" w:hAnsiTheme="minorBidi" w:cstheme="minorBidi"/>
          <w:b/>
          <w:bCs/>
          <w:sz w:val="24"/>
          <w:szCs w:val="24"/>
        </w:rPr>
      </w:pPr>
    </w:p>
    <w:p w14:paraId="76FB1A6C" w14:textId="77777777" w:rsidR="0064550E" w:rsidRPr="00BB3230" w:rsidRDefault="0064550E" w:rsidP="009B57EA">
      <w:pPr>
        <w:spacing w:line="360" w:lineRule="auto"/>
        <w:jc w:val="left"/>
        <w:rPr>
          <w:rFonts w:asciiTheme="minorBidi" w:hAnsiTheme="minorBidi" w:cstheme="minorBidi"/>
          <w:b/>
          <w:bCs/>
          <w:sz w:val="24"/>
          <w:szCs w:val="24"/>
        </w:rPr>
      </w:pPr>
    </w:p>
    <w:p w14:paraId="78E38748" w14:textId="77777777" w:rsidR="0064550E" w:rsidRPr="00BB3230" w:rsidRDefault="0064550E" w:rsidP="009B57EA">
      <w:pPr>
        <w:spacing w:line="360" w:lineRule="auto"/>
        <w:jc w:val="left"/>
        <w:rPr>
          <w:rFonts w:asciiTheme="minorBidi" w:hAnsiTheme="minorBidi" w:cstheme="minorBidi"/>
          <w:b/>
          <w:bCs/>
          <w:sz w:val="24"/>
          <w:szCs w:val="24"/>
        </w:rPr>
      </w:pPr>
    </w:p>
    <w:p w14:paraId="188F61A8" w14:textId="77777777" w:rsidR="0064550E" w:rsidRPr="00BB3230" w:rsidRDefault="0064550E" w:rsidP="009B57EA">
      <w:pPr>
        <w:spacing w:line="360" w:lineRule="auto"/>
        <w:jc w:val="left"/>
        <w:rPr>
          <w:rFonts w:asciiTheme="minorBidi" w:hAnsiTheme="minorBidi" w:cstheme="minorBidi"/>
          <w:b/>
          <w:bCs/>
          <w:sz w:val="24"/>
          <w:szCs w:val="24"/>
        </w:rPr>
      </w:pPr>
    </w:p>
    <w:p w14:paraId="1CD0CDAE" w14:textId="77777777" w:rsidR="0064550E" w:rsidRPr="00BB3230" w:rsidRDefault="0064550E" w:rsidP="009B57EA">
      <w:pPr>
        <w:spacing w:line="360" w:lineRule="auto"/>
        <w:jc w:val="left"/>
        <w:rPr>
          <w:rFonts w:asciiTheme="minorBidi" w:hAnsiTheme="minorBidi" w:cstheme="minorBidi"/>
          <w:b/>
          <w:bCs/>
          <w:sz w:val="24"/>
          <w:szCs w:val="24"/>
        </w:rPr>
      </w:pPr>
    </w:p>
    <w:p w14:paraId="7740CE32" w14:textId="77777777" w:rsidR="0064550E" w:rsidRPr="00BB3230" w:rsidRDefault="0064550E" w:rsidP="009B57EA">
      <w:pPr>
        <w:spacing w:line="360" w:lineRule="auto"/>
        <w:jc w:val="left"/>
        <w:rPr>
          <w:rFonts w:asciiTheme="minorBidi" w:hAnsiTheme="minorBidi" w:cstheme="minorBidi"/>
          <w:b/>
          <w:bCs/>
          <w:sz w:val="24"/>
          <w:szCs w:val="24"/>
        </w:rPr>
      </w:pPr>
    </w:p>
    <w:p w14:paraId="28B40669" w14:textId="77777777" w:rsidR="0064550E" w:rsidRPr="00BB3230" w:rsidRDefault="0064550E" w:rsidP="009B57EA">
      <w:pPr>
        <w:spacing w:line="360" w:lineRule="auto"/>
        <w:jc w:val="left"/>
        <w:rPr>
          <w:rFonts w:asciiTheme="minorBidi" w:hAnsiTheme="minorBidi" w:cstheme="minorBidi"/>
          <w:b/>
          <w:bCs/>
          <w:sz w:val="24"/>
          <w:szCs w:val="24"/>
        </w:rPr>
      </w:pPr>
    </w:p>
    <w:p w14:paraId="08EF9DF1" w14:textId="77777777" w:rsidR="0064550E" w:rsidRPr="00BB3230" w:rsidRDefault="0064550E" w:rsidP="009B57EA">
      <w:pPr>
        <w:spacing w:line="360" w:lineRule="auto"/>
        <w:jc w:val="left"/>
        <w:rPr>
          <w:rFonts w:asciiTheme="minorBidi" w:hAnsiTheme="minorBidi" w:cstheme="minorBidi"/>
          <w:b/>
          <w:bCs/>
          <w:sz w:val="24"/>
          <w:szCs w:val="24"/>
        </w:rPr>
      </w:pPr>
    </w:p>
    <w:p w14:paraId="472903BE" w14:textId="77777777" w:rsidR="0064550E" w:rsidRPr="00BB3230" w:rsidRDefault="0064550E" w:rsidP="009B57EA">
      <w:pPr>
        <w:spacing w:line="360" w:lineRule="auto"/>
        <w:jc w:val="left"/>
        <w:rPr>
          <w:rFonts w:asciiTheme="minorBidi" w:hAnsiTheme="minorBidi" w:cstheme="minorBidi"/>
          <w:b/>
          <w:bCs/>
          <w:sz w:val="24"/>
          <w:szCs w:val="24"/>
        </w:rPr>
      </w:pPr>
    </w:p>
    <w:p w14:paraId="7FFD86FC" w14:textId="77777777" w:rsidR="0064550E" w:rsidRPr="00BB3230" w:rsidRDefault="0064550E" w:rsidP="009B57EA">
      <w:pPr>
        <w:spacing w:line="360" w:lineRule="auto"/>
        <w:jc w:val="left"/>
        <w:rPr>
          <w:rFonts w:asciiTheme="minorBidi" w:hAnsiTheme="minorBidi" w:cstheme="minorBidi"/>
          <w:b/>
          <w:bCs/>
          <w:sz w:val="24"/>
          <w:szCs w:val="24"/>
        </w:rPr>
      </w:pPr>
    </w:p>
    <w:p w14:paraId="2BC1CAE4" w14:textId="77777777" w:rsidR="0064550E" w:rsidRPr="00BB3230" w:rsidRDefault="0064550E" w:rsidP="009B57EA">
      <w:pPr>
        <w:spacing w:line="360" w:lineRule="auto"/>
        <w:jc w:val="left"/>
        <w:rPr>
          <w:rFonts w:asciiTheme="minorBidi" w:hAnsiTheme="minorBidi" w:cstheme="minorBidi"/>
          <w:b/>
          <w:bCs/>
          <w:sz w:val="24"/>
          <w:szCs w:val="24"/>
        </w:rPr>
      </w:pPr>
    </w:p>
    <w:p w14:paraId="1889E664" w14:textId="5501B8FF" w:rsidR="0064550E" w:rsidRPr="00BB3230" w:rsidRDefault="0064550E" w:rsidP="009B57EA">
      <w:pPr>
        <w:spacing w:line="360" w:lineRule="auto"/>
        <w:jc w:val="left"/>
        <w:rPr>
          <w:rFonts w:asciiTheme="minorBidi" w:hAnsiTheme="minorBidi" w:cstheme="minorBidi"/>
          <w:b/>
          <w:bCs/>
          <w:sz w:val="24"/>
          <w:szCs w:val="24"/>
        </w:rPr>
      </w:pPr>
    </w:p>
    <w:p w14:paraId="3FF6DA99" w14:textId="0A5E8BF0" w:rsidR="0064550E" w:rsidRPr="00BB3230" w:rsidRDefault="0064550E" w:rsidP="009B57EA">
      <w:pPr>
        <w:spacing w:line="360" w:lineRule="auto"/>
        <w:jc w:val="left"/>
        <w:rPr>
          <w:rFonts w:asciiTheme="minorBidi" w:hAnsiTheme="minorBidi" w:cstheme="minorBidi"/>
          <w:b/>
          <w:bCs/>
          <w:sz w:val="24"/>
          <w:szCs w:val="24"/>
        </w:rPr>
      </w:pPr>
    </w:p>
    <w:p w14:paraId="663B20F4" w14:textId="4D1FD4BB" w:rsidR="0064550E" w:rsidRPr="00BB3230" w:rsidRDefault="0064550E" w:rsidP="009B57EA">
      <w:pPr>
        <w:spacing w:line="360" w:lineRule="auto"/>
        <w:jc w:val="left"/>
        <w:rPr>
          <w:rFonts w:asciiTheme="minorBidi" w:hAnsiTheme="minorBidi" w:cstheme="minorBidi"/>
          <w:b/>
          <w:bCs/>
          <w:sz w:val="24"/>
          <w:szCs w:val="24"/>
        </w:rPr>
      </w:pPr>
    </w:p>
    <w:p w14:paraId="20393B8F" w14:textId="4881737C" w:rsidR="0064550E" w:rsidRPr="00BB3230" w:rsidRDefault="0064550E" w:rsidP="009B57EA">
      <w:pPr>
        <w:spacing w:line="360" w:lineRule="auto"/>
        <w:jc w:val="left"/>
        <w:rPr>
          <w:rFonts w:asciiTheme="minorBidi" w:hAnsiTheme="minorBidi" w:cstheme="minorBidi"/>
          <w:b/>
          <w:bCs/>
          <w:sz w:val="24"/>
          <w:szCs w:val="24"/>
        </w:rPr>
      </w:pPr>
    </w:p>
    <w:p w14:paraId="1E4884D6" w14:textId="6772B0B6" w:rsidR="0064550E" w:rsidRPr="00BB3230" w:rsidRDefault="0064550E" w:rsidP="009B57EA">
      <w:pPr>
        <w:spacing w:line="360" w:lineRule="auto"/>
        <w:jc w:val="left"/>
        <w:rPr>
          <w:rFonts w:asciiTheme="minorBidi" w:hAnsiTheme="minorBidi" w:cstheme="minorBidi"/>
          <w:b/>
          <w:bCs/>
          <w:sz w:val="24"/>
          <w:szCs w:val="24"/>
        </w:rPr>
      </w:pPr>
    </w:p>
    <w:sdt>
      <w:sdtPr>
        <w:rPr>
          <w:rFonts w:asciiTheme="minorBidi" w:eastAsia="SimSun" w:hAnsiTheme="minorBidi" w:cs="Times New Roman"/>
          <w:sz w:val="20"/>
          <w:szCs w:val="20"/>
        </w:rPr>
        <w:id w:val="34474570"/>
        <w:docPartObj>
          <w:docPartGallery w:val="Cover Pages"/>
          <w:docPartUnique/>
        </w:docPartObj>
      </w:sdtPr>
      <w:sdtEndPr>
        <w:rPr>
          <w:b/>
          <w:bCs/>
          <w:sz w:val="24"/>
          <w:szCs w:val="24"/>
        </w:rPr>
      </w:sdtEndPr>
      <w:sdtContent>
        <w:p w14:paraId="64B5FCA1" w14:textId="78D5C10F" w:rsidR="009E3CCB" w:rsidRPr="00BB3230" w:rsidRDefault="009E3CCB" w:rsidP="009E3CCB">
          <w:pPr>
            <w:pStyle w:val="NoSpacing"/>
            <w:rPr>
              <w:rFonts w:asciiTheme="minorBidi" w:hAnsiTheme="minorBidi"/>
            </w:rPr>
          </w:pPr>
          <w:r w:rsidRPr="00BB3230">
            <w:rPr>
              <w:rFonts w:asciiTheme="minorBidi" w:hAnsiTheme="minorBidi"/>
              <w:noProof/>
            </w:rPr>
            <mc:AlternateContent>
              <mc:Choice Requires="wpg">
                <w:drawing>
                  <wp:anchor distT="0" distB="0" distL="114300" distR="114300" simplePos="0" relativeHeight="251659264" behindDoc="1" locked="0" layoutInCell="1" allowOverlap="1" wp14:anchorId="4C809DA8" wp14:editId="3757865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inorBidi" w:hAnsiTheme="minorBidi"/>
                                      <w:sz w:val="24"/>
                                      <w:szCs w:val="24"/>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F313B6E" w14:textId="2B7E6EDC" w:rsidR="009E3CCB" w:rsidRDefault="005903C1" w:rsidP="009E3CCB">
                                      <w:pPr>
                                        <w:pStyle w:val="NoSpacing"/>
                                        <w:jc w:val="right"/>
                                        <w:rPr>
                                          <w:color w:val="FFFFFF" w:themeColor="background1"/>
                                          <w:sz w:val="28"/>
                                          <w:szCs w:val="28"/>
                                        </w:rPr>
                                      </w:pPr>
                                      <w:r w:rsidRPr="005903C1">
                                        <w:rPr>
                                          <w:rFonts w:asciiTheme="minorBidi" w:hAnsiTheme="minorBidi"/>
                                          <w:sz w:val="24"/>
                                          <w:szCs w:val="24"/>
                                        </w:rPr>
                                        <w:t xml:space="preserve"> Module Code: ACCA503</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C809DA8" id="Group 26" o:spid="_x0000_s1027"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">
                    <v:rect id="Rectangle 3" o:spid="_x0000_s1028"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9"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rFonts w:asciiTheme="minorBidi" w:hAnsiTheme="minorBidi"/>
                                <w:sz w:val="24"/>
                                <w:szCs w:val="24"/>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5F313B6E" w14:textId="2B7E6EDC" w:rsidR="009E3CCB" w:rsidRDefault="005903C1" w:rsidP="009E3CCB">
                                <w:pPr>
                                  <w:pStyle w:val="NoSpacing"/>
                                  <w:jc w:val="right"/>
                                  <w:rPr>
                                    <w:color w:val="FFFFFF" w:themeColor="background1"/>
                                    <w:sz w:val="28"/>
                                    <w:szCs w:val="28"/>
                                  </w:rPr>
                                </w:pPr>
                                <w:r w:rsidRPr="005903C1">
                                  <w:rPr>
                                    <w:rFonts w:asciiTheme="minorBidi" w:hAnsiTheme="minorBidi"/>
                                    <w:sz w:val="24"/>
                                    <w:szCs w:val="24"/>
                                  </w:rPr>
                                  <w:t xml:space="preserve"> Module Code: ACCA503</w:t>
                                </w:r>
                              </w:p>
                            </w:sdtContent>
                          </w:sdt>
                        </w:txbxContent>
                      </v:textbox>
                    </v:shape>
                    <v:group id="Group 5" o:spid="_x0000_s1030"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1"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2"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3"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4"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5"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6"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7"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8"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9"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40"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1"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2"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3"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4"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5"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6"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7"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8"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9"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50"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1"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2"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3"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4"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5"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34A9A965" w14:textId="3B5C6532" w:rsidR="009E3CCB" w:rsidRPr="00BB3230" w:rsidRDefault="005903C1" w:rsidP="009E3CCB">
          <w:pPr>
            <w:spacing w:after="160" w:line="278" w:lineRule="auto"/>
            <w:jc w:val="left"/>
            <w:rPr>
              <w:rFonts w:asciiTheme="minorBidi" w:hAnsiTheme="minorBidi" w:cstheme="minorBidi"/>
              <w:b/>
              <w:bCs/>
              <w:sz w:val="24"/>
              <w:szCs w:val="24"/>
            </w:rPr>
          </w:pPr>
          <w:r w:rsidRPr="00BB3230">
            <w:rPr>
              <w:rFonts w:asciiTheme="minorBidi" w:hAnsiTheme="minorBidi" w:cstheme="minorBidi"/>
              <w:noProof/>
            </w:rPr>
            <mc:AlternateContent>
              <mc:Choice Requires="wps">
                <w:drawing>
                  <wp:anchor distT="0" distB="0" distL="114300" distR="114300" simplePos="0" relativeHeight="251661312" behindDoc="0" locked="0" layoutInCell="1" allowOverlap="1" wp14:anchorId="46535DD6" wp14:editId="0B6DE157">
                    <wp:simplePos x="0" y="0"/>
                    <wp:positionH relativeFrom="page">
                      <wp:posOffset>2679700</wp:posOffset>
                    </wp:positionH>
                    <wp:positionV relativeFrom="margin">
                      <wp:align>bottom</wp:align>
                    </wp:positionV>
                    <wp:extent cx="3890010" cy="322093"/>
                    <wp:effectExtent l="0" t="0" r="15240" b="1905"/>
                    <wp:wrapNone/>
                    <wp:docPr id="32" name="Text Box 28"/>
                    <wp:cNvGraphicFramePr/>
                    <a:graphic xmlns:a="http://schemas.openxmlformats.org/drawingml/2006/main">
                      <a:graphicData uri="http://schemas.microsoft.com/office/word/2010/wordprocessingShape">
                        <wps:wsp>
                          <wps:cNvSpPr txBox="1"/>
                          <wps:spPr>
                            <a:xfrm>
                              <a:off x="0" y="0"/>
                              <a:ext cx="3890010" cy="3220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D2E8CB" w14:textId="77777777" w:rsidR="005903C1" w:rsidRPr="005903C1" w:rsidRDefault="005903C1" w:rsidP="005903C1">
                                <w:pPr>
                                  <w:pStyle w:val="Author"/>
                                  <w:shd w:val="clear" w:color="auto" w:fill="CAEDFB" w:themeFill="accent4" w:themeFillTint="33"/>
                                  <w:spacing w:before="0" w:line="360" w:lineRule="auto"/>
                                  <w:jc w:val="left"/>
                                  <w:rPr>
                                    <w:rFonts w:asciiTheme="minorBidi" w:hAnsiTheme="minorBidi" w:cstheme="minorBidi"/>
                                    <w:b/>
                                    <w:bCs/>
                                    <w:sz w:val="32"/>
                                    <w:szCs w:val="32"/>
                                  </w:rPr>
                                </w:pPr>
                                <w:r w:rsidRPr="005903C1">
                                  <w:rPr>
                                    <w:rFonts w:asciiTheme="minorBidi" w:hAnsiTheme="minorBidi" w:cstheme="minorBidi"/>
                                    <w:b/>
                                    <w:bCs/>
                                    <w:sz w:val="32"/>
                                    <w:szCs w:val="32"/>
                                  </w:rPr>
                                  <w:t>University Of Wales Trinity Saint David</w:t>
                                </w:r>
                              </w:p>
                              <w:p w14:paraId="7EC1D535" w14:textId="3EA9A95B" w:rsidR="009E3CCB" w:rsidRDefault="009E3CCB" w:rsidP="005903C1">
                                <w:pPr>
                                  <w:pStyle w:val="NoSpacing"/>
                                  <w:shd w:val="clear" w:color="auto" w:fill="CAEDFB" w:themeFill="accent4" w:themeFillTint="33"/>
                                  <w:rPr>
                                    <w:color w:val="156082" w:themeColor="accent1"/>
                                    <w:sz w:val="26"/>
                                    <w:szCs w:val="26"/>
                                  </w:rPr>
                                </w:pPr>
                              </w:p>
                              <w:p w14:paraId="6D1D41D2" w14:textId="22FECF0A" w:rsidR="009E3CCB" w:rsidRDefault="009E3CCB" w:rsidP="009E3CCB">
                                <w:pPr>
                                  <w:pStyle w:val="NoSpacing"/>
                                  <w:rPr>
                                    <w:color w:val="595959" w:themeColor="text1" w:themeTint="A6"/>
                                    <w:sz w:val="20"/>
                                    <w:szCs w:val="20"/>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46535DD6" id="Text Box 28" o:spid="_x0000_s1056" type="#_x0000_t202" style="position:absolute;margin-left:211pt;margin-top:0;width:306.3pt;height:25.35pt;z-index:251661312;visibility:visible;mso-wrap-style:square;mso-width-percent:0;mso-height-percent:0;mso-wrap-distance-left:9pt;mso-wrap-distance-top:0;mso-wrap-distance-right:9pt;mso-wrap-distance-bottom:0;mso-position-horizontal:absolute;mso-position-horizontal-relative:page;mso-position-vertical:bottom;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" filled="f" stroked="f" strokeweight=".5pt">
                    <v:textbox inset="0,0,0,0">
                      <w:txbxContent>
                        <w:p w14:paraId="0DD2E8CB" w14:textId="77777777" w:rsidR="005903C1" w:rsidRPr="005903C1" w:rsidRDefault="005903C1" w:rsidP="005903C1">
                          <w:pPr>
                            <w:pStyle w:val="Author"/>
                            <w:shd w:val="clear" w:color="auto" w:fill="CAEDFB" w:themeFill="accent4" w:themeFillTint="33"/>
                            <w:spacing w:before="0" w:line="360" w:lineRule="auto"/>
                            <w:jc w:val="left"/>
                            <w:rPr>
                              <w:rFonts w:asciiTheme="minorBidi" w:hAnsiTheme="minorBidi" w:cstheme="minorBidi"/>
                              <w:b/>
                              <w:bCs/>
                              <w:sz w:val="32"/>
                              <w:szCs w:val="32"/>
                            </w:rPr>
                          </w:pPr>
                          <w:r w:rsidRPr="005903C1">
                            <w:rPr>
                              <w:rFonts w:asciiTheme="minorBidi" w:hAnsiTheme="minorBidi" w:cstheme="minorBidi"/>
                              <w:b/>
                              <w:bCs/>
                              <w:sz w:val="32"/>
                              <w:szCs w:val="32"/>
                            </w:rPr>
                            <w:t>University Of Wales Trinity Saint David</w:t>
                          </w:r>
                        </w:p>
                        <w:p w14:paraId="7EC1D535" w14:textId="3EA9A95B" w:rsidR="009E3CCB" w:rsidRDefault="009E3CCB" w:rsidP="005903C1">
                          <w:pPr>
                            <w:pStyle w:val="NoSpacing"/>
                            <w:shd w:val="clear" w:color="auto" w:fill="CAEDFB" w:themeFill="accent4" w:themeFillTint="33"/>
                            <w:rPr>
                              <w:color w:val="156082" w:themeColor="accent1"/>
                              <w:sz w:val="26"/>
                              <w:szCs w:val="26"/>
                            </w:rPr>
                          </w:pPr>
                        </w:p>
                        <w:p w14:paraId="6D1D41D2" w14:textId="22FECF0A" w:rsidR="009E3CCB" w:rsidRDefault="009E3CCB" w:rsidP="009E3CCB">
                          <w:pPr>
                            <w:pStyle w:val="NoSpacing"/>
                            <w:rPr>
                              <w:color w:val="595959" w:themeColor="text1" w:themeTint="A6"/>
                              <w:sz w:val="20"/>
                              <w:szCs w:val="20"/>
                            </w:rPr>
                          </w:pPr>
                        </w:p>
                      </w:txbxContent>
                    </v:textbox>
                    <w10:wrap anchorx="page" anchory="margin"/>
                  </v:shape>
                </w:pict>
              </mc:Fallback>
            </mc:AlternateContent>
          </w:r>
          <w:r w:rsidR="009E3CCB" w:rsidRPr="00BB3230">
            <w:rPr>
              <w:rFonts w:asciiTheme="minorBidi" w:hAnsiTheme="minorBidi" w:cstheme="minorBidi"/>
              <w:b/>
              <w:bCs/>
              <w:sz w:val="24"/>
              <w:szCs w:val="24"/>
            </w:rPr>
            <w:br w:type="page"/>
          </w:r>
        </w:p>
      </w:sdtContent>
    </w:sdt>
    <w:sdt>
      <w:sdtPr>
        <w:rPr>
          <w:rFonts w:asciiTheme="minorBidi" w:eastAsia="SimSun" w:hAnsiTheme="minorBidi" w:cstheme="minorBidi"/>
          <w:color w:val="auto"/>
          <w:sz w:val="20"/>
          <w:szCs w:val="20"/>
          <w:lang w:val="en-GB"/>
        </w:rPr>
        <w:id w:val="675845305"/>
        <w:docPartObj>
          <w:docPartGallery w:val="Table of Contents"/>
          <w:docPartUnique/>
        </w:docPartObj>
      </w:sdtPr>
      <w:sdtEndPr>
        <w:rPr>
          <w:b/>
          <w:bCs/>
          <w:lang w:val="en-US"/>
        </w:rPr>
      </w:sdtEndPr>
      <w:sdtContent>
        <w:p w14:paraId="18526F7D" w14:textId="2CC81D98" w:rsidR="005903C1" w:rsidRPr="00BB3230" w:rsidRDefault="005903C1">
          <w:pPr>
            <w:pStyle w:val="TOCHeading"/>
            <w:rPr>
              <w:rFonts w:asciiTheme="minorBidi" w:hAnsiTheme="minorBidi" w:cstheme="minorBidi"/>
            </w:rPr>
          </w:pPr>
          <w:r w:rsidRPr="00BB3230">
            <w:rPr>
              <w:rFonts w:asciiTheme="minorBidi" w:hAnsiTheme="minorBidi" w:cstheme="minorBidi"/>
              <w:lang w:val="en-GB"/>
            </w:rPr>
            <w:t>Contents</w:t>
          </w:r>
        </w:p>
        <w:p w14:paraId="7FC79855" w14:textId="73AD7218"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r w:rsidRPr="00BB3230">
            <w:rPr>
              <w:rFonts w:asciiTheme="minorBidi" w:hAnsiTheme="minorBidi" w:cstheme="minorBidi"/>
            </w:rPr>
            <w:fldChar w:fldCharType="begin"/>
          </w:r>
          <w:r w:rsidRPr="00BB3230">
            <w:rPr>
              <w:rFonts w:asciiTheme="minorBidi" w:hAnsiTheme="minorBidi" w:cstheme="minorBidi"/>
            </w:rPr>
            <w:instrText xml:space="preserve"> TOC \o "1-3" \h \z \u </w:instrText>
          </w:r>
          <w:r w:rsidRPr="00BB3230">
            <w:rPr>
              <w:rFonts w:asciiTheme="minorBidi" w:hAnsiTheme="minorBidi" w:cstheme="minorBidi"/>
            </w:rPr>
            <w:fldChar w:fldCharType="separate"/>
          </w:r>
          <w:hyperlink w:anchor="_Toc221787858" w:history="1">
            <w:r w:rsidRPr="00BB3230">
              <w:rPr>
                <w:rStyle w:val="Hyperlink"/>
                <w:rFonts w:asciiTheme="minorBidi" w:hAnsiTheme="minorBidi" w:cstheme="minorBidi"/>
                <w:noProof/>
              </w:rPr>
              <w:t>1. Introduction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_Toc221787858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11</w:t>
            </w:r>
            <w:r w:rsidRPr="00BB3230">
              <w:rPr>
                <w:rFonts w:asciiTheme="minorBidi" w:hAnsiTheme="minorBidi" w:cstheme="minorBidi"/>
                <w:noProof/>
                <w:webHidden/>
              </w:rPr>
              <w:fldChar w:fldCharType="end"/>
            </w:r>
          </w:hyperlink>
        </w:p>
        <w:p w14:paraId="272BE054" w14:textId="54B58E57"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59" w:history="1">
            <w:r w:rsidRPr="00BB3230">
              <w:rPr>
                <w:rStyle w:val="Hyperlink"/>
                <w:rFonts w:asciiTheme="minorBidi" w:hAnsiTheme="minorBidi" w:cstheme="minorBidi"/>
                <w:noProof/>
              </w:rPr>
              <w:t>2. Strategic Design of the New Information Security Unit</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_Toc221787859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11</w:t>
            </w:r>
            <w:r w:rsidRPr="00BB3230">
              <w:rPr>
                <w:rFonts w:asciiTheme="minorBidi" w:hAnsiTheme="minorBidi" w:cstheme="minorBidi"/>
                <w:noProof/>
                <w:webHidden/>
              </w:rPr>
              <w:fldChar w:fldCharType="end"/>
            </w:r>
          </w:hyperlink>
        </w:p>
        <w:p w14:paraId="5949BC46" w14:textId="4B79E67D"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0" w:history="1">
            <w:r w:rsidRPr="00BB3230">
              <w:rPr>
                <w:rStyle w:val="Hyperlink"/>
                <w:rFonts w:asciiTheme="minorBidi" w:hAnsiTheme="minorBidi" w:cstheme="minorBidi"/>
                <w:noProof/>
              </w:rPr>
              <w:t>Organisational Structure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_Toc221787860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12</w:t>
            </w:r>
            <w:r w:rsidRPr="00BB3230">
              <w:rPr>
                <w:rFonts w:asciiTheme="minorBidi" w:hAnsiTheme="minorBidi" w:cstheme="minorBidi"/>
                <w:noProof/>
                <w:webHidden/>
              </w:rPr>
              <w:fldChar w:fldCharType="end"/>
            </w:r>
          </w:hyperlink>
        </w:p>
        <w:p w14:paraId="7CC8A763" w14:textId="0178FCB1"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1" w:history="1">
            <w:r w:rsidRPr="00BB3230">
              <w:rPr>
                <w:rStyle w:val="Hyperlink"/>
                <w:rFonts w:asciiTheme="minorBidi" w:hAnsiTheme="minorBidi" w:cstheme="minorBidi"/>
                <w:noProof/>
              </w:rPr>
              <w:t>3. Governance and Strategy Based on NIST CSF 2.0</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_Toc221787861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12</w:t>
            </w:r>
            <w:r w:rsidRPr="00BB3230">
              <w:rPr>
                <w:rFonts w:asciiTheme="minorBidi" w:hAnsiTheme="minorBidi" w:cstheme="minorBidi"/>
                <w:noProof/>
                <w:webHidden/>
              </w:rPr>
              <w:fldChar w:fldCharType="end"/>
            </w:r>
          </w:hyperlink>
        </w:p>
        <w:p w14:paraId="38CA78A0" w14:textId="4AA7C0EC"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2" w:history="1">
            <w:r w:rsidRPr="00BB3230">
              <w:rPr>
                <w:rStyle w:val="Hyperlink"/>
                <w:rFonts w:asciiTheme="minorBidi" w:hAnsiTheme="minorBidi" w:cstheme="minorBidi"/>
                <w:noProof/>
                <w:lang w:val="en-GB"/>
              </w:rPr>
              <w:t>3.1 Proposed Organisational Structure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_Toc221787862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12</w:t>
            </w:r>
            <w:r w:rsidRPr="00BB3230">
              <w:rPr>
                <w:rFonts w:asciiTheme="minorBidi" w:hAnsiTheme="minorBidi" w:cstheme="minorBidi"/>
                <w:noProof/>
                <w:webHidden/>
              </w:rPr>
              <w:fldChar w:fldCharType="end"/>
            </w:r>
          </w:hyperlink>
        </w:p>
        <w:p w14:paraId="4A826F1C" w14:textId="58315C07"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3" w:history="1">
            <w:r w:rsidRPr="00BB3230">
              <w:rPr>
                <w:rStyle w:val="Hyperlink"/>
                <w:rFonts w:asciiTheme="minorBidi" w:hAnsiTheme="minorBidi" w:cstheme="minorBidi"/>
                <w:noProof/>
                <w:lang w:val="en-GB"/>
              </w:rPr>
              <w:t>3.2 Role Justification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_Toc221787863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13</w:t>
            </w:r>
            <w:r w:rsidRPr="00BB3230">
              <w:rPr>
                <w:rFonts w:asciiTheme="minorBidi" w:hAnsiTheme="minorBidi" w:cstheme="minorBidi"/>
                <w:noProof/>
                <w:webHidden/>
              </w:rPr>
              <w:fldChar w:fldCharType="end"/>
            </w:r>
          </w:hyperlink>
        </w:p>
        <w:p w14:paraId="08ED6EF9" w14:textId="51F696E9"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4" w:history="1">
            <w:r w:rsidRPr="00BB3230">
              <w:rPr>
                <w:rStyle w:val="Hyperlink"/>
                <w:rFonts w:asciiTheme="minorBidi" w:hAnsiTheme="minorBidi" w:cstheme="minorBidi"/>
                <w:noProof/>
                <w:lang w:val="en-GB"/>
              </w:rPr>
              <w:t>3.3 Governance Alignment with NIST CSF 2.0</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_Toc221787864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14</w:t>
            </w:r>
            <w:r w:rsidRPr="00BB3230">
              <w:rPr>
                <w:rFonts w:asciiTheme="minorBidi" w:hAnsiTheme="minorBidi" w:cstheme="minorBidi"/>
                <w:noProof/>
                <w:webHidden/>
              </w:rPr>
              <w:fldChar w:fldCharType="end"/>
            </w:r>
          </w:hyperlink>
        </w:p>
        <w:p w14:paraId="17C70C38" w14:textId="67B13543"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5" w:history="1">
            <w:r w:rsidRPr="00BB3230">
              <w:rPr>
                <w:rStyle w:val="Hyperlink"/>
                <w:rFonts w:asciiTheme="minorBidi" w:hAnsiTheme="minorBidi" w:cstheme="minorBidi"/>
                <w:noProof/>
                <w:lang w:val="en-GB"/>
              </w:rPr>
              <w:t>4. Regulatory Compliance Mapping and Operational Alignment</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_Toc221787865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15</w:t>
            </w:r>
            <w:r w:rsidRPr="00BB3230">
              <w:rPr>
                <w:rFonts w:asciiTheme="minorBidi" w:hAnsiTheme="minorBidi" w:cstheme="minorBidi"/>
                <w:noProof/>
                <w:webHidden/>
              </w:rPr>
              <w:fldChar w:fldCharType="end"/>
            </w:r>
          </w:hyperlink>
        </w:p>
        <w:p w14:paraId="4A2C77F1" w14:textId="26AA6BE5"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6" w:history="1">
            <w:r w:rsidRPr="00BB3230">
              <w:rPr>
                <w:rStyle w:val="Hyperlink"/>
                <w:rFonts w:asciiTheme="minorBidi" w:hAnsiTheme="minorBidi" w:cstheme="minorBidi"/>
                <w:noProof/>
                <w:lang w:val="en-GB"/>
              </w:rPr>
              <w:t>4.1 Regulatory Mapping Table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_Toc221787866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15</w:t>
            </w:r>
            <w:r w:rsidRPr="00BB3230">
              <w:rPr>
                <w:rFonts w:asciiTheme="minorBidi" w:hAnsiTheme="minorBidi" w:cstheme="minorBidi"/>
                <w:noProof/>
                <w:webHidden/>
              </w:rPr>
              <w:fldChar w:fldCharType="end"/>
            </w:r>
          </w:hyperlink>
        </w:p>
        <w:p w14:paraId="270229DA" w14:textId="7AED02C5"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7" w:history="1">
            <w:r w:rsidRPr="00BB3230">
              <w:rPr>
                <w:rStyle w:val="Hyperlink"/>
                <w:rFonts w:asciiTheme="minorBidi" w:hAnsiTheme="minorBidi" w:cstheme="minorBidi"/>
                <w:noProof/>
                <w:lang w:val="en-GB"/>
              </w:rPr>
              <w:t>4.2 NIS2 Incident Reporting Workflow</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_Toc221787867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15</w:t>
            </w:r>
            <w:r w:rsidRPr="00BB3230">
              <w:rPr>
                <w:rFonts w:asciiTheme="minorBidi" w:hAnsiTheme="minorBidi" w:cstheme="minorBidi"/>
                <w:noProof/>
                <w:webHidden/>
              </w:rPr>
              <w:fldChar w:fldCharType="end"/>
            </w:r>
          </w:hyperlink>
        </w:p>
        <w:p w14:paraId="190C46BF" w14:textId="428161A1"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8" w:history="1">
            <w:r w:rsidRPr="00BB3230">
              <w:rPr>
                <w:rStyle w:val="Hyperlink"/>
                <w:rFonts w:asciiTheme="minorBidi" w:hAnsiTheme="minorBidi" w:cstheme="minorBidi"/>
                <w:noProof/>
                <w:lang w:val="en-GB"/>
              </w:rPr>
              <w:t>4.3 DORA Operational Resilience Integration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_Toc221787868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16</w:t>
            </w:r>
            <w:r w:rsidRPr="00BB3230">
              <w:rPr>
                <w:rFonts w:asciiTheme="minorBidi" w:hAnsiTheme="minorBidi" w:cstheme="minorBidi"/>
                <w:noProof/>
                <w:webHidden/>
              </w:rPr>
              <w:fldChar w:fldCharType="end"/>
            </w:r>
          </w:hyperlink>
        </w:p>
        <w:p w14:paraId="0702C9DC" w14:textId="0ED96E92"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69" w:history="1">
            <w:r w:rsidRPr="00BB3230">
              <w:rPr>
                <w:rStyle w:val="Hyperlink"/>
                <w:rFonts w:asciiTheme="minorBidi" w:hAnsiTheme="minorBidi" w:cstheme="minorBidi"/>
                <w:noProof/>
                <w:lang w:val="en-GB"/>
              </w:rPr>
              <w:t>5. Quantitative Risk Assessment and Prioritisation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_Toc221787869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16</w:t>
            </w:r>
            <w:r w:rsidRPr="00BB3230">
              <w:rPr>
                <w:rFonts w:asciiTheme="minorBidi" w:hAnsiTheme="minorBidi" w:cstheme="minorBidi"/>
                <w:noProof/>
                <w:webHidden/>
              </w:rPr>
              <w:fldChar w:fldCharType="end"/>
            </w:r>
          </w:hyperlink>
        </w:p>
        <w:p w14:paraId="1106A071" w14:textId="5C251E23"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0" w:history="1">
            <w:r w:rsidRPr="00BB3230">
              <w:rPr>
                <w:rStyle w:val="Hyperlink"/>
                <w:rFonts w:asciiTheme="minorBidi" w:hAnsiTheme="minorBidi" w:cstheme="minorBidi"/>
                <w:noProof/>
                <w:lang w:val="en-GB"/>
              </w:rPr>
              <w:t>5.1 Risk Scoring Model</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_Toc221787870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16</w:t>
            </w:r>
            <w:r w:rsidRPr="00BB3230">
              <w:rPr>
                <w:rFonts w:asciiTheme="minorBidi" w:hAnsiTheme="minorBidi" w:cstheme="minorBidi"/>
                <w:noProof/>
                <w:webHidden/>
              </w:rPr>
              <w:fldChar w:fldCharType="end"/>
            </w:r>
          </w:hyperlink>
        </w:p>
        <w:p w14:paraId="4645C646" w14:textId="45697E69"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1" w:history="1">
            <w:r w:rsidRPr="00BB3230">
              <w:rPr>
                <w:rStyle w:val="Hyperlink"/>
                <w:rFonts w:asciiTheme="minorBidi" w:hAnsiTheme="minorBidi" w:cstheme="minorBidi"/>
                <w:noProof/>
                <w:lang w:val="en-GB"/>
              </w:rPr>
              <w:t>5.2 High-Level Risk Matrix</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_Toc221787871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16</w:t>
            </w:r>
            <w:r w:rsidRPr="00BB3230">
              <w:rPr>
                <w:rFonts w:asciiTheme="minorBidi" w:hAnsiTheme="minorBidi" w:cstheme="minorBidi"/>
                <w:noProof/>
                <w:webHidden/>
              </w:rPr>
              <w:fldChar w:fldCharType="end"/>
            </w:r>
          </w:hyperlink>
        </w:p>
        <w:p w14:paraId="7DD4403F" w14:textId="14D7B7E1"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2" w:history="1">
            <w:r w:rsidRPr="00BB3230">
              <w:rPr>
                <w:rStyle w:val="Hyperlink"/>
                <w:rFonts w:asciiTheme="minorBidi" w:hAnsiTheme="minorBidi" w:cstheme="minorBidi"/>
                <w:noProof/>
                <w:lang w:val="en-GB"/>
              </w:rPr>
              <w:t>5.3 Risk Prioritisation Rationale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_Toc221787872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17</w:t>
            </w:r>
            <w:r w:rsidRPr="00BB3230">
              <w:rPr>
                <w:rFonts w:asciiTheme="minorBidi" w:hAnsiTheme="minorBidi" w:cstheme="minorBidi"/>
                <w:noProof/>
                <w:webHidden/>
              </w:rPr>
              <w:fldChar w:fldCharType="end"/>
            </w:r>
          </w:hyperlink>
        </w:p>
        <w:p w14:paraId="52B1A267" w14:textId="09250872"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3" w:history="1">
            <w:r w:rsidRPr="00BB3230">
              <w:rPr>
                <w:rStyle w:val="Hyperlink"/>
                <w:rFonts w:asciiTheme="minorBidi" w:hAnsiTheme="minorBidi" w:cstheme="minorBidi"/>
                <w:noProof/>
                <w:lang w:val="en-GB"/>
              </w:rPr>
              <w:t>5.4 Residual Risk Management</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_Toc221787873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18</w:t>
            </w:r>
            <w:r w:rsidRPr="00BB3230">
              <w:rPr>
                <w:rFonts w:asciiTheme="minorBidi" w:hAnsiTheme="minorBidi" w:cstheme="minorBidi"/>
                <w:noProof/>
                <w:webHidden/>
              </w:rPr>
              <w:fldChar w:fldCharType="end"/>
            </w:r>
          </w:hyperlink>
        </w:p>
        <w:p w14:paraId="03B02A74" w14:textId="5FCE13ED"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4" w:history="1">
            <w:r w:rsidRPr="00BB3230">
              <w:rPr>
                <w:rStyle w:val="Hyperlink"/>
                <w:rFonts w:asciiTheme="minorBidi" w:hAnsiTheme="minorBidi" w:cstheme="minorBidi"/>
                <w:noProof/>
                <w:lang w:val="en-GB"/>
              </w:rPr>
              <w:t>6. AI Lifecycle Security and Usage Governance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_Toc221787874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18</w:t>
            </w:r>
            <w:r w:rsidRPr="00BB3230">
              <w:rPr>
                <w:rFonts w:asciiTheme="minorBidi" w:hAnsiTheme="minorBidi" w:cstheme="minorBidi"/>
                <w:noProof/>
                <w:webHidden/>
              </w:rPr>
              <w:fldChar w:fldCharType="end"/>
            </w:r>
          </w:hyperlink>
        </w:p>
        <w:p w14:paraId="1859603C" w14:textId="36B75694"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5" w:history="1">
            <w:r w:rsidRPr="00BB3230">
              <w:rPr>
                <w:rStyle w:val="Hyperlink"/>
                <w:rFonts w:asciiTheme="minorBidi" w:hAnsiTheme="minorBidi" w:cstheme="minorBidi"/>
                <w:noProof/>
                <w:lang w:val="en-GB"/>
              </w:rPr>
              <w:t>6.1 AI Security Lifecycle Controls</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_Toc221787875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19</w:t>
            </w:r>
            <w:r w:rsidRPr="00BB3230">
              <w:rPr>
                <w:rFonts w:asciiTheme="minorBidi" w:hAnsiTheme="minorBidi" w:cstheme="minorBidi"/>
                <w:noProof/>
                <w:webHidden/>
              </w:rPr>
              <w:fldChar w:fldCharType="end"/>
            </w:r>
          </w:hyperlink>
        </w:p>
        <w:p w14:paraId="37CDAB33" w14:textId="2577900D"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6" w:history="1">
            <w:r w:rsidRPr="00BB3230">
              <w:rPr>
                <w:rStyle w:val="Hyperlink"/>
                <w:rFonts w:asciiTheme="minorBidi" w:hAnsiTheme="minorBidi" w:cstheme="minorBidi"/>
                <w:noProof/>
                <w:lang w:val="en-GB"/>
              </w:rPr>
              <w:t>6.2 AI Usage Policy</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_Toc221787876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19</w:t>
            </w:r>
            <w:r w:rsidRPr="00BB3230">
              <w:rPr>
                <w:rFonts w:asciiTheme="minorBidi" w:hAnsiTheme="minorBidi" w:cstheme="minorBidi"/>
                <w:noProof/>
                <w:webHidden/>
              </w:rPr>
              <w:fldChar w:fldCharType="end"/>
            </w:r>
          </w:hyperlink>
        </w:p>
        <w:p w14:paraId="682D8F5A" w14:textId="3DA503E8"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7" w:history="1">
            <w:r w:rsidRPr="00BB3230">
              <w:rPr>
                <w:rStyle w:val="Hyperlink"/>
                <w:rFonts w:asciiTheme="minorBidi" w:hAnsiTheme="minorBidi" w:cstheme="minorBidi"/>
                <w:noProof/>
                <w:lang w:val="en-GB"/>
              </w:rPr>
              <w:t>6.3 Governance Justification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_Toc221787877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20</w:t>
            </w:r>
            <w:r w:rsidRPr="00BB3230">
              <w:rPr>
                <w:rFonts w:asciiTheme="minorBidi" w:hAnsiTheme="minorBidi" w:cstheme="minorBidi"/>
                <w:noProof/>
                <w:webHidden/>
              </w:rPr>
              <w:fldChar w:fldCharType="end"/>
            </w:r>
          </w:hyperlink>
        </w:p>
        <w:p w14:paraId="36E16901" w14:textId="00735C26"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8" w:history="1">
            <w:r w:rsidRPr="00BB3230">
              <w:rPr>
                <w:rStyle w:val="Hyperlink"/>
                <w:rFonts w:asciiTheme="minorBidi" w:hAnsiTheme="minorBidi" w:cstheme="minorBidi"/>
                <w:noProof/>
                <w:lang w:val="en-GB"/>
              </w:rPr>
              <w:t>7. Cloud Security Governance and Identity Architecture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_Toc221787878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20</w:t>
            </w:r>
            <w:r w:rsidRPr="00BB3230">
              <w:rPr>
                <w:rFonts w:asciiTheme="minorBidi" w:hAnsiTheme="minorBidi" w:cstheme="minorBidi"/>
                <w:noProof/>
                <w:webHidden/>
              </w:rPr>
              <w:fldChar w:fldCharType="end"/>
            </w:r>
          </w:hyperlink>
        </w:p>
        <w:p w14:paraId="00862821" w14:textId="55AB042C"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79" w:history="1">
            <w:r w:rsidRPr="00BB3230">
              <w:rPr>
                <w:rStyle w:val="Hyperlink"/>
                <w:rFonts w:asciiTheme="minorBidi" w:hAnsiTheme="minorBidi" w:cstheme="minorBidi"/>
                <w:noProof/>
              </w:rPr>
              <w:t>7.1 Cloud Security Control Framework</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_Toc221787879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20</w:t>
            </w:r>
            <w:r w:rsidRPr="00BB3230">
              <w:rPr>
                <w:rFonts w:asciiTheme="minorBidi" w:hAnsiTheme="minorBidi" w:cstheme="minorBidi"/>
                <w:noProof/>
                <w:webHidden/>
              </w:rPr>
              <w:fldChar w:fldCharType="end"/>
            </w:r>
          </w:hyperlink>
        </w:p>
        <w:p w14:paraId="35BE2885" w14:textId="57A6A585"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0" w:history="1">
            <w:r w:rsidRPr="00BB3230">
              <w:rPr>
                <w:rStyle w:val="Hyperlink"/>
                <w:rFonts w:asciiTheme="minorBidi" w:hAnsiTheme="minorBidi" w:cstheme="minorBidi"/>
                <w:noProof/>
                <w:lang w:val="en-GB"/>
              </w:rPr>
              <w:t>7.2 Identity Resilience Architecture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_Toc221787880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21</w:t>
            </w:r>
            <w:r w:rsidRPr="00BB3230">
              <w:rPr>
                <w:rFonts w:asciiTheme="minorBidi" w:hAnsiTheme="minorBidi" w:cstheme="minorBidi"/>
                <w:noProof/>
                <w:webHidden/>
              </w:rPr>
              <w:fldChar w:fldCharType="end"/>
            </w:r>
          </w:hyperlink>
        </w:p>
        <w:p w14:paraId="5B254870" w14:textId="47B5EC51"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1" w:history="1">
            <w:r w:rsidRPr="00BB3230">
              <w:rPr>
                <w:rStyle w:val="Hyperlink"/>
                <w:rFonts w:asciiTheme="minorBidi" w:hAnsiTheme="minorBidi" w:cstheme="minorBidi"/>
                <w:noProof/>
                <w:lang w:val="en-GB"/>
              </w:rPr>
              <w:t>7.3 Micro-Segmentation and Workload Isolation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_Toc221787881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21</w:t>
            </w:r>
            <w:r w:rsidRPr="00BB3230">
              <w:rPr>
                <w:rFonts w:asciiTheme="minorBidi" w:hAnsiTheme="minorBidi" w:cstheme="minorBidi"/>
                <w:noProof/>
                <w:webHidden/>
              </w:rPr>
              <w:fldChar w:fldCharType="end"/>
            </w:r>
          </w:hyperlink>
        </w:p>
        <w:p w14:paraId="4058D8FD" w14:textId="5932DE3A"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2" w:history="1">
            <w:r w:rsidRPr="00BB3230">
              <w:rPr>
                <w:rStyle w:val="Hyperlink"/>
                <w:rFonts w:asciiTheme="minorBidi" w:hAnsiTheme="minorBidi" w:cstheme="minorBidi"/>
                <w:noProof/>
                <w:lang w:val="en-GB"/>
              </w:rPr>
              <w:t>7.4 Strategic Justification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_Toc221787882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21</w:t>
            </w:r>
            <w:r w:rsidRPr="00BB3230">
              <w:rPr>
                <w:rFonts w:asciiTheme="minorBidi" w:hAnsiTheme="minorBidi" w:cstheme="minorBidi"/>
                <w:noProof/>
                <w:webHidden/>
              </w:rPr>
              <w:fldChar w:fldCharType="end"/>
            </w:r>
          </w:hyperlink>
        </w:p>
        <w:p w14:paraId="2B8935C2" w14:textId="61405F2E"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3" w:history="1">
            <w:r w:rsidRPr="00BB3230">
              <w:rPr>
                <w:rStyle w:val="Hyperlink"/>
                <w:rFonts w:asciiTheme="minorBidi" w:hAnsiTheme="minorBidi" w:cstheme="minorBidi"/>
                <w:noProof/>
                <w:lang w:val="en-GB"/>
              </w:rPr>
              <w:t>8. Detection, Automation and Incident Response Framework</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_Toc221787883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22</w:t>
            </w:r>
            <w:r w:rsidRPr="00BB3230">
              <w:rPr>
                <w:rFonts w:asciiTheme="minorBidi" w:hAnsiTheme="minorBidi" w:cstheme="minorBidi"/>
                <w:noProof/>
                <w:webHidden/>
              </w:rPr>
              <w:fldChar w:fldCharType="end"/>
            </w:r>
          </w:hyperlink>
        </w:p>
        <w:p w14:paraId="49E010C5" w14:textId="250C8EEB"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4" w:history="1">
            <w:r w:rsidRPr="00BB3230">
              <w:rPr>
                <w:rStyle w:val="Hyperlink"/>
                <w:rFonts w:asciiTheme="minorBidi" w:hAnsiTheme="minorBidi" w:cstheme="minorBidi"/>
                <w:noProof/>
                <w:lang w:val="en-GB"/>
              </w:rPr>
              <w:t>8.1 Detection Architecture</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_Toc221787884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22</w:t>
            </w:r>
            <w:r w:rsidRPr="00BB3230">
              <w:rPr>
                <w:rFonts w:asciiTheme="minorBidi" w:hAnsiTheme="minorBidi" w:cstheme="minorBidi"/>
                <w:noProof/>
                <w:webHidden/>
              </w:rPr>
              <w:fldChar w:fldCharType="end"/>
            </w:r>
          </w:hyperlink>
        </w:p>
        <w:p w14:paraId="33F01F5F" w14:textId="69726EEE"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5" w:history="1">
            <w:r w:rsidRPr="00BB3230">
              <w:rPr>
                <w:rStyle w:val="Hyperlink"/>
                <w:rFonts w:asciiTheme="minorBidi" w:hAnsiTheme="minorBidi" w:cstheme="minorBidi"/>
                <w:noProof/>
                <w:lang w:val="en-GB"/>
              </w:rPr>
              <w:t>8.2 Automated Response Workflow</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_Toc221787885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22</w:t>
            </w:r>
            <w:r w:rsidRPr="00BB3230">
              <w:rPr>
                <w:rFonts w:asciiTheme="minorBidi" w:hAnsiTheme="minorBidi" w:cstheme="minorBidi"/>
                <w:noProof/>
                <w:webHidden/>
              </w:rPr>
              <w:fldChar w:fldCharType="end"/>
            </w:r>
          </w:hyperlink>
        </w:p>
        <w:p w14:paraId="1DF05622" w14:textId="080B25E4"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6" w:history="1">
            <w:r w:rsidRPr="00BB3230">
              <w:rPr>
                <w:rStyle w:val="Hyperlink"/>
                <w:rFonts w:asciiTheme="minorBidi" w:hAnsiTheme="minorBidi" w:cstheme="minorBidi"/>
                <w:noProof/>
                <w:lang w:val="en-GB"/>
              </w:rPr>
              <w:t>8.3 Regulatory Integration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_Toc221787886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22</w:t>
            </w:r>
            <w:r w:rsidRPr="00BB3230">
              <w:rPr>
                <w:rFonts w:asciiTheme="minorBidi" w:hAnsiTheme="minorBidi" w:cstheme="minorBidi"/>
                <w:noProof/>
                <w:webHidden/>
              </w:rPr>
              <w:fldChar w:fldCharType="end"/>
            </w:r>
          </w:hyperlink>
        </w:p>
        <w:p w14:paraId="282508EE" w14:textId="13839346"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7" w:history="1">
            <w:r w:rsidRPr="00BB3230">
              <w:rPr>
                <w:rStyle w:val="Hyperlink"/>
                <w:rFonts w:asciiTheme="minorBidi" w:hAnsiTheme="minorBidi" w:cstheme="minorBidi"/>
                <w:noProof/>
                <w:lang w:val="en-GB"/>
              </w:rPr>
              <w:t>8.4 Strategic Justification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_Toc221787887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23</w:t>
            </w:r>
            <w:r w:rsidRPr="00BB3230">
              <w:rPr>
                <w:rFonts w:asciiTheme="minorBidi" w:hAnsiTheme="minorBidi" w:cstheme="minorBidi"/>
                <w:noProof/>
                <w:webHidden/>
              </w:rPr>
              <w:fldChar w:fldCharType="end"/>
            </w:r>
          </w:hyperlink>
        </w:p>
        <w:p w14:paraId="2FD45D3E" w14:textId="074968AE"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8" w:history="1">
            <w:r w:rsidRPr="00BB3230">
              <w:rPr>
                <w:rStyle w:val="Hyperlink"/>
                <w:rFonts w:asciiTheme="minorBidi" w:hAnsiTheme="minorBidi" w:cstheme="minorBidi"/>
                <w:noProof/>
                <w:lang w:val="en-GB"/>
              </w:rPr>
              <w:t>8.5 Disaster Recovery and Operational Continuity Plan: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_Toc221787888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23</w:t>
            </w:r>
            <w:r w:rsidRPr="00BB3230">
              <w:rPr>
                <w:rFonts w:asciiTheme="minorBidi" w:hAnsiTheme="minorBidi" w:cstheme="minorBidi"/>
                <w:noProof/>
                <w:webHidden/>
              </w:rPr>
              <w:fldChar w:fldCharType="end"/>
            </w:r>
          </w:hyperlink>
        </w:p>
        <w:p w14:paraId="0109D1A5" w14:textId="3CB2801C"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89" w:history="1">
            <w:r w:rsidRPr="00BB3230">
              <w:rPr>
                <w:rStyle w:val="Hyperlink"/>
                <w:rFonts w:asciiTheme="minorBidi" w:hAnsiTheme="minorBidi" w:cstheme="minorBidi"/>
                <w:noProof/>
                <w:lang w:val="en-GB"/>
              </w:rPr>
              <w:t>9. Ransomware Response Phases</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_Toc221787889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24</w:t>
            </w:r>
            <w:r w:rsidRPr="00BB3230">
              <w:rPr>
                <w:rFonts w:asciiTheme="minorBidi" w:hAnsiTheme="minorBidi" w:cstheme="minorBidi"/>
                <w:noProof/>
                <w:webHidden/>
              </w:rPr>
              <w:fldChar w:fldCharType="end"/>
            </w:r>
          </w:hyperlink>
        </w:p>
        <w:p w14:paraId="70BC4A4E" w14:textId="6748B0CC"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0" w:history="1">
            <w:r w:rsidRPr="00BB3230">
              <w:rPr>
                <w:rStyle w:val="Hyperlink"/>
                <w:rFonts w:asciiTheme="minorBidi" w:hAnsiTheme="minorBidi" w:cstheme="minorBidi"/>
                <w:noProof/>
                <w:lang w:val="en-GB"/>
              </w:rPr>
              <w:t>9.1 Recovery Objectives</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_Toc221787890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25</w:t>
            </w:r>
            <w:r w:rsidRPr="00BB3230">
              <w:rPr>
                <w:rFonts w:asciiTheme="minorBidi" w:hAnsiTheme="minorBidi" w:cstheme="minorBidi"/>
                <w:noProof/>
                <w:webHidden/>
              </w:rPr>
              <w:fldChar w:fldCharType="end"/>
            </w:r>
          </w:hyperlink>
        </w:p>
        <w:p w14:paraId="027B885A" w14:textId="7FA17683"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1" w:history="1">
            <w:r w:rsidRPr="00BB3230">
              <w:rPr>
                <w:rStyle w:val="Hyperlink"/>
                <w:rFonts w:asciiTheme="minorBidi" w:hAnsiTheme="minorBidi" w:cstheme="minorBidi"/>
                <w:noProof/>
                <w:lang w:val="en-GB"/>
              </w:rPr>
              <w:t>9.2 Backup and Resilience Controls</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_Toc221787891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25</w:t>
            </w:r>
            <w:r w:rsidRPr="00BB3230">
              <w:rPr>
                <w:rFonts w:asciiTheme="minorBidi" w:hAnsiTheme="minorBidi" w:cstheme="minorBidi"/>
                <w:noProof/>
                <w:webHidden/>
              </w:rPr>
              <w:fldChar w:fldCharType="end"/>
            </w:r>
          </w:hyperlink>
        </w:p>
        <w:p w14:paraId="582AA701" w14:textId="41E65F75" w:rsidR="005903C1" w:rsidRPr="00BB3230" w:rsidRDefault="005903C1">
          <w:pPr>
            <w:pStyle w:val="TOC2"/>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2" w:history="1">
            <w:r w:rsidRPr="00BB3230">
              <w:rPr>
                <w:rStyle w:val="Hyperlink"/>
                <w:rFonts w:asciiTheme="minorBidi" w:hAnsiTheme="minorBidi" w:cstheme="minorBidi"/>
                <w:noProof/>
                <w:lang w:val="en-GB"/>
              </w:rPr>
              <w:t>9.3 Strategic Justification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_Toc221787892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25</w:t>
            </w:r>
            <w:r w:rsidRPr="00BB3230">
              <w:rPr>
                <w:rFonts w:asciiTheme="minorBidi" w:hAnsiTheme="minorBidi" w:cstheme="minorBidi"/>
                <w:noProof/>
                <w:webHidden/>
              </w:rPr>
              <w:fldChar w:fldCharType="end"/>
            </w:r>
          </w:hyperlink>
        </w:p>
        <w:p w14:paraId="7755C80D" w14:textId="2C7F1DF3"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3" w:history="1">
            <w:r w:rsidRPr="00BB3230">
              <w:rPr>
                <w:rStyle w:val="Hyperlink"/>
                <w:rFonts w:asciiTheme="minorBidi" w:hAnsiTheme="minorBidi" w:cstheme="minorBidi"/>
                <w:noProof/>
                <w:lang w:val="en-GB"/>
              </w:rPr>
              <w:t>10. Comparative Evaluation of Security Models</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_Toc221787893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26</w:t>
            </w:r>
            <w:r w:rsidRPr="00BB3230">
              <w:rPr>
                <w:rFonts w:asciiTheme="minorBidi" w:hAnsiTheme="minorBidi" w:cstheme="minorBidi"/>
                <w:noProof/>
                <w:webHidden/>
              </w:rPr>
              <w:fldChar w:fldCharType="end"/>
            </w:r>
          </w:hyperlink>
        </w:p>
        <w:p w14:paraId="30E880C7" w14:textId="362096C3"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4" w:history="1">
            <w:r w:rsidRPr="00BB3230">
              <w:rPr>
                <w:rStyle w:val="Hyperlink"/>
                <w:rFonts w:asciiTheme="minorBidi" w:hAnsiTheme="minorBidi" w:cstheme="minorBidi"/>
                <w:noProof/>
                <w:lang w:val="en-GB"/>
              </w:rPr>
              <w:t>11. Economic and Strategic Considerations</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_Toc221787894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26</w:t>
            </w:r>
            <w:r w:rsidRPr="00BB3230">
              <w:rPr>
                <w:rFonts w:asciiTheme="minorBidi" w:hAnsiTheme="minorBidi" w:cstheme="minorBidi"/>
                <w:noProof/>
                <w:webHidden/>
              </w:rPr>
              <w:fldChar w:fldCharType="end"/>
            </w:r>
          </w:hyperlink>
        </w:p>
        <w:p w14:paraId="62A1150D" w14:textId="301EB881"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5" w:history="1">
            <w:r w:rsidRPr="00BB3230">
              <w:rPr>
                <w:rStyle w:val="Hyperlink"/>
                <w:rFonts w:asciiTheme="minorBidi" w:hAnsiTheme="minorBidi" w:cstheme="minorBidi"/>
                <w:noProof/>
                <w:lang w:val="en-GB"/>
              </w:rPr>
              <w:t>12. Strategic Integration Framework:</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_Toc221787895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27</w:t>
            </w:r>
            <w:r w:rsidRPr="00BB3230">
              <w:rPr>
                <w:rFonts w:asciiTheme="minorBidi" w:hAnsiTheme="minorBidi" w:cstheme="minorBidi"/>
                <w:noProof/>
                <w:webHidden/>
              </w:rPr>
              <w:fldChar w:fldCharType="end"/>
            </w:r>
          </w:hyperlink>
        </w:p>
        <w:p w14:paraId="58B18DDB" w14:textId="7A9D3951"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6" w:history="1">
            <w:r w:rsidRPr="00BB3230">
              <w:rPr>
                <w:rStyle w:val="Hyperlink"/>
                <w:rFonts w:asciiTheme="minorBidi" w:hAnsiTheme="minorBidi" w:cstheme="minorBidi"/>
                <w:noProof/>
                <w:lang w:val="en-GB"/>
              </w:rPr>
              <w:t>13. Conclusion</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_Toc221787896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27</w:t>
            </w:r>
            <w:r w:rsidRPr="00BB3230">
              <w:rPr>
                <w:rFonts w:asciiTheme="minorBidi" w:hAnsiTheme="minorBidi" w:cstheme="minorBidi"/>
                <w:noProof/>
                <w:webHidden/>
              </w:rPr>
              <w:fldChar w:fldCharType="end"/>
            </w:r>
          </w:hyperlink>
        </w:p>
        <w:p w14:paraId="2E9BE73F" w14:textId="0F2A5CCA" w:rsidR="005903C1" w:rsidRPr="00BB3230" w:rsidRDefault="005903C1">
          <w:pPr>
            <w:pStyle w:val="TOC1"/>
            <w:tabs>
              <w:tab w:val="right" w:leader="dot" w:pos="10110"/>
            </w:tabs>
            <w:rPr>
              <w:rFonts w:asciiTheme="minorBidi" w:eastAsiaTheme="minorEastAsia" w:hAnsiTheme="minorBidi" w:cstheme="minorBidi"/>
              <w:noProof/>
              <w:kern w:val="2"/>
              <w:sz w:val="24"/>
              <w:szCs w:val="24"/>
              <w:lang w:val="en-GB" w:eastAsia="en-GB"/>
              <w14:ligatures w14:val="standardContextual"/>
            </w:rPr>
          </w:pPr>
          <w:hyperlink w:anchor="_Toc221787897" w:history="1">
            <w:r w:rsidRPr="00BB3230">
              <w:rPr>
                <w:rStyle w:val="Hyperlink"/>
                <w:rFonts w:asciiTheme="minorBidi" w:hAnsiTheme="minorBidi" w:cstheme="minorBidi"/>
                <w:noProof/>
                <w:lang w:val="en-GB"/>
              </w:rPr>
              <w:t>References:</w:t>
            </w:r>
            <w:r w:rsidRPr="00BB3230">
              <w:rPr>
                <w:rFonts w:asciiTheme="minorBidi" w:hAnsiTheme="minorBidi" w:cstheme="minorBidi"/>
                <w:noProof/>
                <w:webHidden/>
              </w:rPr>
              <w:tab/>
            </w:r>
            <w:r w:rsidRPr="00BB3230">
              <w:rPr>
                <w:rFonts w:asciiTheme="minorBidi" w:hAnsiTheme="minorBidi" w:cstheme="minorBidi"/>
                <w:noProof/>
                <w:webHidden/>
              </w:rPr>
              <w:fldChar w:fldCharType="begin"/>
            </w:r>
            <w:r w:rsidRPr="00BB3230">
              <w:rPr>
                <w:rFonts w:asciiTheme="minorBidi" w:hAnsiTheme="minorBidi" w:cstheme="minorBidi"/>
                <w:noProof/>
                <w:webHidden/>
              </w:rPr>
              <w:instrText xml:space="preserve"> PAGEREF _Toc221787897 \h </w:instrText>
            </w:r>
            <w:r w:rsidRPr="00BB3230">
              <w:rPr>
                <w:rFonts w:asciiTheme="minorBidi" w:hAnsiTheme="minorBidi" w:cstheme="minorBidi"/>
                <w:noProof/>
                <w:webHidden/>
              </w:rPr>
            </w:r>
            <w:r w:rsidRPr="00BB3230">
              <w:rPr>
                <w:rFonts w:asciiTheme="minorBidi" w:hAnsiTheme="minorBidi" w:cstheme="minorBidi"/>
                <w:noProof/>
                <w:webHidden/>
              </w:rPr>
              <w:fldChar w:fldCharType="separate"/>
            </w:r>
            <w:r w:rsidRPr="00BB3230">
              <w:rPr>
                <w:rFonts w:asciiTheme="minorBidi" w:hAnsiTheme="minorBidi" w:cstheme="minorBidi"/>
                <w:noProof/>
                <w:webHidden/>
              </w:rPr>
              <w:t>28</w:t>
            </w:r>
            <w:r w:rsidRPr="00BB3230">
              <w:rPr>
                <w:rFonts w:asciiTheme="minorBidi" w:hAnsiTheme="minorBidi" w:cstheme="minorBidi"/>
                <w:noProof/>
                <w:webHidden/>
              </w:rPr>
              <w:fldChar w:fldCharType="end"/>
            </w:r>
          </w:hyperlink>
        </w:p>
        <w:p w14:paraId="2D8BC928" w14:textId="673664DB" w:rsidR="005903C1" w:rsidRPr="00BB3230" w:rsidRDefault="005903C1">
          <w:pPr>
            <w:rPr>
              <w:rFonts w:asciiTheme="minorBidi" w:hAnsiTheme="minorBidi" w:cstheme="minorBidi"/>
            </w:rPr>
          </w:pPr>
          <w:r w:rsidRPr="00BB3230">
            <w:rPr>
              <w:rFonts w:asciiTheme="minorBidi" w:hAnsiTheme="minorBidi" w:cstheme="minorBidi"/>
              <w:b/>
              <w:bCs/>
            </w:rPr>
            <w:fldChar w:fldCharType="end"/>
          </w:r>
        </w:p>
      </w:sdtContent>
    </w:sdt>
    <w:p w14:paraId="09E7A381" w14:textId="77777777" w:rsidR="0064550E" w:rsidRPr="00BB3230" w:rsidRDefault="0064550E" w:rsidP="009B57EA">
      <w:pPr>
        <w:spacing w:line="360" w:lineRule="auto"/>
        <w:jc w:val="left"/>
        <w:rPr>
          <w:rFonts w:asciiTheme="minorBidi" w:hAnsiTheme="minorBidi" w:cstheme="minorBidi"/>
          <w:b/>
          <w:bCs/>
          <w:sz w:val="24"/>
          <w:szCs w:val="24"/>
        </w:rPr>
      </w:pPr>
    </w:p>
    <w:p w14:paraId="207B8340" w14:textId="77777777" w:rsidR="0064550E" w:rsidRPr="00BB3230" w:rsidRDefault="0064550E" w:rsidP="009B57EA">
      <w:pPr>
        <w:spacing w:line="360" w:lineRule="auto"/>
        <w:jc w:val="left"/>
        <w:rPr>
          <w:rFonts w:asciiTheme="minorBidi" w:hAnsiTheme="minorBidi" w:cstheme="minorBidi"/>
          <w:b/>
          <w:bCs/>
          <w:sz w:val="24"/>
          <w:szCs w:val="24"/>
        </w:rPr>
      </w:pPr>
    </w:p>
    <w:p w14:paraId="1B44CB5A" w14:textId="7C4EB69F" w:rsidR="00FD5725" w:rsidRPr="00FE258A" w:rsidRDefault="00FD5725" w:rsidP="00BD5F1D">
      <w:pPr>
        <w:pStyle w:val="Author"/>
        <w:spacing w:before="0" w:line="360" w:lineRule="auto"/>
        <w:jc w:val="left"/>
        <w:rPr>
          <w:rFonts w:asciiTheme="minorBidi" w:hAnsiTheme="minorBidi" w:cstheme="minorBidi"/>
          <w:sz w:val="24"/>
          <w:szCs w:val="24"/>
        </w:rPr>
      </w:pPr>
      <w:r w:rsidRPr="00FE258A">
        <w:rPr>
          <w:rFonts w:asciiTheme="minorBidi" w:hAnsiTheme="minorBidi" w:cstheme="minorBidi"/>
          <w:b/>
          <w:bCs/>
          <w:sz w:val="24"/>
          <w:szCs w:val="24"/>
        </w:rPr>
        <w:t>Zero-Trust-Aligned Security Programme for MediTrust Analytics Ltd</w:t>
      </w:r>
    </w:p>
    <w:p w14:paraId="025C3E9A" w14:textId="7837112D" w:rsidR="00545A34" w:rsidRDefault="00FD5725" w:rsidP="00346AA3">
      <w:pPr>
        <w:pStyle w:val="Heading1"/>
        <w:spacing w:line="360" w:lineRule="auto"/>
        <w:jc w:val="left"/>
        <w:rPr>
          <w:rFonts w:asciiTheme="minorBidi" w:hAnsiTheme="minorBidi" w:cstheme="minorBidi"/>
          <w:b/>
          <w:bCs/>
          <w:sz w:val="32"/>
          <w:szCs w:val="32"/>
        </w:rPr>
      </w:pPr>
      <w:bookmarkStart w:id="1" w:name="_Toc221787858"/>
      <w:r w:rsidRPr="00847D7A">
        <w:rPr>
          <w:rFonts w:asciiTheme="minorBidi" w:hAnsiTheme="minorBidi" w:cstheme="minorBidi"/>
          <w:b/>
          <w:bCs/>
          <w:sz w:val="32"/>
          <w:szCs w:val="32"/>
        </w:rPr>
        <w:t>1. Introduction</w:t>
      </w:r>
      <w:bookmarkStart w:id="2" w:name="_Toc221787859"/>
      <w:bookmarkEnd w:id="1"/>
    </w:p>
    <w:p w14:paraId="4FBAAF19" w14:textId="77777777" w:rsidR="00346AA3" w:rsidRPr="00346AA3" w:rsidRDefault="00346AA3" w:rsidP="00346AA3">
      <w:pPr>
        <w:spacing w:line="360" w:lineRule="auto"/>
        <w:jc w:val="left"/>
        <w:rPr>
          <w:rFonts w:asciiTheme="minorBidi" w:hAnsiTheme="minorBidi" w:cstheme="minorBidi"/>
          <w:sz w:val="24"/>
          <w:szCs w:val="24"/>
          <w:lang w:val="en-GB"/>
        </w:rPr>
      </w:pPr>
      <w:proofErr w:type="spellStart"/>
      <w:r w:rsidRPr="00346AA3">
        <w:rPr>
          <w:rFonts w:asciiTheme="minorBidi" w:hAnsiTheme="minorBidi" w:cstheme="minorBidi"/>
          <w:b/>
          <w:bCs/>
          <w:sz w:val="24"/>
          <w:szCs w:val="24"/>
          <w:lang w:val="en-GB"/>
        </w:rPr>
        <w:t>MediTrust</w:t>
      </w:r>
      <w:proofErr w:type="spellEnd"/>
      <w:r w:rsidRPr="00346AA3">
        <w:rPr>
          <w:rFonts w:asciiTheme="minorBidi" w:hAnsiTheme="minorBidi" w:cstheme="minorBidi"/>
          <w:b/>
          <w:bCs/>
          <w:sz w:val="24"/>
          <w:szCs w:val="24"/>
          <w:lang w:val="en-GB"/>
        </w:rPr>
        <w:t xml:space="preserve"> Analytics Ltd</w:t>
      </w:r>
      <w:r w:rsidRPr="00346AA3">
        <w:rPr>
          <w:rFonts w:asciiTheme="minorBidi" w:hAnsiTheme="minorBidi" w:cstheme="minorBidi"/>
          <w:sz w:val="24"/>
          <w:szCs w:val="24"/>
          <w:lang w:val="en-GB"/>
        </w:rPr>
        <w:t xml:space="preserve"> works in a digital healthcare environment using AI systems, multi-cloud infrastructure, and remote teams. It processes sensitive medical and health data while expanding into the EU.</w:t>
      </w:r>
    </w:p>
    <w:p w14:paraId="47DC258D" w14:textId="77777777" w:rsidR="00346AA3" w:rsidRPr="00346AA3" w:rsidRDefault="00346AA3" w:rsidP="00346AA3">
      <w:pPr>
        <w:spacing w:line="360" w:lineRule="auto"/>
        <w:jc w:val="left"/>
        <w:rPr>
          <w:rFonts w:asciiTheme="minorBidi" w:hAnsiTheme="minorBidi" w:cstheme="minorBidi"/>
          <w:sz w:val="24"/>
          <w:szCs w:val="24"/>
          <w:lang w:val="en-GB"/>
        </w:rPr>
      </w:pPr>
      <w:r w:rsidRPr="00346AA3">
        <w:rPr>
          <w:rFonts w:asciiTheme="minorBidi" w:hAnsiTheme="minorBidi" w:cstheme="minorBidi"/>
          <w:sz w:val="24"/>
          <w:szCs w:val="24"/>
          <w:lang w:val="en-GB"/>
        </w:rPr>
        <w:t xml:space="preserve">This creates regulatory duties under the </w:t>
      </w:r>
      <w:r w:rsidRPr="00346AA3">
        <w:rPr>
          <w:rFonts w:asciiTheme="minorBidi" w:hAnsiTheme="minorBidi" w:cstheme="minorBidi"/>
          <w:b/>
          <w:bCs/>
          <w:sz w:val="24"/>
          <w:szCs w:val="24"/>
          <w:lang w:val="en-GB"/>
        </w:rPr>
        <w:t>General Data Protection Regulation</w:t>
      </w:r>
      <w:r w:rsidRPr="00346AA3">
        <w:rPr>
          <w:rFonts w:asciiTheme="minorBidi" w:hAnsiTheme="minorBidi" w:cstheme="minorBidi"/>
          <w:sz w:val="24"/>
          <w:szCs w:val="24"/>
          <w:lang w:val="en-GB"/>
        </w:rPr>
        <w:t xml:space="preserve">, </w:t>
      </w:r>
      <w:r w:rsidRPr="00346AA3">
        <w:rPr>
          <w:rFonts w:asciiTheme="minorBidi" w:hAnsiTheme="minorBidi" w:cstheme="minorBidi"/>
          <w:b/>
          <w:bCs/>
          <w:sz w:val="24"/>
          <w:szCs w:val="24"/>
          <w:lang w:val="en-GB"/>
        </w:rPr>
        <w:t>Digital Operational Resilience Act</w:t>
      </w:r>
      <w:r w:rsidRPr="00346AA3">
        <w:rPr>
          <w:rFonts w:asciiTheme="minorBidi" w:hAnsiTheme="minorBidi" w:cstheme="minorBidi"/>
          <w:sz w:val="24"/>
          <w:szCs w:val="24"/>
          <w:lang w:val="en-GB"/>
        </w:rPr>
        <w:t xml:space="preserve">, and </w:t>
      </w:r>
      <w:r w:rsidRPr="00346AA3">
        <w:rPr>
          <w:rFonts w:asciiTheme="minorBidi" w:hAnsiTheme="minorBidi" w:cstheme="minorBidi"/>
          <w:b/>
          <w:bCs/>
          <w:sz w:val="24"/>
          <w:szCs w:val="24"/>
          <w:lang w:val="en-GB"/>
        </w:rPr>
        <w:t>NIS2 Directive</w:t>
      </w:r>
      <w:r w:rsidRPr="00346AA3">
        <w:rPr>
          <w:rFonts w:asciiTheme="minorBidi" w:hAnsiTheme="minorBidi" w:cstheme="minorBidi"/>
          <w:sz w:val="24"/>
          <w:szCs w:val="24"/>
          <w:lang w:val="en-GB"/>
        </w:rPr>
        <w:t>.</w:t>
      </w:r>
    </w:p>
    <w:p w14:paraId="1762A7F5" w14:textId="1905CB3B" w:rsidR="00346AA3" w:rsidRPr="00346AA3" w:rsidRDefault="00346AA3" w:rsidP="00346AA3">
      <w:pPr>
        <w:spacing w:line="360" w:lineRule="auto"/>
        <w:jc w:val="left"/>
        <w:rPr>
          <w:rFonts w:asciiTheme="minorBidi" w:hAnsiTheme="minorBidi" w:cstheme="minorBidi"/>
          <w:sz w:val="24"/>
          <w:szCs w:val="24"/>
          <w:lang w:val="en-GB"/>
        </w:rPr>
      </w:pPr>
      <w:r w:rsidRPr="00346AA3">
        <w:rPr>
          <w:rFonts w:asciiTheme="minorBidi" w:hAnsiTheme="minorBidi" w:cstheme="minorBidi"/>
          <w:sz w:val="24"/>
          <w:szCs w:val="24"/>
          <w:lang w:val="en-GB"/>
        </w:rPr>
        <w:t xml:space="preserve">Traditional perimeter security is insufficient because risks come from identities, supply chains, and cloud workloads. The paper proposes a </w:t>
      </w:r>
      <w:r w:rsidRPr="00346AA3">
        <w:rPr>
          <w:rFonts w:asciiTheme="minorBidi" w:hAnsiTheme="minorBidi" w:cstheme="minorBidi"/>
          <w:b/>
          <w:bCs/>
          <w:sz w:val="24"/>
          <w:szCs w:val="24"/>
          <w:lang w:val="en-GB"/>
        </w:rPr>
        <w:t>Zero Trust Architecture</w:t>
      </w:r>
      <w:r w:rsidRPr="00346AA3">
        <w:rPr>
          <w:rFonts w:asciiTheme="minorBidi" w:hAnsiTheme="minorBidi" w:cstheme="minorBidi"/>
          <w:sz w:val="24"/>
          <w:szCs w:val="24"/>
          <w:lang w:val="en-GB"/>
        </w:rPr>
        <w:t xml:space="preserve"> program combining governance, risk management, AI security, cloud control, legal compliance, and operational resilience.</w:t>
      </w:r>
    </w:p>
    <w:p w14:paraId="10889AAF" w14:textId="77777777" w:rsidR="00FD5725" w:rsidRPr="00847D7A" w:rsidRDefault="00FD5725" w:rsidP="009B57EA">
      <w:pPr>
        <w:pStyle w:val="Heading1"/>
        <w:spacing w:line="360" w:lineRule="auto"/>
        <w:jc w:val="left"/>
        <w:rPr>
          <w:rFonts w:asciiTheme="minorBidi" w:hAnsiTheme="minorBidi" w:cstheme="minorBidi"/>
          <w:b/>
          <w:bCs/>
          <w:sz w:val="32"/>
          <w:szCs w:val="32"/>
        </w:rPr>
      </w:pPr>
      <w:r w:rsidRPr="00847D7A">
        <w:rPr>
          <w:rFonts w:asciiTheme="minorBidi" w:hAnsiTheme="minorBidi" w:cstheme="minorBidi"/>
          <w:b/>
          <w:bCs/>
          <w:sz w:val="32"/>
          <w:szCs w:val="32"/>
        </w:rPr>
        <w:t>2. Strategic Design of the New Information Security Unit</w:t>
      </w:r>
      <w:bookmarkEnd w:id="2"/>
    </w:p>
    <w:p w14:paraId="6C818568" w14:textId="773E3908" w:rsidR="00BB3230" w:rsidRPr="00FE258A" w:rsidRDefault="00FD5725" w:rsidP="00545A34">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 xml:space="preserve">The security unit is designed as a </w:t>
      </w:r>
      <w:proofErr w:type="spellStart"/>
      <w:r w:rsidR="00E55532" w:rsidRPr="00BB3230">
        <w:rPr>
          <w:rFonts w:asciiTheme="minorBidi" w:hAnsiTheme="minorBidi" w:cstheme="minorBidi"/>
          <w:sz w:val="24"/>
          <w:szCs w:val="24"/>
        </w:rPr>
        <w:t>centralised</w:t>
      </w:r>
      <w:proofErr w:type="spellEnd"/>
      <w:r w:rsidRPr="00FE258A">
        <w:rPr>
          <w:rFonts w:asciiTheme="minorBidi" w:hAnsiTheme="minorBidi" w:cstheme="minorBidi"/>
          <w:sz w:val="24"/>
          <w:szCs w:val="24"/>
        </w:rPr>
        <w:t xml:space="preserve"> yet federated function embedded across engineering, AI research, and cloud operations. The architecture adopts a </w:t>
      </w:r>
      <w:r w:rsidRPr="00FE258A">
        <w:rPr>
          <w:rFonts w:asciiTheme="minorBidi" w:hAnsiTheme="minorBidi" w:cstheme="minorBidi"/>
          <w:b/>
          <w:bCs/>
          <w:sz w:val="24"/>
          <w:szCs w:val="24"/>
        </w:rPr>
        <w:t>Zero Trust model</w:t>
      </w:r>
      <w:r w:rsidRPr="00FE258A">
        <w:rPr>
          <w:rFonts w:asciiTheme="minorBidi" w:hAnsiTheme="minorBidi" w:cstheme="minorBidi"/>
          <w:sz w:val="24"/>
          <w:szCs w:val="24"/>
        </w:rPr>
        <w:t>, where identity, device posture, workload integrity, and contextual risk determine access decisions rather than network location [1].</w:t>
      </w:r>
    </w:p>
    <w:p w14:paraId="79F7CB88" w14:textId="03763EF9" w:rsidR="00FD5725" w:rsidRPr="00847D7A" w:rsidRDefault="00BB3230" w:rsidP="009B57EA">
      <w:pPr>
        <w:pStyle w:val="Heading2"/>
        <w:spacing w:line="360" w:lineRule="auto"/>
        <w:jc w:val="left"/>
        <w:rPr>
          <w:rFonts w:asciiTheme="minorBidi" w:hAnsiTheme="minorBidi" w:cstheme="minorBidi"/>
          <w:b/>
          <w:bCs/>
        </w:rPr>
      </w:pPr>
      <w:bookmarkStart w:id="3" w:name="_Toc221787860"/>
      <w:r w:rsidRPr="00847D7A">
        <w:rPr>
          <w:rFonts w:asciiTheme="minorBidi" w:hAnsiTheme="minorBidi" w:cstheme="minorBidi"/>
          <w:b/>
          <w:bCs/>
        </w:rPr>
        <w:t xml:space="preserve">2.1 </w:t>
      </w:r>
      <w:proofErr w:type="spellStart"/>
      <w:r w:rsidR="008C7018" w:rsidRPr="00847D7A">
        <w:rPr>
          <w:rFonts w:asciiTheme="minorBidi" w:hAnsiTheme="minorBidi" w:cstheme="minorBidi"/>
          <w:b/>
          <w:bCs/>
        </w:rPr>
        <w:t>Organisational</w:t>
      </w:r>
      <w:proofErr w:type="spellEnd"/>
      <w:r w:rsidR="00FD5725" w:rsidRPr="00847D7A">
        <w:rPr>
          <w:rFonts w:asciiTheme="minorBidi" w:hAnsiTheme="minorBidi" w:cstheme="minorBidi"/>
          <w:b/>
          <w:bCs/>
        </w:rPr>
        <w:t xml:space="preserve"> Structure</w:t>
      </w:r>
      <w:bookmarkEnd w:id="3"/>
    </w:p>
    <w:p w14:paraId="32480A95" w14:textId="77777777" w:rsidR="00FD5725" w:rsidRPr="00BB3230" w:rsidRDefault="00FD5725" w:rsidP="009B57EA">
      <w:pPr>
        <w:spacing w:line="360" w:lineRule="auto"/>
        <w:jc w:val="left"/>
        <w:rPr>
          <w:rFonts w:asciiTheme="minorBidi" w:hAnsiTheme="minorBidi" w:cstheme="minorBidi"/>
          <w:sz w:val="24"/>
          <w:szCs w:val="24"/>
        </w:rPr>
      </w:pPr>
      <w:r w:rsidRPr="00FE258A">
        <w:rPr>
          <w:rFonts w:asciiTheme="minorBidi" w:hAnsiTheme="minorBidi" w:cstheme="minorBidi"/>
          <w:sz w:val="24"/>
          <w:szCs w:val="24"/>
        </w:rPr>
        <w:t>The structure integrates governance, architecture, engineering, and resilience oversight:</w:t>
      </w:r>
    </w:p>
    <w:p w14:paraId="6BA05BD8" w14:textId="77777777" w:rsidR="006C3729" w:rsidRDefault="00FD5725" w:rsidP="00594980">
      <w:pPr>
        <w:keepNext/>
        <w:spacing w:after="160" w:line="360" w:lineRule="auto"/>
      </w:pPr>
      <w:r w:rsidRPr="00BB3230">
        <w:rPr>
          <w:rFonts w:asciiTheme="minorBidi" w:hAnsiTheme="minorBidi" w:cstheme="minorBidi"/>
          <w:noProof/>
          <w:sz w:val="24"/>
          <w:szCs w:val="24"/>
        </w:rPr>
        <w:lastRenderedPageBreak/>
        <w:drawing>
          <wp:inline distT="0" distB="0" distL="0" distR="0" wp14:anchorId="747242DA" wp14:editId="28251033">
            <wp:extent cx="5731510" cy="3125470"/>
            <wp:effectExtent l="114300" t="95250" r="116840" b="93980"/>
            <wp:docPr id="1656853346" name="Picture 2" descr="A diagram of security and risk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853346" name="Picture 2" descr="A diagram of security and risk management&#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3125470"/>
                    </a:xfrm>
                    <a:prstGeom prst="rect">
                      <a:avLst/>
                    </a:prstGeom>
                    <a:effectLst>
                      <a:outerShdw blurRad="63500" sx="102000" sy="102000" algn="ctr" rotWithShape="0">
                        <a:prstClr val="black">
                          <a:alpha val="40000"/>
                        </a:prstClr>
                      </a:outerShdw>
                    </a:effectLst>
                  </pic:spPr>
                </pic:pic>
              </a:graphicData>
            </a:graphic>
          </wp:inline>
        </w:drawing>
      </w:r>
    </w:p>
    <w:p w14:paraId="4C129760" w14:textId="564BF357" w:rsidR="00FD5725" w:rsidRPr="00FE258A" w:rsidRDefault="006C3729" w:rsidP="006C3729">
      <w:pPr>
        <w:pStyle w:val="Caption"/>
        <w:rPr>
          <w:rFonts w:asciiTheme="minorBidi" w:hAnsiTheme="minorBidi" w:cstheme="minorBidi"/>
          <w:sz w:val="24"/>
          <w:szCs w:val="24"/>
        </w:rPr>
      </w:pPr>
      <w:r>
        <w:t xml:space="preserve">Figure </w:t>
      </w:r>
      <w:r>
        <w:fldChar w:fldCharType="begin"/>
      </w:r>
      <w:r>
        <w:instrText xml:space="preserve"> SEQ Figure \* ARABIC </w:instrText>
      </w:r>
      <w:r>
        <w:fldChar w:fldCharType="separate"/>
      </w:r>
      <w:r w:rsidR="00540908">
        <w:rPr>
          <w:noProof/>
        </w:rPr>
        <w:t>2</w:t>
      </w:r>
      <w:r>
        <w:fldChar w:fldCharType="end"/>
      </w:r>
      <w:r>
        <w:rPr>
          <w:lang w:val="en-GB"/>
        </w:rPr>
        <w:t>: Risk Management Structure</w:t>
      </w:r>
    </w:p>
    <w:p w14:paraId="00460CEE" w14:textId="52B93E18" w:rsidR="00FD5725" w:rsidRPr="00FE258A" w:rsidRDefault="00FD5725"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 xml:space="preserve">The </w:t>
      </w:r>
      <w:r w:rsidRPr="00FE258A">
        <w:rPr>
          <w:rFonts w:asciiTheme="minorBidi" w:hAnsiTheme="minorBidi" w:cstheme="minorBidi"/>
          <w:b/>
          <w:bCs/>
          <w:sz w:val="24"/>
          <w:szCs w:val="24"/>
        </w:rPr>
        <w:t>Cloud Security Architect</w:t>
      </w:r>
      <w:r w:rsidRPr="00FE258A">
        <w:rPr>
          <w:rFonts w:asciiTheme="minorBidi" w:hAnsiTheme="minorBidi" w:cstheme="minorBidi"/>
          <w:sz w:val="24"/>
          <w:szCs w:val="24"/>
        </w:rPr>
        <w:t xml:space="preserve"> designs secure multi-cloud architecture, ensures CSPM implementation, and aligns cloud controls with DORA resilience requirements [</w:t>
      </w:r>
      <w:r w:rsidR="00E55532" w:rsidRPr="00BB3230">
        <w:rPr>
          <w:rFonts w:asciiTheme="minorBidi" w:hAnsiTheme="minorBidi" w:cstheme="minorBidi"/>
          <w:sz w:val="24"/>
          <w:szCs w:val="24"/>
        </w:rPr>
        <w:t>2</w:t>
      </w:r>
      <w:r w:rsidRPr="00FE258A">
        <w:rPr>
          <w:rFonts w:asciiTheme="minorBidi" w:hAnsiTheme="minorBidi" w:cstheme="minorBidi"/>
          <w:sz w:val="24"/>
          <w:szCs w:val="24"/>
        </w:rPr>
        <w:t xml:space="preserve">]. The </w:t>
      </w:r>
      <w:proofErr w:type="spellStart"/>
      <w:r w:rsidRPr="00FE258A">
        <w:rPr>
          <w:rFonts w:asciiTheme="minorBidi" w:hAnsiTheme="minorBidi" w:cstheme="minorBidi"/>
          <w:b/>
          <w:bCs/>
          <w:sz w:val="24"/>
          <w:szCs w:val="24"/>
        </w:rPr>
        <w:t>DevSecOps</w:t>
      </w:r>
      <w:proofErr w:type="spellEnd"/>
      <w:r w:rsidRPr="00FE258A">
        <w:rPr>
          <w:rFonts w:asciiTheme="minorBidi" w:hAnsiTheme="minorBidi" w:cstheme="minorBidi"/>
          <w:b/>
          <w:bCs/>
          <w:sz w:val="24"/>
          <w:szCs w:val="24"/>
        </w:rPr>
        <w:t xml:space="preserve"> Lead</w:t>
      </w:r>
      <w:r w:rsidRPr="00FE258A">
        <w:rPr>
          <w:rFonts w:asciiTheme="minorBidi" w:hAnsiTheme="minorBidi" w:cstheme="minorBidi"/>
          <w:sz w:val="24"/>
          <w:szCs w:val="24"/>
        </w:rPr>
        <w:t xml:space="preserve"> embeds security controls into CI/CD pipelines, manages software supply chain integrity, and enforces secure coding and dependency management [</w:t>
      </w:r>
      <w:r w:rsidR="00E55532" w:rsidRPr="00BB3230">
        <w:rPr>
          <w:rFonts w:asciiTheme="minorBidi" w:hAnsiTheme="minorBidi" w:cstheme="minorBidi"/>
          <w:sz w:val="24"/>
          <w:szCs w:val="24"/>
        </w:rPr>
        <w:t>3</w:t>
      </w:r>
      <w:r w:rsidRPr="00FE258A">
        <w:rPr>
          <w:rFonts w:asciiTheme="minorBidi" w:hAnsiTheme="minorBidi" w:cstheme="minorBidi"/>
          <w:sz w:val="24"/>
          <w:szCs w:val="24"/>
        </w:rPr>
        <w:t>].</w:t>
      </w:r>
    </w:p>
    <w:p w14:paraId="094CB64F" w14:textId="14686726" w:rsidR="00FD5725" w:rsidRPr="00FE258A" w:rsidRDefault="00FD5725" w:rsidP="009E2DC2">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This structure ensures clear accountability, regulatory oversight, and continuous security integration within product development.</w:t>
      </w:r>
    </w:p>
    <w:p w14:paraId="5EFA9B58" w14:textId="77777777" w:rsidR="00FD5725" w:rsidRPr="00847D7A" w:rsidRDefault="00FD5725" w:rsidP="009B57EA">
      <w:pPr>
        <w:pStyle w:val="Heading1"/>
        <w:spacing w:line="360" w:lineRule="auto"/>
        <w:jc w:val="left"/>
        <w:rPr>
          <w:rFonts w:asciiTheme="minorBidi" w:hAnsiTheme="minorBidi" w:cstheme="minorBidi"/>
          <w:b/>
          <w:bCs/>
          <w:sz w:val="32"/>
          <w:szCs w:val="32"/>
        </w:rPr>
      </w:pPr>
      <w:bookmarkStart w:id="4" w:name="_Toc221787861"/>
      <w:r w:rsidRPr="00847D7A">
        <w:rPr>
          <w:rFonts w:asciiTheme="minorBidi" w:hAnsiTheme="minorBidi" w:cstheme="minorBidi"/>
          <w:b/>
          <w:bCs/>
          <w:sz w:val="32"/>
          <w:szCs w:val="32"/>
        </w:rPr>
        <w:t>3. Governance and Strategy Based on NIST CSF 2.0</w:t>
      </w:r>
      <w:bookmarkEnd w:id="4"/>
    </w:p>
    <w:p w14:paraId="2BD76B39" w14:textId="797D5D88" w:rsidR="004228DA" w:rsidRPr="00BB3230" w:rsidRDefault="004228DA" w:rsidP="00400989">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Effective Zero Trust adoption within </w:t>
      </w:r>
      <w:proofErr w:type="spellStart"/>
      <w:r w:rsidRPr="00BB3230">
        <w:rPr>
          <w:rFonts w:asciiTheme="minorBidi" w:hAnsiTheme="minorBidi" w:cstheme="minorBidi"/>
          <w:sz w:val="24"/>
          <w:szCs w:val="24"/>
          <w:lang w:val="en-GB"/>
        </w:rPr>
        <w:t>MediTrust’s</w:t>
      </w:r>
      <w:proofErr w:type="spellEnd"/>
      <w:r w:rsidRPr="00BB3230">
        <w:rPr>
          <w:rFonts w:asciiTheme="minorBidi" w:hAnsiTheme="minorBidi" w:cstheme="minorBidi"/>
          <w:sz w:val="24"/>
          <w:szCs w:val="24"/>
          <w:lang w:val="en-GB"/>
        </w:rPr>
        <w:t xml:space="preserve"> EU expansion requires a clearly defined governance structure aligned with NIST Cybersecurity Framework (CSF) 2.0 and regulatory accountability obligations under DORA and NIS2 [</w:t>
      </w:r>
      <w:r w:rsidR="00E55532" w:rsidRPr="00BB3230">
        <w:rPr>
          <w:rFonts w:asciiTheme="minorBidi" w:hAnsiTheme="minorBidi" w:cstheme="minorBidi"/>
          <w:sz w:val="24"/>
          <w:szCs w:val="24"/>
          <w:lang w:val="en-GB"/>
        </w:rPr>
        <w:t>4</w:t>
      </w:r>
      <w:r w:rsidR="00CA4EC6" w:rsidRPr="00BB3230">
        <w:rPr>
          <w:rFonts w:asciiTheme="minorBidi" w:hAnsiTheme="minorBidi" w:cstheme="minorBidi"/>
          <w:sz w:val="24"/>
          <w:szCs w:val="24"/>
          <w:lang w:val="en-GB"/>
        </w:rPr>
        <w:t>]</w:t>
      </w:r>
      <w:r w:rsidRPr="00BB3230">
        <w:rPr>
          <w:rFonts w:asciiTheme="minorBidi" w:hAnsiTheme="minorBidi" w:cstheme="minorBidi"/>
          <w:sz w:val="24"/>
          <w:szCs w:val="24"/>
          <w:lang w:val="en-GB"/>
        </w:rPr>
        <w:t>.</w:t>
      </w:r>
    </w:p>
    <w:p w14:paraId="5F15293F" w14:textId="30EA1CCF" w:rsidR="004228DA" w:rsidRPr="00847D7A" w:rsidRDefault="004228DA" w:rsidP="009E2DC2">
      <w:pPr>
        <w:pStyle w:val="Heading2"/>
        <w:jc w:val="left"/>
        <w:rPr>
          <w:rFonts w:asciiTheme="minorBidi" w:hAnsiTheme="minorBidi" w:cstheme="minorBidi"/>
          <w:b/>
          <w:bCs/>
          <w:lang w:val="en-GB"/>
        </w:rPr>
      </w:pPr>
      <w:bookmarkStart w:id="5" w:name="_Toc221787862"/>
      <w:r w:rsidRPr="00847D7A">
        <w:rPr>
          <w:rFonts w:asciiTheme="minorBidi" w:hAnsiTheme="minorBidi" w:cstheme="minorBidi"/>
          <w:b/>
          <w:bCs/>
          <w:lang w:val="en-GB"/>
        </w:rPr>
        <w:t>3.1 Proposed Organisational Structure</w:t>
      </w:r>
      <w:bookmarkEnd w:id="5"/>
    </w:p>
    <w:p w14:paraId="49DC4801" w14:textId="77777777" w:rsidR="004228DA" w:rsidRPr="00BB3230" w:rsidRDefault="004228DA"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 EU Information Security Unit should operate under board-level oversight to ensure strategic alignment and regulatory accountability.</w:t>
      </w:r>
    </w:p>
    <w:p w14:paraId="22C31A58" w14:textId="77777777" w:rsidR="004228DA" w:rsidRPr="00BB3230" w:rsidRDefault="004228DA"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Proposed Reporting Model:</w:t>
      </w:r>
    </w:p>
    <w:p w14:paraId="560A9C16" w14:textId="77777777" w:rsidR="006C3729" w:rsidRDefault="004228DA" w:rsidP="006C3729">
      <w:pPr>
        <w:keepNext/>
        <w:spacing w:line="360" w:lineRule="auto"/>
        <w:jc w:val="left"/>
      </w:pPr>
      <w:r w:rsidRPr="00BB3230">
        <w:rPr>
          <w:rFonts w:asciiTheme="minorBidi" w:hAnsiTheme="minorBidi" w:cstheme="minorBidi"/>
          <w:sz w:val="24"/>
          <w:szCs w:val="24"/>
          <w:lang w:val="en-GB"/>
        </w:rPr>
        <w:lastRenderedPageBreak/>
        <w:t xml:space="preserve"> </w:t>
      </w:r>
      <w:r w:rsidRPr="00BB3230">
        <w:rPr>
          <w:rFonts w:asciiTheme="minorBidi" w:hAnsiTheme="minorBidi" w:cstheme="minorBidi"/>
          <w:noProof/>
          <w:sz w:val="24"/>
          <w:szCs w:val="24"/>
          <w:lang w:val="en-GB"/>
          <w14:ligatures w14:val="standardContextual"/>
        </w:rPr>
        <w:drawing>
          <wp:inline distT="0" distB="0" distL="0" distR="0" wp14:anchorId="7981849A" wp14:editId="78C90692">
            <wp:extent cx="5731510" cy="3362960"/>
            <wp:effectExtent l="114300" t="114300" r="116840" b="123190"/>
            <wp:docPr id="635573372" name="Picture 3" descr="A diagram of a compan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573372" name="Picture 3" descr="A diagram of a company"/>
                    <pic:cNvPicPr/>
                  </pic:nvPicPr>
                  <pic:blipFill>
                    <a:blip r:embed="rId14">
                      <a:extLst>
                        <a:ext uri="{28A0092B-C50C-407E-A947-70E740481C1C}">
                          <a14:useLocalDpi xmlns:a14="http://schemas.microsoft.com/office/drawing/2010/main" val="0"/>
                        </a:ext>
                      </a:extLst>
                    </a:blip>
                    <a:stretch>
                      <a:fillRect/>
                    </a:stretch>
                  </pic:blipFill>
                  <pic:spPr>
                    <a:xfrm>
                      <a:off x="0" y="0"/>
                      <a:ext cx="5731510" cy="3362960"/>
                    </a:xfrm>
                    <a:prstGeom prst="rect">
                      <a:avLst/>
                    </a:prstGeom>
                    <a:effectLst>
                      <a:outerShdw blurRad="63500" sx="102000" sy="102000" algn="ctr" rotWithShape="0">
                        <a:schemeClr val="accent4">
                          <a:lumMod val="50000"/>
                          <a:alpha val="40000"/>
                        </a:schemeClr>
                      </a:outerShdw>
                    </a:effectLst>
                  </pic:spPr>
                </pic:pic>
              </a:graphicData>
            </a:graphic>
          </wp:inline>
        </w:drawing>
      </w:r>
    </w:p>
    <w:p w14:paraId="31D65C7D" w14:textId="393EC6CC" w:rsidR="004228DA" w:rsidRPr="00BB3230" w:rsidRDefault="006C3729" w:rsidP="006C3729">
      <w:pPr>
        <w:pStyle w:val="Caption"/>
        <w:rPr>
          <w:rFonts w:asciiTheme="minorBidi" w:hAnsiTheme="minorBidi" w:cstheme="minorBidi"/>
          <w:sz w:val="24"/>
          <w:szCs w:val="24"/>
          <w:lang w:val="en-GB"/>
        </w:rPr>
      </w:pPr>
      <w:r>
        <w:t xml:space="preserve">Figure </w:t>
      </w:r>
      <w:r>
        <w:fldChar w:fldCharType="begin"/>
      </w:r>
      <w:r>
        <w:instrText xml:space="preserve"> SEQ Figure \* ARABIC </w:instrText>
      </w:r>
      <w:r>
        <w:fldChar w:fldCharType="separate"/>
      </w:r>
      <w:r w:rsidR="00540908">
        <w:rPr>
          <w:noProof/>
        </w:rPr>
        <w:t>3</w:t>
      </w:r>
      <w:r>
        <w:fldChar w:fldCharType="end"/>
      </w:r>
      <w:r>
        <w:rPr>
          <w:lang w:val="en-GB"/>
        </w:rPr>
        <w:t xml:space="preserve">: </w:t>
      </w:r>
      <w:r w:rsidRPr="00B04CC6">
        <w:rPr>
          <w:lang w:val="en-GB"/>
        </w:rPr>
        <w:t xml:space="preserve">Organisational </w:t>
      </w:r>
      <w:r>
        <w:rPr>
          <w:lang w:val="en-GB"/>
        </w:rPr>
        <w:t>Design</w:t>
      </w:r>
    </w:p>
    <w:p w14:paraId="3D1969E3" w14:textId="77777777" w:rsidR="004228DA" w:rsidRPr="00BB3230" w:rsidRDefault="004228DA" w:rsidP="009B57EA">
      <w:pPr>
        <w:spacing w:line="360" w:lineRule="auto"/>
        <w:jc w:val="left"/>
        <w:rPr>
          <w:rFonts w:asciiTheme="minorBidi" w:hAnsiTheme="minorBidi" w:cstheme="minorBidi"/>
          <w:sz w:val="24"/>
          <w:szCs w:val="24"/>
          <w:lang w:val="en-GB"/>
        </w:rPr>
      </w:pPr>
    </w:p>
    <w:p w14:paraId="029158C1" w14:textId="6AD511DF" w:rsidR="004228DA" w:rsidRPr="008C7018" w:rsidRDefault="004228DA" w:rsidP="008C701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This structure ensures separation of architectural design, secure development integration, operational monitoring, and regulatory compliance functions.</w:t>
      </w:r>
    </w:p>
    <w:p w14:paraId="1D068EE6" w14:textId="77777777" w:rsidR="004228DA" w:rsidRPr="00380DAC" w:rsidRDefault="004228DA" w:rsidP="009E2DC2">
      <w:pPr>
        <w:pStyle w:val="Heading2"/>
        <w:jc w:val="left"/>
        <w:rPr>
          <w:rFonts w:asciiTheme="minorBidi" w:hAnsiTheme="minorBidi" w:cstheme="minorBidi"/>
          <w:b/>
          <w:bCs/>
          <w:sz w:val="28"/>
          <w:szCs w:val="28"/>
          <w:lang w:val="en-GB"/>
        </w:rPr>
      </w:pPr>
      <w:bookmarkStart w:id="6" w:name="_Toc221787863"/>
      <w:r w:rsidRPr="00380DAC">
        <w:rPr>
          <w:rFonts w:asciiTheme="minorBidi" w:hAnsiTheme="minorBidi" w:cstheme="minorBidi"/>
          <w:b/>
          <w:bCs/>
          <w:sz w:val="28"/>
          <w:szCs w:val="28"/>
          <w:lang w:val="en-GB"/>
        </w:rPr>
        <w:t>3.2 Role Justification</w:t>
      </w:r>
      <w:bookmarkEnd w:id="6"/>
    </w:p>
    <w:p w14:paraId="04D94EAD" w14:textId="77777777" w:rsidR="00411FCF" w:rsidRPr="00411FCF" w:rsidRDefault="00411FCF" w:rsidP="00411FCF">
      <w:pPr>
        <w:spacing w:line="360" w:lineRule="auto"/>
        <w:jc w:val="left"/>
        <w:rPr>
          <w:rFonts w:asciiTheme="minorBidi" w:hAnsiTheme="minorBidi" w:cstheme="minorBidi"/>
          <w:sz w:val="24"/>
          <w:szCs w:val="24"/>
          <w:lang w:val="en-GB"/>
        </w:rPr>
      </w:pPr>
      <w:r w:rsidRPr="00411FCF">
        <w:rPr>
          <w:rFonts w:asciiTheme="minorBidi" w:hAnsiTheme="minorBidi" w:cstheme="minorBidi"/>
          <w:b/>
          <w:bCs/>
          <w:sz w:val="24"/>
          <w:szCs w:val="24"/>
          <w:lang w:val="en-GB"/>
        </w:rPr>
        <w:t>Chief Information Security Officer</w:t>
      </w:r>
      <w:r w:rsidRPr="00411FCF">
        <w:rPr>
          <w:rFonts w:asciiTheme="minorBidi" w:hAnsiTheme="minorBidi" w:cstheme="minorBidi"/>
          <w:sz w:val="24"/>
          <w:szCs w:val="24"/>
          <w:lang w:val="en-GB"/>
        </w:rPr>
        <w:br/>
        <w:t xml:space="preserve">Manages overall security strategy and regulatory reporting under </w:t>
      </w:r>
      <w:r w:rsidRPr="00411FCF">
        <w:rPr>
          <w:rFonts w:asciiTheme="minorBidi" w:hAnsiTheme="minorBidi" w:cstheme="minorBidi"/>
          <w:b/>
          <w:bCs/>
          <w:sz w:val="24"/>
          <w:szCs w:val="24"/>
          <w:lang w:val="en-GB"/>
        </w:rPr>
        <w:t>NIS2 Directive</w:t>
      </w:r>
      <w:r w:rsidRPr="00411FCF">
        <w:rPr>
          <w:rFonts w:asciiTheme="minorBidi" w:hAnsiTheme="minorBidi" w:cstheme="minorBidi"/>
          <w:sz w:val="24"/>
          <w:szCs w:val="24"/>
          <w:lang w:val="en-GB"/>
        </w:rPr>
        <w:t xml:space="preserve">. Also oversees system resilience required by </w:t>
      </w:r>
      <w:r w:rsidRPr="00411FCF">
        <w:rPr>
          <w:rFonts w:asciiTheme="minorBidi" w:hAnsiTheme="minorBidi" w:cstheme="minorBidi"/>
          <w:b/>
          <w:bCs/>
          <w:sz w:val="24"/>
          <w:szCs w:val="24"/>
          <w:lang w:val="en-GB"/>
        </w:rPr>
        <w:t>Digital Operational Resilience Act</w:t>
      </w:r>
      <w:r w:rsidRPr="00411FCF">
        <w:rPr>
          <w:rFonts w:asciiTheme="minorBidi" w:hAnsiTheme="minorBidi" w:cstheme="minorBidi"/>
          <w:sz w:val="24"/>
          <w:szCs w:val="24"/>
          <w:lang w:val="en-GB"/>
        </w:rPr>
        <w:t>.</w:t>
      </w:r>
    </w:p>
    <w:p w14:paraId="1FAC011E" w14:textId="77777777" w:rsidR="00411FCF" w:rsidRPr="00411FCF" w:rsidRDefault="00411FCF" w:rsidP="00411FCF">
      <w:pPr>
        <w:spacing w:line="360" w:lineRule="auto"/>
        <w:jc w:val="left"/>
        <w:rPr>
          <w:rFonts w:asciiTheme="minorBidi" w:hAnsiTheme="minorBidi" w:cstheme="minorBidi"/>
          <w:sz w:val="24"/>
          <w:szCs w:val="24"/>
          <w:lang w:val="en-GB"/>
        </w:rPr>
      </w:pPr>
      <w:r w:rsidRPr="00411FCF">
        <w:rPr>
          <w:rFonts w:asciiTheme="minorBidi" w:hAnsiTheme="minorBidi" w:cstheme="minorBidi"/>
          <w:b/>
          <w:bCs/>
          <w:sz w:val="24"/>
          <w:szCs w:val="24"/>
          <w:lang w:val="en-GB"/>
        </w:rPr>
        <w:t>Cloud Security Architect</w:t>
      </w:r>
      <w:r w:rsidRPr="00411FCF">
        <w:rPr>
          <w:rFonts w:asciiTheme="minorBidi" w:hAnsiTheme="minorBidi" w:cstheme="minorBidi"/>
          <w:sz w:val="24"/>
          <w:szCs w:val="24"/>
          <w:lang w:val="en-GB"/>
        </w:rPr>
        <w:br/>
        <w:t xml:space="preserve">Designs </w:t>
      </w:r>
      <w:r w:rsidRPr="00411FCF">
        <w:rPr>
          <w:rFonts w:asciiTheme="minorBidi" w:hAnsiTheme="minorBidi" w:cstheme="minorBidi"/>
          <w:b/>
          <w:bCs/>
          <w:sz w:val="24"/>
          <w:szCs w:val="24"/>
          <w:lang w:val="en-GB"/>
        </w:rPr>
        <w:t>Zero Trust Architecture</w:t>
      </w:r>
      <w:r w:rsidRPr="00411FCF">
        <w:rPr>
          <w:rFonts w:asciiTheme="minorBidi" w:hAnsiTheme="minorBidi" w:cstheme="minorBidi"/>
          <w:sz w:val="24"/>
          <w:szCs w:val="24"/>
          <w:lang w:val="en-GB"/>
        </w:rPr>
        <w:t xml:space="preserve"> in cloud systems, manages micro-segmentation and cloud security configuration to reduce misconfiguration risks.</w:t>
      </w:r>
    </w:p>
    <w:p w14:paraId="24B38D34" w14:textId="77777777" w:rsidR="00411FCF" w:rsidRPr="00411FCF" w:rsidRDefault="00411FCF" w:rsidP="00411FCF">
      <w:pPr>
        <w:spacing w:line="360" w:lineRule="auto"/>
        <w:jc w:val="left"/>
        <w:rPr>
          <w:rFonts w:asciiTheme="minorBidi" w:hAnsiTheme="minorBidi" w:cstheme="minorBidi"/>
          <w:sz w:val="24"/>
          <w:szCs w:val="24"/>
          <w:lang w:val="en-GB"/>
        </w:rPr>
      </w:pPr>
      <w:proofErr w:type="spellStart"/>
      <w:r w:rsidRPr="00411FCF">
        <w:rPr>
          <w:rFonts w:asciiTheme="minorBidi" w:hAnsiTheme="minorBidi" w:cstheme="minorBidi"/>
          <w:b/>
          <w:bCs/>
          <w:sz w:val="24"/>
          <w:szCs w:val="24"/>
          <w:lang w:val="en-GB"/>
        </w:rPr>
        <w:t>DevSecOps</w:t>
      </w:r>
      <w:proofErr w:type="spellEnd"/>
      <w:r w:rsidRPr="00411FCF">
        <w:rPr>
          <w:rFonts w:asciiTheme="minorBidi" w:hAnsiTheme="minorBidi" w:cstheme="minorBidi"/>
          <w:b/>
          <w:bCs/>
          <w:sz w:val="24"/>
          <w:szCs w:val="24"/>
          <w:lang w:val="en-GB"/>
        </w:rPr>
        <w:t xml:space="preserve"> Engineer</w:t>
      </w:r>
      <w:r w:rsidRPr="00411FCF">
        <w:rPr>
          <w:rFonts w:asciiTheme="minorBidi" w:hAnsiTheme="minorBidi" w:cstheme="minorBidi"/>
          <w:sz w:val="24"/>
          <w:szCs w:val="24"/>
          <w:lang w:val="en-GB"/>
        </w:rPr>
        <w:br/>
        <w:t>Ensures secure coding, protects CI/CD pipelines, and manages software supply-chain risks.</w:t>
      </w:r>
    </w:p>
    <w:p w14:paraId="173CCB4D" w14:textId="77777777" w:rsidR="00411FCF" w:rsidRPr="00411FCF" w:rsidRDefault="00411FCF" w:rsidP="00411FCF">
      <w:pPr>
        <w:spacing w:line="360" w:lineRule="auto"/>
        <w:jc w:val="left"/>
        <w:rPr>
          <w:rFonts w:asciiTheme="minorBidi" w:hAnsiTheme="minorBidi" w:cstheme="minorBidi"/>
          <w:sz w:val="24"/>
          <w:szCs w:val="24"/>
          <w:lang w:val="en-GB"/>
        </w:rPr>
      </w:pPr>
      <w:r w:rsidRPr="00411FCF">
        <w:rPr>
          <w:rFonts w:asciiTheme="minorBidi" w:hAnsiTheme="minorBidi" w:cstheme="minorBidi"/>
          <w:b/>
          <w:bCs/>
          <w:sz w:val="24"/>
          <w:szCs w:val="24"/>
          <w:lang w:val="en-GB"/>
        </w:rPr>
        <w:t>Security Operations Manager</w:t>
      </w:r>
      <w:r w:rsidRPr="00411FCF">
        <w:rPr>
          <w:rFonts w:asciiTheme="minorBidi" w:hAnsiTheme="minorBidi" w:cstheme="minorBidi"/>
          <w:sz w:val="24"/>
          <w:szCs w:val="24"/>
          <w:lang w:val="en-GB"/>
        </w:rPr>
        <w:br/>
        <w:t>Manages security monitoring tools to detect threats and respond to incidents quickly.</w:t>
      </w:r>
    </w:p>
    <w:p w14:paraId="1F90BA5C" w14:textId="37D17F99" w:rsidR="004228DA" w:rsidRPr="00BB3230" w:rsidRDefault="004228DA" w:rsidP="008C701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Compliance &amp; Risk Officer</w:t>
      </w:r>
      <w:r w:rsidR="00A30C47" w:rsidRPr="00BB3230">
        <w:rPr>
          <w:rFonts w:asciiTheme="minorBidi" w:hAnsiTheme="minorBidi" w:cstheme="minorBidi"/>
          <w:sz w:val="24"/>
          <w:szCs w:val="24"/>
          <w:lang w:val="en-GB"/>
        </w:rPr>
        <w:t>:</w:t>
      </w:r>
      <w:r w:rsidRPr="00BB3230">
        <w:rPr>
          <w:rFonts w:asciiTheme="minorBidi" w:hAnsiTheme="minorBidi" w:cstheme="minorBidi"/>
          <w:sz w:val="24"/>
          <w:szCs w:val="24"/>
          <w:lang w:val="en-GB"/>
        </w:rPr>
        <w:br/>
        <w:t>Coordinates GDPR documentation, DORA resilience testing evidence, NIS2 reporting workflow, and ISO 27001 alignment.</w:t>
      </w:r>
    </w:p>
    <w:p w14:paraId="0E4A16FE" w14:textId="77777777" w:rsidR="004228DA" w:rsidRPr="00380DAC" w:rsidRDefault="004228DA" w:rsidP="009E2DC2">
      <w:pPr>
        <w:pStyle w:val="Heading2"/>
        <w:jc w:val="left"/>
        <w:rPr>
          <w:rFonts w:asciiTheme="minorBidi" w:hAnsiTheme="minorBidi" w:cstheme="minorBidi"/>
          <w:b/>
          <w:bCs/>
          <w:lang w:val="en-GB"/>
        </w:rPr>
      </w:pPr>
      <w:bookmarkStart w:id="7" w:name="_Toc221787864"/>
      <w:r w:rsidRPr="00380DAC">
        <w:rPr>
          <w:rFonts w:asciiTheme="minorBidi" w:hAnsiTheme="minorBidi" w:cstheme="minorBidi"/>
          <w:b/>
          <w:bCs/>
          <w:lang w:val="en-GB"/>
        </w:rPr>
        <w:lastRenderedPageBreak/>
        <w:t>3.3 Governance Alignment with NIST CSF 2.0</w:t>
      </w:r>
      <w:bookmarkEnd w:id="7"/>
    </w:p>
    <w:p w14:paraId="4B60D142" w14:textId="061A52A1" w:rsidR="004228DA" w:rsidRPr="00BB3230" w:rsidRDefault="004228DA"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Under NIST CSF 2.0, the “Govern” function requires executive accountability and integration of cybersecurity into enterprise risk management. This structure ensures:</w:t>
      </w:r>
    </w:p>
    <w:p w14:paraId="5C48B9A6" w14:textId="77777777" w:rsidR="004228DA" w:rsidRPr="00BB3230" w:rsidRDefault="004228DA">
      <w:pPr>
        <w:numPr>
          <w:ilvl w:val="0"/>
          <w:numId w:val="7"/>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Clear reporting lines</w:t>
      </w:r>
    </w:p>
    <w:p w14:paraId="6D070BFD" w14:textId="77777777" w:rsidR="004228DA" w:rsidRPr="00BB3230" w:rsidRDefault="004228DA">
      <w:pPr>
        <w:numPr>
          <w:ilvl w:val="0"/>
          <w:numId w:val="7"/>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Separation of duties</w:t>
      </w:r>
    </w:p>
    <w:p w14:paraId="4263DE53" w14:textId="77777777" w:rsidR="004228DA" w:rsidRPr="00BB3230" w:rsidRDefault="004228DA">
      <w:pPr>
        <w:numPr>
          <w:ilvl w:val="0"/>
          <w:numId w:val="7"/>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Defined accountability</w:t>
      </w:r>
    </w:p>
    <w:p w14:paraId="0C54E1E9" w14:textId="77777777" w:rsidR="004228DA" w:rsidRPr="00BB3230" w:rsidRDefault="004228DA">
      <w:pPr>
        <w:numPr>
          <w:ilvl w:val="0"/>
          <w:numId w:val="7"/>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Regulatory defensibility</w:t>
      </w:r>
    </w:p>
    <w:p w14:paraId="2F6B4D43" w14:textId="77777777" w:rsidR="004228DA" w:rsidRPr="00BB3230" w:rsidRDefault="004228DA"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By embedding architectural, operational, and compliance roles within a unified framework,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reduces fragmentation and enhances cross-functional coordination.</w:t>
      </w:r>
    </w:p>
    <w:p w14:paraId="4EDD45B1" w14:textId="418DC14B" w:rsidR="004228DA" w:rsidRPr="008C7018" w:rsidRDefault="004228DA" w:rsidP="008C7018">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 xml:space="preserve">The governance model aligns directly with </w:t>
      </w:r>
      <w:r w:rsidRPr="00FE258A">
        <w:rPr>
          <w:rFonts w:asciiTheme="minorBidi" w:hAnsiTheme="minorBidi" w:cstheme="minorBidi"/>
          <w:b/>
          <w:bCs/>
          <w:sz w:val="24"/>
          <w:szCs w:val="24"/>
        </w:rPr>
        <w:t>NIST Cybersecurity Framework 2.0</w:t>
      </w:r>
      <w:r w:rsidRPr="00FE258A">
        <w:rPr>
          <w:rFonts w:asciiTheme="minorBidi" w:hAnsiTheme="minorBidi" w:cstheme="minorBidi"/>
          <w:sz w:val="24"/>
          <w:szCs w:val="24"/>
        </w:rPr>
        <w:t xml:space="preserve">, which </w:t>
      </w:r>
      <w:proofErr w:type="spellStart"/>
      <w:r w:rsidR="00380DAC">
        <w:rPr>
          <w:rFonts w:asciiTheme="minorBidi" w:hAnsiTheme="minorBidi" w:cstheme="minorBidi"/>
          <w:sz w:val="24"/>
          <w:szCs w:val="24"/>
        </w:rPr>
        <w:t>emphasises</w:t>
      </w:r>
      <w:proofErr w:type="spellEnd"/>
      <w:r w:rsidRPr="00FE258A">
        <w:rPr>
          <w:rFonts w:asciiTheme="minorBidi" w:hAnsiTheme="minorBidi" w:cstheme="minorBidi"/>
          <w:sz w:val="24"/>
          <w:szCs w:val="24"/>
        </w:rPr>
        <w:t xml:space="preserve"> governance as a core function [</w:t>
      </w:r>
      <w:r w:rsidR="00E55532" w:rsidRPr="00BB3230">
        <w:rPr>
          <w:rFonts w:asciiTheme="minorBidi" w:hAnsiTheme="minorBidi" w:cstheme="minorBidi"/>
          <w:sz w:val="24"/>
          <w:szCs w:val="24"/>
        </w:rPr>
        <w:t>5</w:t>
      </w:r>
      <w:r w:rsidRPr="00FE258A">
        <w:rPr>
          <w:rFonts w:asciiTheme="minorBidi" w:hAnsiTheme="minorBidi" w:cstheme="minorBidi"/>
          <w:sz w:val="24"/>
          <w:szCs w:val="24"/>
        </w:rPr>
        <w:t>].</w:t>
      </w:r>
    </w:p>
    <w:tbl>
      <w:tblPr>
        <w:tblW w:w="0" w:type="auto"/>
        <w:jc w:val="center"/>
        <w:tblCellSpacing w:w="15" w:type="dxa"/>
        <w:tblBorders>
          <w:top w:val="dashDotStroked" w:sz="24" w:space="0" w:color="074F6A" w:themeColor="accent4" w:themeShade="80"/>
          <w:left w:val="dashDotStroked" w:sz="24" w:space="0" w:color="074F6A" w:themeColor="accent4" w:themeShade="80"/>
          <w:bottom w:val="dashDotStroked" w:sz="24" w:space="0" w:color="074F6A" w:themeColor="accent4" w:themeShade="80"/>
          <w:right w:val="dashDotStroked" w:sz="24" w:space="0" w:color="074F6A" w:themeColor="accent4" w:themeShade="80"/>
        </w:tblBorders>
        <w:tblCellMar>
          <w:top w:w="15" w:type="dxa"/>
          <w:left w:w="15" w:type="dxa"/>
          <w:bottom w:w="15" w:type="dxa"/>
          <w:right w:w="15" w:type="dxa"/>
        </w:tblCellMar>
        <w:tblLook w:val="04A0" w:firstRow="1" w:lastRow="0" w:firstColumn="1" w:lastColumn="0" w:noHBand="0" w:noVBand="1"/>
      </w:tblPr>
      <w:tblGrid>
        <w:gridCol w:w="2096"/>
        <w:gridCol w:w="7419"/>
      </w:tblGrid>
      <w:tr w:rsidR="004228DA" w:rsidRPr="00FE258A" w14:paraId="207441B3" w14:textId="77777777" w:rsidTr="00E55532">
        <w:trPr>
          <w:tblHeader/>
          <w:tblCellSpacing w:w="15" w:type="dxa"/>
          <w:jc w:val="center"/>
        </w:trPr>
        <w:tc>
          <w:tcPr>
            <w:tcW w:w="0" w:type="auto"/>
            <w:shd w:val="clear" w:color="auto" w:fill="074F6A" w:themeFill="accent4" w:themeFillShade="80"/>
            <w:vAlign w:val="center"/>
            <w:hideMark/>
          </w:tcPr>
          <w:p w14:paraId="19C788BF" w14:textId="77777777" w:rsidR="004228DA" w:rsidRPr="00FE258A" w:rsidRDefault="004228DA" w:rsidP="009B57EA">
            <w:pPr>
              <w:spacing w:after="160" w:line="360" w:lineRule="auto"/>
              <w:jc w:val="left"/>
              <w:rPr>
                <w:rFonts w:asciiTheme="minorBidi" w:hAnsiTheme="minorBidi" w:cstheme="minorBidi"/>
                <w:b/>
                <w:bCs/>
                <w:color w:val="FFFFFF" w:themeColor="background1"/>
                <w:sz w:val="24"/>
                <w:szCs w:val="24"/>
              </w:rPr>
            </w:pPr>
            <w:r w:rsidRPr="00FE258A">
              <w:rPr>
                <w:rFonts w:asciiTheme="minorBidi" w:hAnsiTheme="minorBidi" w:cstheme="minorBidi"/>
                <w:b/>
                <w:bCs/>
                <w:color w:val="FFFFFF" w:themeColor="background1"/>
                <w:sz w:val="24"/>
                <w:szCs w:val="24"/>
              </w:rPr>
              <w:t>CSF 2.0 Function</w:t>
            </w:r>
          </w:p>
        </w:tc>
        <w:tc>
          <w:tcPr>
            <w:tcW w:w="0" w:type="auto"/>
            <w:shd w:val="clear" w:color="auto" w:fill="074F6A" w:themeFill="accent4" w:themeFillShade="80"/>
            <w:vAlign w:val="center"/>
            <w:hideMark/>
          </w:tcPr>
          <w:p w14:paraId="16D5BB04" w14:textId="77777777" w:rsidR="004228DA" w:rsidRPr="00FE258A" w:rsidRDefault="004228DA" w:rsidP="009B57EA">
            <w:pPr>
              <w:spacing w:after="160" w:line="360" w:lineRule="auto"/>
              <w:jc w:val="left"/>
              <w:rPr>
                <w:rFonts w:asciiTheme="minorBidi" w:hAnsiTheme="minorBidi" w:cstheme="minorBidi"/>
                <w:b/>
                <w:bCs/>
                <w:color w:val="FFFFFF" w:themeColor="background1"/>
                <w:sz w:val="24"/>
                <w:szCs w:val="24"/>
              </w:rPr>
            </w:pPr>
            <w:r w:rsidRPr="00FE258A">
              <w:rPr>
                <w:rFonts w:asciiTheme="minorBidi" w:hAnsiTheme="minorBidi" w:cstheme="minorBidi"/>
                <w:b/>
                <w:bCs/>
                <w:color w:val="FFFFFF" w:themeColor="background1"/>
                <w:sz w:val="24"/>
                <w:szCs w:val="24"/>
              </w:rPr>
              <w:t xml:space="preserve">Application to </w:t>
            </w:r>
            <w:proofErr w:type="spellStart"/>
            <w:r w:rsidRPr="00FE258A">
              <w:rPr>
                <w:rFonts w:asciiTheme="minorBidi" w:hAnsiTheme="minorBidi" w:cstheme="minorBidi"/>
                <w:b/>
                <w:bCs/>
                <w:color w:val="FFFFFF" w:themeColor="background1"/>
                <w:sz w:val="24"/>
                <w:szCs w:val="24"/>
              </w:rPr>
              <w:t>MediTrust</w:t>
            </w:r>
            <w:proofErr w:type="spellEnd"/>
          </w:p>
        </w:tc>
      </w:tr>
      <w:tr w:rsidR="004228DA" w:rsidRPr="00FE258A" w14:paraId="526276DC" w14:textId="77777777" w:rsidTr="00E55532">
        <w:trPr>
          <w:tblCellSpacing w:w="15" w:type="dxa"/>
          <w:jc w:val="center"/>
        </w:trPr>
        <w:tc>
          <w:tcPr>
            <w:tcW w:w="0" w:type="auto"/>
            <w:shd w:val="clear" w:color="auto" w:fill="C1E4F5" w:themeFill="accent1" w:themeFillTint="33"/>
            <w:vAlign w:val="center"/>
            <w:hideMark/>
          </w:tcPr>
          <w:p w14:paraId="2709412D"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Govern</w:t>
            </w:r>
          </w:p>
        </w:tc>
        <w:tc>
          <w:tcPr>
            <w:tcW w:w="0" w:type="auto"/>
            <w:shd w:val="clear" w:color="auto" w:fill="DAE9F7" w:themeFill="text2" w:themeFillTint="1A"/>
            <w:vAlign w:val="center"/>
            <w:hideMark/>
          </w:tcPr>
          <w:p w14:paraId="29162A53" w14:textId="763D2219"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 xml:space="preserve">Board oversight, regulatory alignment, </w:t>
            </w:r>
            <w:r w:rsidR="00380DAC">
              <w:rPr>
                <w:rFonts w:asciiTheme="minorBidi" w:hAnsiTheme="minorBidi" w:cstheme="minorBidi"/>
                <w:sz w:val="24"/>
                <w:szCs w:val="24"/>
              </w:rPr>
              <w:t xml:space="preserve">and </w:t>
            </w:r>
            <w:r w:rsidRPr="00FE258A">
              <w:rPr>
                <w:rFonts w:asciiTheme="minorBidi" w:hAnsiTheme="minorBidi" w:cstheme="minorBidi"/>
                <w:sz w:val="24"/>
                <w:szCs w:val="24"/>
              </w:rPr>
              <w:t>risk appetite definition</w:t>
            </w:r>
          </w:p>
        </w:tc>
      </w:tr>
      <w:tr w:rsidR="004228DA" w:rsidRPr="00FE258A" w14:paraId="17C20E62" w14:textId="77777777" w:rsidTr="00E55532">
        <w:trPr>
          <w:tblCellSpacing w:w="15" w:type="dxa"/>
          <w:jc w:val="center"/>
        </w:trPr>
        <w:tc>
          <w:tcPr>
            <w:tcW w:w="0" w:type="auto"/>
            <w:shd w:val="clear" w:color="auto" w:fill="C1E4F5" w:themeFill="accent1" w:themeFillTint="33"/>
            <w:vAlign w:val="center"/>
            <w:hideMark/>
          </w:tcPr>
          <w:p w14:paraId="2676C56B"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Identify</w:t>
            </w:r>
          </w:p>
        </w:tc>
        <w:tc>
          <w:tcPr>
            <w:tcW w:w="0" w:type="auto"/>
            <w:shd w:val="clear" w:color="auto" w:fill="DAE9F7" w:themeFill="text2" w:themeFillTint="1A"/>
            <w:vAlign w:val="center"/>
            <w:hideMark/>
          </w:tcPr>
          <w:p w14:paraId="35805823" w14:textId="225220B4"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 xml:space="preserve">Asset inventory of AI datasets, cloud workloads, </w:t>
            </w:r>
            <w:r w:rsidR="00380DAC">
              <w:rPr>
                <w:rFonts w:asciiTheme="minorBidi" w:hAnsiTheme="minorBidi" w:cstheme="minorBidi"/>
                <w:sz w:val="24"/>
                <w:szCs w:val="24"/>
              </w:rPr>
              <w:t xml:space="preserve">and </w:t>
            </w:r>
            <w:r w:rsidRPr="00FE258A">
              <w:rPr>
                <w:rFonts w:asciiTheme="minorBidi" w:hAnsiTheme="minorBidi" w:cstheme="minorBidi"/>
                <w:sz w:val="24"/>
                <w:szCs w:val="24"/>
              </w:rPr>
              <w:t>third-party APIs</w:t>
            </w:r>
          </w:p>
        </w:tc>
      </w:tr>
      <w:tr w:rsidR="004228DA" w:rsidRPr="00FE258A" w14:paraId="574B687E" w14:textId="77777777" w:rsidTr="00E55532">
        <w:trPr>
          <w:tblCellSpacing w:w="15" w:type="dxa"/>
          <w:jc w:val="center"/>
        </w:trPr>
        <w:tc>
          <w:tcPr>
            <w:tcW w:w="0" w:type="auto"/>
            <w:shd w:val="clear" w:color="auto" w:fill="C1E4F5" w:themeFill="accent1" w:themeFillTint="33"/>
            <w:vAlign w:val="center"/>
            <w:hideMark/>
          </w:tcPr>
          <w:p w14:paraId="0AAE8D03"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Protect</w:t>
            </w:r>
          </w:p>
        </w:tc>
        <w:tc>
          <w:tcPr>
            <w:tcW w:w="0" w:type="auto"/>
            <w:shd w:val="clear" w:color="auto" w:fill="DAE9F7" w:themeFill="text2" w:themeFillTint="1A"/>
            <w:vAlign w:val="center"/>
            <w:hideMark/>
          </w:tcPr>
          <w:p w14:paraId="65646389"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 xml:space="preserve">Zero Trust access controls, encryption, CSPM, </w:t>
            </w:r>
            <w:proofErr w:type="spellStart"/>
            <w:r w:rsidRPr="00FE258A">
              <w:rPr>
                <w:rFonts w:asciiTheme="minorBidi" w:hAnsiTheme="minorBidi" w:cstheme="minorBidi"/>
                <w:sz w:val="24"/>
                <w:szCs w:val="24"/>
              </w:rPr>
              <w:t>DevSecOps</w:t>
            </w:r>
            <w:proofErr w:type="spellEnd"/>
          </w:p>
        </w:tc>
      </w:tr>
      <w:tr w:rsidR="004228DA" w:rsidRPr="00FE258A" w14:paraId="7BA641A2" w14:textId="77777777" w:rsidTr="00E55532">
        <w:trPr>
          <w:tblCellSpacing w:w="15" w:type="dxa"/>
          <w:jc w:val="center"/>
        </w:trPr>
        <w:tc>
          <w:tcPr>
            <w:tcW w:w="0" w:type="auto"/>
            <w:shd w:val="clear" w:color="auto" w:fill="C1E4F5" w:themeFill="accent1" w:themeFillTint="33"/>
            <w:vAlign w:val="center"/>
            <w:hideMark/>
          </w:tcPr>
          <w:p w14:paraId="02F48EEE"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Detect</w:t>
            </w:r>
          </w:p>
        </w:tc>
        <w:tc>
          <w:tcPr>
            <w:tcW w:w="0" w:type="auto"/>
            <w:shd w:val="clear" w:color="auto" w:fill="DAE9F7" w:themeFill="text2" w:themeFillTint="1A"/>
            <w:vAlign w:val="center"/>
            <w:hideMark/>
          </w:tcPr>
          <w:p w14:paraId="7B1BFC2D"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SIEM with AI-based anomaly detection</w:t>
            </w:r>
          </w:p>
        </w:tc>
      </w:tr>
      <w:tr w:rsidR="004228DA" w:rsidRPr="00FE258A" w14:paraId="5D22D66B" w14:textId="77777777" w:rsidTr="00E55532">
        <w:trPr>
          <w:tblCellSpacing w:w="15" w:type="dxa"/>
          <w:jc w:val="center"/>
        </w:trPr>
        <w:tc>
          <w:tcPr>
            <w:tcW w:w="0" w:type="auto"/>
            <w:shd w:val="clear" w:color="auto" w:fill="C1E4F5" w:themeFill="accent1" w:themeFillTint="33"/>
            <w:vAlign w:val="center"/>
            <w:hideMark/>
          </w:tcPr>
          <w:p w14:paraId="3430DB5D"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Respond</w:t>
            </w:r>
          </w:p>
        </w:tc>
        <w:tc>
          <w:tcPr>
            <w:tcW w:w="0" w:type="auto"/>
            <w:shd w:val="clear" w:color="auto" w:fill="DAE9F7" w:themeFill="text2" w:themeFillTint="1A"/>
            <w:vAlign w:val="center"/>
            <w:hideMark/>
          </w:tcPr>
          <w:p w14:paraId="515C4DD5"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Automated containment and regulatory notification workflows</w:t>
            </w:r>
          </w:p>
        </w:tc>
      </w:tr>
      <w:tr w:rsidR="004228DA" w:rsidRPr="00FE258A" w14:paraId="5DE7E430" w14:textId="77777777" w:rsidTr="00E55532">
        <w:trPr>
          <w:tblCellSpacing w:w="15" w:type="dxa"/>
          <w:jc w:val="center"/>
        </w:trPr>
        <w:tc>
          <w:tcPr>
            <w:tcW w:w="0" w:type="auto"/>
            <w:shd w:val="clear" w:color="auto" w:fill="C1E4F5" w:themeFill="accent1" w:themeFillTint="33"/>
            <w:vAlign w:val="center"/>
            <w:hideMark/>
          </w:tcPr>
          <w:p w14:paraId="1C88B23F"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Recover</w:t>
            </w:r>
          </w:p>
        </w:tc>
        <w:tc>
          <w:tcPr>
            <w:tcW w:w="0" w:type="auto"/>
            <w:shd w:val="clear" w:color="auto" w:fill="DAE9F7" w:themeFill="text2" w:themeFillTint="1A"/>
            <w:vAlign w:val="center"/>
            <w:hideMark/>
          </w:tcPr>
          <w:p w14:paraId="432AD987" w14:textId="77777777" w:rsidR="004228DA" w:rsidRPr="00FE258A" w:rsidRDefault="004228DA" w:rsidP="009B57EA">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Tested disaster recovery and operational resilience plans</w:t>
            </w:r>
          </w:p>
        </w:tc>
      </w:tr>
    </w:tbl>
    <w:p w14:paraId="2429DE9B" w14:textId="77777777" w:rsidR="004228DA" w:rsidRPr="00BB3230" w:rsidRDefault="004228DA" w:rsidP="009B57EA">
      <w:pPr>
        <w:spacing w:line="360" w:lineRule="auto"/>
        <w:jc w:val="left"/>
        <w:rPr>
          <w:rFonts w:asciiTheme="minorBidi" w:hAnsiTheme="minorBidi" w:cstheme="minorBidi"/>
          <w:b/>
          <w:bCs/>
          <w:sz w:val="24"/>
          <w:szCs w:val="24"/>
          <w:lang w:val="en-GB"/>
        </w:rPr>
      </w:pPr>
    </w:p>
    <w:p w14:paraId="6509C67B" w14:textId="0DFE0247" w:rsidR="00085894" w:rsidRPr="00BB3230" w:rsidRDefault="004228DA" w:rsidP="009E2DC2">
      <w:pPr>
        <w:spacing w:after="160" w:line="360" w:lineRule="auto"/>
        <w:jc w:val="left"/>
        <w:rPr>
          <w:rFonts w:asciiTheme="minorBidi" w:hAnsiTheme="minorBidi" w:cstheme="minorBidi"/>
          <w:sz w:val="24"/>
          <w:szCs w:val="24"/>
        </w:rPr>
      </w:pPr>
      <w:r w:rsidRPr="00FE258A">
        <w:rPr>
          <w:rFonts w:asciiTheme="minorBidi" w:hAnsiTheme="minorBidi" w:cstheme="minorBidi"/>
          <w:sz w:val="24"/>
          <w:szCs w:val="24"/>
        </w:rPr>
        <w:t>Security strategy is explicitly linked to business goals by ensuring regulatory compliance to enable EU market entry, protecting intellectual property to maintain competitive advantage, and preserving clinical trust through resilient operations.</w:t>
      </w:r>
    </w:p>
    <w:p w14:paraId="3F22618A" w14:textId="77777777" w:rsidR="00085894" w:rsidRPr="00380DAC" w:rsidRDefault="00085894" w:rsidP="009E2DC2">
      <w:pPr>
        <w:pStyle w:val="Heading2"/>
        <w:jc w:val="left"/>
        <w:rPr>
          <w:rFonts w:asciiTheme="minorBidi" w:hAnsiTheme="minorBidi" w:cstheme="minorBidi"/>
          <w:b/>
          <w:bCs/>
          <w:lang w:val="en-GB"/>
        </w:rPr>
      </w:pPr>
      <w:bookmarkStart w:id="8" w:name="_Toc221787865"/>
      <w:r w:rsidRPr="00380DAC">
        <w:rPr>
          <w:rFonts w:asciiTheme="minorBidi" w:hAnsiTheme="minorBidi" w:cstheme="minorBidi"/>
          <w:b/>
          <w:bCs/>
          <w:lang w:val="en-GB"/>
        </w:rPr>
        <w:t>4. Regulatory Compliance Mapping and Operational Alignment</w:t>
      </w:r>
      <w:bookmarkEnd w:id="8"/>
    </w:p>
    <w:p w14:paraId="2504BE88" w14:textId="77777777" w:rsidR="00085894" w:rsidRPr="00BB3230" w:rsidRDefault="00085894" w:rsidP="009B57EA">
      <w:pPr>
        <w:spacing w:line="360" w:lineRule="auto"/>
        <w:jc w:val="left"/>
        <w:rPr>
          <w:rFonts w:asciiTheme="minorBidi" w:hAnsiTheme="minorBidi" w:cstheme="minorBidi"/>
          <w:sz w:val="24"/>
          <w:szCs w:val="24"/>
          <w:lang w:val="en-GB"/>
        </w:rPr>
      </w:pPr>
      <w:proofErr w:type="spellStart"/>
      <w:r w:rsidRPr="00BB3230">
        <w:rPr>
          <w:rFonts w:asciiTheme="minorBidi" w:hAnsiTheme="minorBidi" w:cstheme="minorBidi"/>
          <w:sz w:val="24"/>
          <w:szCs w:val="24"/>
          <w:lang w:val="en-GB"/>
        </w:rPr>
        <w:t>MediTrust’s</w:t>
      </w:r>
      <w:proofErr w:type="spellEnd"/>
      <w:r w:rsidRPr="00BB3230">
        <w:rPr>
          <w:rFonts w:asciiTheme="minorBidi" w:hAnsiTheme="minorBidi" w:cstheme="minorBidi"/>
          <w:sz w:val="24"/>
          <w:szCs w:val="24"/>
          <w:lang w:val="en-GB"/>
        </w:rPr>
        <w:t xml:space="preserve"> EU expansion requires structured compliance integration with GDPR, DORA, and NIS2. Rather than treating compliance as a separate activity, the proposed Zero Trust programme embeds regulatory obligations within governance and operational processes.</w:t>
      </w:r>
    </w:p>
    <w:p w14:paraId="420E2140" w14:textId="67ED3C36" w:rsidR="00085894" w:rsidRDefault="00085894" w:rsidP="009E2DC2">
      <w:pPr>
        <w:pStyle w:val="Heading2"/>
        <w:jc w:val="left"/>
        <w:rPr>
          <w:rFonts w:asciiTheme="minorBidi" w:hAnsiTheme="minorBidi" w:cstheme="minorBidi"/>
          <w:b/>
          <w:bCs/>
          <w:lang w:val="en-GB"/>
        </w:rPr>
      </w:pPr>
      <w:bookmarkStart w:id="9" w:name="_Toc221787866"/>
      <w:r w:rsidRPr="00380DAC">
        <w:rPr>
          <w:rFonts w:asciiTheme="minorBidi" w:hAnsiTheme="minorBidi" w:cstheme="minorBidi"/>
          <w:b/>
          <w:bCs/>
          <w:lang w:val="en-GB"/>
        </w:rPr>
        <w:t>4.1 Regulatory Mappin</w:t>
      </w:r>
      <w:bookmarkEnd w:id="9"/>
      <w:r w:rsidR="00AB1872">
        <w:rPr>
          <w:rFonts w:asciiTheme="minorBidi" w:hAnsiTheme="minorBidi" w:cstheme="minorBidi"/>
          <w:b/>
          <w:bCs/>
          <w:lang w:val="en-GB"/>
        </w:rPr>
        <w:t>g</w:t>
      </w:r>
    </w:p>
    <w:p w14:paraId="010ECF8F" w14:textId="77777777" w:rsidR="00586CAB" w:rsidRPr="00586CAB" w:rsidRDefault="00586CAB" w:rsidP="00586CAB">
      <w:pPr>
        <w:spacing w:line="360" w:lineRule="auto"/>
        <w:jc w:val="left"/>
        <w:rPr>
          <w:rFonts w:asciiTheme="minorBidi" w:hAnsiTheme="minorBidi" w:cstheme="minorBidi"/>
          <w:sz w:val="24"/>
          <w:szCs w:val="24"/>
          <w:lang w:val="en-GB"/>
        </w:rPr>
      </w:pPr>
      <w:r w:rsidRPr="00586CAB">
        <w:rPr>
          <w:rFonts w:asciiTheme="minorBidi" w:hAnsiTheme="minorBidi" w:cstheme="minorBidi"/>
          <w:sz w:val="24"/>
          <w:szCs w:val="24"/>
          <w:lang w:val="en-GB"/>
        </w:rPr>
        <w:t>These rules require organisations to protect data and manage cyber risks.</w:t>
      </w:r>
    </w:p>
    <w:p w14:paraId="303D53D4" w14:textId="77777777" w:rsidR="00586CAB" w:rsidRPr="00586CAB" w:rsidRDefault="00586CAB" w:rsidP="00586CAB">
      <w:pPr>
        <w:spacing w:line="360" w:lineRule="auto"/>
        <w:jc w:val="left"/>
        <w:rPr>
          <w:rFonts w:asciiTheme="minorBidi" w:hAnsiTheme="minorBidi" w:cstheme="minorBidi"/>
          <w:sz w:val="24"/>
          <w:szCs w:val="24"/>
          <w:lang w:val="en-GB"/>
        </w:rPr>
      </w:pPr>
      <w:r w:rsidRPr="00586CAB">
        <w:rPr>
          <w:rFonts w:asciiTheme="minorBidi" w:hAnsiTheme="minorBidi" w:cstheme="minorBidi"/>
          <w:sz w:val="24"/>
          <w:szCs w:val="24"/>
          <w:lang w:val="en-GB"/>
        </w:rPr>
        <w:lastRenderedPageBreak/>
        <w:t xml:space="preserve">The </w:t>
      </w:r>
      <w:r w:rsidRPr="00586CAB">
        <w:rPr>
          <w:rFonts w:asciiTheme="minorBidi" w:hAnsiTheme="minorBidi" w:cstheme="minorBidi"/>
          <w:b/>
          <w:bCs/>
          <w:sz w:val="24"/>
          <w:szCs w:val="24"/>
          <w:lang w:val="en-GB"/>
        </w:rPr>
        <w:t>General Data Protection Regulation</w:t>
      </w:r>
      <w:r w:rsidRPr="00586CAB">
        <w:rPr>
          <w:rFonts w:asciiTheme="minorBidi" w:hAnsiTheme="minorBidi" w:cstheme="minorBidi"/>
          <w:sz w:val="24"/>
          <w:szCs w:val="24"/>
          <w:lang w:val="en-GB"/>
        </w:rPr>
        <w:t xml:space="preserve"> limits data access and requires strong protection. The </w:t>
      </w:r>
      <w:r w:rsidRPr="00586CAB">
        <w:rPr>
          <w:rFonts w:asciiTheme="minorBidi" w:hAnsiTheme="minorBidi" w:cstheme="minorBidi"/>
          <w:b/>
          <w:bCs/>
          <w:sz w:val="24"/>
          <w:szCs w:val="24"/>
          <w:lang w:val="en-GB"/>
        </w:rPr>
        <w:t>NIS2 Directive</w:t>
      </w:r>
      <w:r w:rsidRPr="00586CAB">
        <w:rPr>
          <w:rFonts w:asciiTheme="minorBidi" w:hAnsiTheme="minorBidi" w:cstheme="minorBidi"/>
          <w:sz w:val="24"/>
          <w:szCs w:val="24"/>
          <w:lang w:val="en-GB"/>
        </w:rPr>
        <w:t xml:space="preserve"> requires cyber incident reporting within 24 hours. The </w:t>
      </w:r>
      <w:r w:rsidRPr="00586CAB">
        <w:rPr>
          <w:rFonts w:asciiTheme="minorBidi" w:hAnsiTheme="minorBidi" w:cstheme="minorBidi"/>
          <w:b/>
          <w:bCs/>
          <w:sz w:val="24"/>
          <w:szCs w:val="24"/>
          <w:lang w:val="en-GB"/>
        </w:rPr>
        <w:t>Digital Operational Resilience Act</w:t>
      </w:r>
      <w:r w:rsidRPr="00586CAB">
        <w:rPr>
          <w:rFonts w:asciiTheme="minorBidi" w:hAnsiTheme="minorBidi" w:cstheme="minorBidi"/>
          <w:sz w:val="24"/>
          <w:szCs w:val="24"/>
          <w:lang w:val="en-GB"/>
        </w:rPr>
        <w:t xml:space="preserve"> ensures systems are tested for resilience. The </w:t>
      </w:r>
      <w:r w:rsidRPr="00586CAB">
        <w:rPr>
          <w:rFonts w:asciiTheme="minorBidi" w:hAnsiTheme="minorBidi" w:cstheme="minorBidi"/>
          <w:b/>
          <w:bCs/>
          <w:sz w:val="24"/>
          <w:szCs w:val="24"/>
          <w:lang w:val="en-GB"/>
        </w:rPr>
        <w:t>ISO/IEC 27001</w:t>
      </w:r>
      <w:r w:rsidRPr="00586CAB">
        <w:rPr>
          <w:rFonts w:asciiTheme="minorBidi" w:hAnsiTheme="minorBidi" w:cstheme="minorBidi"/>
          <w:sz w:val="24"/>
          <w:szCs w:val="24"/>
          <w:lang w:val="en-GB"/>
        </w:rPr>
        <w:t xml:space="preserve"> requires risk assessment and security documentation.</w:t>
      </w:r>
    </w:p>
    <w:p w14:paraId="3F36945F" w14:textId="77777777" w:rsidR="00E07735" w:rsidRPr="00E07735" w:rsidRDefault="00E07735" w:rsidP="00E07735">
      <w:pPr>
        <w:spacing w:line="360" w:lineRule="auto"/>
        <w:jc w:val="left"/>
        <w:rPr>
          <w:rFonts w:asciiTheme="minorBidi" w:hAnsiTheme="minorBidi" w:cstheme="minorBidi"/>
          <w:sz w:val="24"/>
          <w:szCs w:val="24"/>
          <w:lang w:val="en-GB"/>
        </w:rPr>
      </w:pPr>
    </w:p>
    <w:tbl>
      <w:tblPr>
        <w:tblW w:w="0" w:type="auto"/>
        <w:tblCellSpacing w:w="15" w:type="dxa"/>
        <w:tblBorders>
          <w:top w:val="dashDotStroked" w:sz="24" w:space="0" w:color="074F6A" w:themeColor="accent4" w:themeShade="80"/>
          <w:left w:val="dashDotStroked" w:sz="24" w:space="0" w:color="074F6A" w:themeColor="accent4" w:themeShade="80"/>
          <w:bottom w:val="dashDotStroked" w:sz="24" w:space="0" w:color="074F6A" w:themeColor="accent4" w:themeShade="80"/>
          <w:right w:val="dashDotStroked" w:sz="24" w:space="0" w:color="074F6A" w:themeColor="accent4" w:themeShade="80"/>
        </w:tblBorders>
        <w:tblCellMar>
          <w:top w:w="15" w:type="dxa"/>
          <w:left w:w="15" w:type="dxa"/>
          <w:bottom w:w="15" w:type="dxa"/>
          <w:right w:w="15" w:type="dxa"/>
        </w:tblCellMar>
        <w:tblLook w:val="04A0" w:firstRow="1" w:lastRow="0" w:firstColumn="1" w:lastColumn="0" w:noHBand="0" w:noVBand="1"/>
      </w:tblPr>
      <w:tblGrid>
        <w:gridCol w:w="1376"/>
        <w:gridCol w:w="3026"/>
        <w:gridCol w:w="3595"/>
        <w:gridCol w:w="2063"/>
      </w:tblGrid>
      <w:tr w:rsidR="00085894" w:rsidRPr="00BB3230" w14:paraId="02591586" w14:textId="77777777" w:rsidTr="00E7796B">
        <w:trPr>
          <w:tblHeader/>
          <w:tblCellSpacing w:w="15" w:type="dxa"/>
        </w:trPr>
        <w:tc>
          <w:tcPr>
            <w:tcW w:w="0" w:type="auto"/>
            <w:shd w:val="clear" w:color="auto" w:fill="074F6A" w:themeFill="accent4" w:themeFillShade="80"/>
            <w:vAlign w:val="center"/>
            <w:hideMark/>
          </w:tcPr>
          <w:p w14:paraId="32BFAB07" w14:textId="77777777" w:rsidR="00085894" w:rsidRPr="00BB3230" w:rsidRDefault="00085894"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Regulation</w:t>
            </w:r>
          </w:p>
        </w:tc>
        <w:tc>
          <w:tcPr>
            <w:tcW w:w="0" w:type="auto"/>
            <w:shd w:val="clear" w:color="auto" w:fill="074F6A" w:themeFill="accent4" w:themeFillShade="80"/>
            <w:vAlign w:val="center"/>
            <w:hideMark/>
          </w:tcPr>
          <w:p w14:paraId="7E10F33F" w14:textId="77777777" w:rsidR="00085894" w:rsidRPr="00BB3230" w:rsidRDefault="00085894"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Key Requirement</w:t>
            </w:r>
          </w:p>
        </w:tc>
        <w:tc>
          <w:tcPr>
            <w:tcW w:w="0" w:type="auto"/>
            <w:shd w:val="clear" w:color="auto" w:fill="074F6A" w:themeFill="accent4" w:themeFillShade="80"/>
            <w:vAlign w:val="center"/>
            <w:hideMark/>
          </w:tcPr>
          <w:p w14:paraId="6B50B191" w14:textId="77777777" w:rsidR="00085894" w:rsidRPr="00BB3230" w:rsidRDefault="00085894"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Zero Trust Alignment</w:t>
            </w:r>
          </w:p>
        </w:tc>
        <w:tc>
          <w:tcPr>
            <w:tcW w:w="0" w:type="auto"/>
            <w:shd w:val="clear" w:color="auto" w:fill="074F6A" w:themeFill="accent4" w:themeFillShade="80"/>
            <w:vAlign w:val="center"/>
            <w:hideMark/>
          </w:tcPr>
          <w:p w14:paraId="11B90748" w14:textId="77777777" w:rsidR="00085894" w:rsidRPr="00BB3230" w:rsidRDefault="00085894"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Responsible Role</w:t>
            </w:r>
          </w:p>
        </w:tc>
      </w:tr>
      <w:tr w:rsidR="00085894" w:rsidRPr="00BB3230" w14:paraId="4F61DB52" w14:textId="77777777" w:rsidTr="00E7796B">
        <w:trPr>
          <w:tblCellSpacing w:w="15" w:type="dxa"/>
        </w:trPr>
        <w:tc>
          <w:tcPr>
            <w:tcW w:w="0" w:type="auto"/>
            <w:shd w:val="clear" w:color="auto" w:fill="CAEDFB" w:themeFill="accent4" w:themeFillTint="33"/>
            <w:vAlign w:val="center"/>
            <w:hideMark/>
          </w:tcPr>
          <w:p w14:paraId="2E9B6A48"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GDPR</w:t>
            </w:r>
          </w:p>
        </w:tc>
        <w:tc>
          <w:tcPr>
            <w:tcW w:w="0" w:type="auto"/>
            <w:shd w:val="clear" w:color="auto" w:fill="FAE2D5" w:themeFill="accent2" w:themeFillTint="33"/>
            <w:vAlign w:val="center"/>
            <w:hideMark/>
          </w:tcPr>
          <w:p w14:paraId="1B491345"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Data protection by design &amp; access minimisation</w:t>
            </w:r>
          </w:p>
        </w:tc>
        <w:tc>
          <w:tcPr>
            <w:tcW w:w="0" w:type="auto"/>
            <w:shd w:val="clear" w:color="auto" w:fill="F2CEED" w:themeFill="accent5" w:themeFillTint="33"/>
            <w:vAlign w:val="center"/>
            <w:hideMark/>
          </w:tcPr>
          <w:p w14:paraId="5D74F0A4" w14:textId="132BCD32"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 xml:space="preserve">Least privilege enforcement, encryption, </w:t>
            </w:r>
            <w:r w:rsidR="00AB1872">
              <w:rPr>
                <w:rFonts w:asciiTheme="minorBidi" w:hAnsiTheme="minorBidi" w:cstheme="minorBidi"/>
                <w:b/>
                <w:bCs/>
                <w:sz w:val="24"/>
                <w:szCs w:val="24"/>
                <w:lang w:val="en-GB"/>
              </w:rPr>
              <w:t xml:space="preserve">and </w:t>
            </w:r>
            <w:r w:rsidRPr="00BB3230">
              <w:rPr>
                <w:rFonts w:asciiTheme="minorBidi" w:hAnsiTheme="minorBidi" w:cstheme="minorBidi"/>
                <w:b/>
                <w:bCs/>
                <w:sz w:val="24"/>
                <w:szCs w:val="24"/>
                <w:lang w:val="en-GB"/>
              </w:rPr>
              <w:t>identity verification</w:t>
            </w:r>
          </w:p>
        </w:tc>
        <w:tc>
          <w:tcPr>
            <w:tcW w:w="0" w:type="auto"/>
            <w:shd w:val="clear" w:color="auto" w:fill="D9F2D0" w:themeFill="accent6" w:themeFillTint="33"/>
            <w:vAlign w:val="center"/>
            <w:hideMark/>
          </w:tcPr>
          <w:p w14:paraId="6A40B4B8"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CISO / Compliance Officer</w:t>
            </w:r>
          </w:p>
        </w:tc>
      </w:tr>
      <w:tr w:rsidR="00085894" w:rsidRPr="00BB3230" w14:paraId="0D1C31A0" w14:textId="77777777" w:rsidTr="00E7796B">
        <w:trPr>
          <w:tblCellSpacing w:w="15" w:type="dxa"/>
        </w:trPr>
        <w:tc>
          <w:tcPr>
            <w:tcW w:w="0" w:type="auto"/>
            <w:shd w:val="clear" w:color="auto" w:fill="CAEDFB" w:themeFill="accent4" w:themeFillTint="33"/>
            <w:vAlign w:val="center"/>
            <w:hideMark/>
          </w:tcPr>
          <w:p w14:paraId="7827C8E1"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NIS2</w:t>
            </w:r>
          </w:p>
        </w:tc>
        <w:tc>
          <w:tcPr>
            <w:tcW w:w="0" w:type="auto"/>
            <w:shd w:val="clear" w:color="auto" w:fill="FAE2D5" w:themeFill="accent2" w:themeFillTint="33"/>
            <w:vAlign w:val="center"/>
            <w:hideMark/>
          </w:tcPr>
          <w:p w14:paraId="295255C1"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24-hour incident notification</w:t>
            </w:r>
          </w:p>
        </w:tc>
        <w:tc>
          <w:tcPr>
            <w:tcW w:w="0" w:type="auto"/>
            <w:shd w:val="clear" w:color="auto" w:fill="F2CEED" w:themeFill="accent5" w:themeFillTint="33"/>
            <w:vAlign w:val="center"/>
            <w:hideMark/>
          </w:tcPr>
          <w:p w14:paraId="56B083E3"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Automated SIEM alerts + predefined incident classification workflow</w:t>
            </w:r>
          </w:p>
        </w:tc>
        <w:tc>
          <w:tcPr>
            <w:tcW w:w="0" w:type="auto"/>
            <w:shd w:val="clear" w:color="auto" w:fill="D9F2D0" w:themeFill="accent6" w:themeFillTint="33"/>
            <w:vAlign w:val="center"/>
            <w:hideMark/>
          </w:tcPr>
          <w:p w14:paraId="4CC06CD6"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SOC Manager</w:t>
            </w:r>
          </w:p>
        </w:tc>
      </w:tr>
      <w:tr w:rsidR="00085894" w:rsidRPr="00BB3230" w14:paraId="4F4B0B7C" w14:textId="77777777" w:rsidTr="00E7796B">
        <w:trPr>
          <w:tblCellSpacing w:w="15" w:type="dxa"/>
        </w:trPr>
        <w:tc>
          <w:tcPr>
            <w:tcW w:w="0" w:type="auto"/>
            <w:shd w:val="clear" w:color="auto" w:fill="CAEDFB" w:themeFill="accent4" w:themeFillTint="33"/>
            <w:vAlign w:val="center"/>
            <w:hideMark/>
          </w:tcPr>
          <w:p w14:paraId="0DA87F79"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DORA</w:t>
            </w:r>
          </w:p>
        </w:tc>
        <w:tc>
          <w:tcPr>
            <w:tcW w:w="0" w:type="auto"/>
            <w:shd w:val="clear" w:color="auto" w:fill="FAE2D5" w:themeFill="accent2" w:themeFillTint="33"/>
            <w:vAlign w:val="center"/>
            <w:hideMark/>
          </w:tcPr>
          <w:p w14:paraId="142F0F37"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ICT risk management &amp; resilience testing</w:t>
            </w:r>
          </w:p>
        </w:tc>
        <w:tc>
          <w:tcPr>
            <w:tcW w:w="0" w:type="auto"/>
            <w:shd w:val="clear" w:color="auto" w:fill="F2CEED" w:themeFill="accent5" w:themeFillTint="33"/>
            <w:vAlign w:val="center"/>
            <w:hideMark/>
          </w:tcPr>
          <w:p w14:paraId="6C6764AE"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Continuous monitoring, DR testing, RTO/RPO validation</w:t>
            </w:r>
          </w:p>
        </w:tc>
        <w:tc>
          <w:tcPr>
            <w:tcW w:w="0" w:type="auto"/>
            <w:shd w:val="clear" w:color="auto" w:fill="D9F2D0" w:themeFill="accent6" w:themeFillTint="33"/>
            <w:vAlign w:val="center"/>
            <w:hideMark/>
          </w:tcPr>
          <w:p w14:paraId="558E4DC9"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CISO / Cloud Architect</w:t>
            </w:r>
          </w:p>
        </w:tc>
      </w:tr>
      <w:tr w:rsidR="00085894" w:rsidRPr="00BB3230" w14:paraId="47868F7F" w14:textId="77777777" w:rsidTr="00E7796B">
        <w:trPr>
          <w:tblCellSpacing w:w="15" w:type="dxa"/>
        </w:trPr>
        <w:tc>
          <w:tcPr>
            <w:tcW w:w="0" w:type="auto"/>
            <w:shd w:val="clear" w:color="auto" w:fill="CAEDFB" w:themeFill="accent4" w:themeFillTint="33"/>
            <w:vAlign w:val="center"/>
            <w:hideMark/>
          </w:tcPr>
          <w:p w14:paraId="0D046A5E"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ISO 27001</w:t>
            </w:r>
          </w:p>
        </w:tc>
        <w:tc>
          <w:tcPr>
            <w:tcW w:w="0" w:type="auto"/>
            <w:shd w:val="clear" w:color="auto" w:fill="FAE2D5" w:themeFill="accent2" w:themeFillTint="33"/>
            <w:vAlign w:val="center"/>
            <w:hideMark/>
          </w:tcPr>
          <w:p w14:paraId="7D715536"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Risk assessment &amp; control documentation</w:t>
            </w:r>
          </w:p>
        </w:tc>
        <w:tc>
          <w:tcPr>
            <w:tcW w:w="0" w:type="auto"/>
            <w:shd w:val="clear" w:color="auto" w:fill="F2CEED" w:themeFill="accent5" w:themeFillTint="33"/>
            <w:vAlign w:val="center"/>
            <w:hideMark/>
          </w:tcPr>
          <w:p w14:paraId="7FDEFA3D"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Integrated risk matrix + policy governance</w:t>
            </w:r>
          </w:p>
        </w:tc>
        <w:tc>
          <w:tcPr>
            <w:tcW w:w="0" w:type="auto"/>
            <w:shd w:val="clear" w:color="auto" w:fill="D9F2D0" w:themeFill="accent6" w:themeFillTint="33"/>
            <w:vAlign w:val="center"/>
            <w:hideMark/>
          </w:tcPr>
          <w:p w14:paraId="2832FFA8" w14:textId="77777777" w:rsidR="00085894" w:rsidRPr="00BB3230" w:rsidRDefault="00085894"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Compliance Officer</w:t>
            </w:r>
          </w:p>
        </w:tc>
      </w:tr>
    </w:tbl>
    <w:p w14:paraId="103BCF36" w14:textId="77777777" w:rsidR="00085894" w:rsidRPr="00BB3230" w:rsidRDefault="00085894" w:rsidP="009B57EA">
      <w:pPr>
        <w:spacing w:line="360" w:lineRule="auto"/>
        <w:jc w:val="left"/>
        <w:rPr>
          <w:rFonts w:asciiTheme="minorBidi" w:hAnsiTheme="minorBidi" w:cstheme="minorBidi"/>
          <w:b/>
          <w:bCs/>
          <w:sz w:val="24"/>
          <w:szCs w:val="24"/>
          <w:lang w:val="en-GB"/>
        </w:rPr>
      </w:pPr>
    </w:p>
    <w:p w14:paraId="5E637D95" w14:textId="2BCAA5ED" w:rsidR="00085894" w:rsidRPr="00F32B98" w:rsidRDefault="00085894"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This structured mapping ensures accountability and traceability across regulatory domains.</w:t>
      </w:r>
    </w:p>
    <w:p w14:paraId="29D594DF" w14:textId="77777777" w:rsidR="00085894" w:rsidRPr="00380DAC" w:rsidRDefault="00085894" w:rsidP="009E2DC2">
      <w:pPr>
        <w:pStyle w:val="Heading2"/>
        <w:jc w:val="left"/>
        <w:rPr>
          <w:rFonts w:asciiTheme="minorBidi" w:hAnsiTheme="minorBidi" w:cstheme="minorBidi"/>
          <w:b/>
          <w:bCs/>
          <w:lang w:val="en-GB"/>
        </w:rPr>
      </w:pPr>
      <w:bookmarkStart w:id="10" w:name="_Toc221787867"/>
      <w:r w:rsidRPr="00380DAC">
        <w:rPr>
          <w:rFonts w:asciiTheme="minorBidi" w:hAnsiTheme="minorBidi" w:cstheme="minorBidi"/>
          <w:b/>
          <w:bCs/>
          <w:lang w:val="en-GB"/>
        </w:rPr>
        <w:t>4.2 NIS2 Incident Reporting Workflow</w:t>
      </w:r>
      <w:bookmarkEnd w:id="10"/>
    </w:p>
    <w:p w14:paraId="01BCFD64" w14:textId="77777777" w:rsidR="00085894" w:rsidRPr="00BB3230" w:rsidRDefault="00085894"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To meet NIS2 notification obligations,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should implement:</w:t>
      </w:r>
    </w:p>
    <w:p w14:paraId="4A5198A7" w14:textId="77777777" w:rsidR="00085894" w:rsidRPr="00BB3230" w:rsidRDefault="00085894">
      <w:pPr>
        <w:numPr>
          <w:ilvl w:val="0"/>
          <w:numId w:val="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Automated anomaly detection via SIEM</w:t>
      </w:r>
    </w:p>
    <w:p w14:paraId="375A28C5" w14:textId="77777777" w:rsidR="00085894" w:rsidRPr="00BB3230" w:rsidRDefault="00085894">
      <w:pPr>
        <w:numPr>
          <w:ilvl w:val="0"/>
          <w:numId w:val="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Incident classification within 6 hours</w:t>
      </w:r>
    </w:p>
    <w:p w14:paraId="18DADFD7" w14:textId="77777777" w:rsidR="00085894" w:rsidRPr="00BB3230" w:rsidRDefault="00085894">
      <w:pPr>
        <w:numPr>
          <w:ilvl w:val="0"/>
          <w:numId w:val="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Executive notification within 12 hours</w:t>
      </w:r>
    </w:p>
    <w:p w14:paraId="1FC9FF84" w14:textId="77777777" w:rsidR="00085894" w:rsidRPr="00BB3230" w:rsidRDefault="00085894">
      <w:pPr>
        <w:numPr>
          <w:ilvl w:val="0"/>
          <w:numId w:val="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Regulatory reporting within 24 hours</w:t>
      </w:r>
    </w:p>
    <w:p w14:paraId="235C3E93" w14:textId="77777777" w:rsidR="00085894" w:rsidRPr="00BB3230" w:rsidRDefault="00085894">
      <w:pPr>
        <w:numPr>
          <w:ilvl w:val="0"/>
          <w:numId w:val="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Post-incident root cause analysis report</w:t>
      </w:r>
    </w:p>
    <w:p w14:paraId="41B11A56" w14:textId="0ED815C8" w:rsidR="00085894" w:rsidRDefault="00085894"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This workflow reduces legal exposure and ensures regulatory defensibility.</w:t>
      </w:r>
    </w:p>
    <w:p w14:paraId="5B48F552" w14:textId="77777777" w:rsidR="00540908" w:rsidRPr="00BB3230" w:rsidRDefault="00540908" w:rsidP="00F32B98">
      <w:pPr>
        <w:spacing w:line="360" w:lineRule="auto"/>
        <w:jc w:val="left"/>
        <w:rPr>
          <w:rFonts w:asciiTheme="minorBidi" w:hAnsiTheme="minorBidi" w:cstheme="minorBidi"/>
          <w:sz w:val="24"/>
          <w:szCs w:val="24"/>
          <w:lang w:val="en-GB"/>
        </w:rPr>
      </w:pPr>
    </w:p>
    <w:p w14:paraId="424C2ABC" w14:textId="77777777" w:rsidR="00085894" w:rsidRDefault="00085894" w:rsidP="009E2DC2">
      <w:pPr>
        <w:pStyle w:val="Heading2"/>
        <w:jc w:val="left"/>
        <w:rPr>
          <w:rFonts w:asciiTheme="minorBidi" w:hAnsiTheme="minorBidi" w:cstheme="minorBidi"/>
          <w:b/>
          <w:bCs/>
          <w:sz w:val="40"/>
          <w:szCs w:val="40"/>
          <w:lang w:val="en-GB"/>
        </w:rPr>
      </w:pPr>
      <w:bookmarkStart w:id="11" w:name="_Toc221787868"/>
      <w:r w:rsidRPr="00BB3230">
        <w:rPr>
          <w:rFonts w:asciiTheme="minorBidi" w:hAnsiTheme="minorBidi" w:cstheme="minorBidi"/>
          <w:b/>
          <w:bCs/>
          <w:sz w:val="40"/>
          <w:szCs w:val="40"/>
          <w:lang w:val="en-GB"/>
        </w:rPr>
        <w:t>4.3 DORA Operational Resilience Integration</w:t>
      </w:r>
      <w:bookmarkEnd w:id="11"/>
    </w:p>
    <w:p w14:paraId="03E6D78D" w14:textId="77777777" w:rsidR="00540908" w:rsidRPr="00540908" w:rsidRDefault="00540908" w:rsidP="00540908">
      <w:pPr>
        <w:rPr>
          <w:lang w:val="en-GB"/>
        </w:rPr>
      </w:pPr>
    </w:p>
    <w:p w14:paraId="7F1051CC" w14:textId="16F46D72" w:rsidR="00085894" w:rsidRPr="00BB3230" w:rsidRDefault="00085894"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DORA requires operational resilience testing and defined (RTO) and (RPO).</w:t>
      </w:r>
    </w:p>
    <w:p w14:paraId="301F07B4" w14:textId="77777777" w:rsidR="00085894" w:rsidRPr="00BB3230" w:rsidRDefault="00085894"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 Zero Trust-aligned design ensures:</w:t>
      </w:r>
    </w:p>
    <w:p w14:paraId="31776353" w14:textId="77777777" w:rsidR="00085894" w:rsidRPr="00BB3230" w:rsidRDefault="00085894">
      <w:pPr>
        <w:numPr>
          <w:ilvl w:val="0"/>
          <w:numId w:val="9"/>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lastRenderedPageBreak/>
        <w:t>Continuous telemetry collection</w:t>
      </w:r>
    </w:p>
    <w:p w14:paraId="4C2A4650" w14:textId="77777777" w:rsidR="00085894" w:rsidRPr="00BB3230" w:rsidRDefault="00085894">
      <w:pPr>
        <w:numPr>
          <w:ilvl w:val="0"/>
          <w:numId w:val="9"/>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Periodic resilience simulation exercises</w:t>
      </w:r>
    </w:p>
    <w:p w14:paraId="0CD838C4" w14:textId="77777777" w:rsidR="00085894" w:rsidRPr="00BB3230" w:rsidRDefault="00085894">
      <w:pPr>
        <w:numPr>
          <w:ilvl w:val="0"/>
          <w:numId w:val="9"/>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Immutable backup validation</w:t>
      </w:r>
    </w:p>
    <w:p w14:paraId="5E06788A" w14:textId="77777777" w:rsidR="00085894" w:rsidRPr="00BB3230" w:rsidRDefault="00085894">
      <w:pPr>
        <w:numPr>
          <w:ilvl w:val="0"/>
          <w:numId w:val="9"/>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Third-party risk oversight</w:t>
      </w:r>
    </w:p>
    <w:p w14:paraId="394B2EF5" w14:textId="2D3D3A0D" w:rsidR="00085894" w:rsidRPr="00BB3230" w:rsidRDefault="00085894"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By embedding these controls into operational governance,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aligns architectural enforcement with regulatory resilience expectations rather than relying on reactive compliance measures</w:t>
      </w:r>
      <w:r w:rsidR="00602952">
        <w:rPr>
          <w:rFonts w:asciiTheme="minorBidi" w:hAnsiTheme="minorBidi" w:cstheme="minorBidi"/>
          <w:sz w:val="24"/>
          <w:szCs w:val="24"/>
          <w:lang w:val="en-GB"/>
        </w:rPr>
        <w:t xml:space="preserve"> [6].</w:t>
      </w:r>
    </w:p>
    <w:p w14:paraId="18EA2FCF" w14:textId="619F3D6C" w:rsidR="00757623" w:rsidRDefault="00757623" w:rsidP="00540908">
      <w:pPr>
        <w:pStyle w:val="Heading1"/>
        <w:numPr>
          <w:ilvl w:val="0"/>
          <w:numId w:val="8"/>
        </w:numPr>
        <w:jc w:val="left"/>
        <w:rPr>
          <w:rFonts w:asciiTheme="minorBidi" w:hAnsiTheme="minorBidi" w:cstheme="minorBidi"/>
          <w:b/>
          <w:bCs/>
          <w:sz w:val="32"/>
          <w:szCs w:val="32"/>
          <w:lang w:val="en-GB"/>
        </w:rPr>
      </w:pPr>
      <w:bookmarkStart w:id="12" w:name="_Toc221787869"/>
      <w:r w:rsidRPr="00380DAC">
        <w:rPr>
          <w:rFonts w:asciiTheme="minorBidi" w:hAnsiTheme="minorBidi" w:cstheme="minorBidi"/>
          <w:b/>
          <w:bCs/>
          <w:sz w:val="32"/>
          <w:szCs w:val="32"/>
          <w:lang w:val="en-GB"/>
        </w:rPr>
        <w:t>Quantitative Risk Assessment and Prioritisation</w:t>
      </w:r>
      <w:bookmarkEnd w:id="12"/>
    </w:p>
    <w:p w14:paraId="718DA27B" w14:textId="77777777" w:rsidR="00540908" w:rsidRPr="00B23D64" w:rsidRDefault="00540908" w:rsidP="00B23D64">
      <w:pPr>
        <w:jc w:val="both"/>
        <w:rPr>
          <w:lang w:val="en-GB"/>
        </w:rPr>
      </w:pPr>
    </w:p>
    <w:p w14:paraId="4ECB1604" w14:textId="7C4E86FB" w:rsidR="00757623" w:rsidRPr="00F32B98"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A structured risk assessment framework is required to address </w:t>
      </w:r>
      <w:proofErr w:type="spellStart"/>
      <w:r w:rsidRPr="00BB3230">
        <w:rPr>
          <w:rFonts w:asciiTheme="minorBidi" w:hAnsiTheme="minorBidi" w:cstheme="minorBidi"/>
          <w:sz w:val="24"/>
          <w:szCs w:val="24"/>
          <w:lang w:val="en-GB"/>
        </w:rPr>
        <w:t>MediTrust’s</w:t>
      </w:r>
      <w:proofErr w:type="spellEnd"/>
      <w:r w:rsidRPr="00BB3230">
        <w:rPr>
          <w:rFonts w:asciiTheme="minorBidi" w:hAnsiTheme="minorBidi" w:cstheme="minorBidi"/>
          <w:sz w:val="24"/>
          <w:szCs w:val="24"/>
          <w:lang w:val="en-GB"/>
        </w:rPr>
        <w:t xml:space="preserve"> exposure across multi-cloud infrastructure, AI systems, and software supply chains. In alignment with ISO 31000 risk evaluation principles, risks are assessed using a simplified Likelihood (1–5) and Impact (1–5) scoring model.</w:t>
      </w:r>
    </w:p>
    <w:p w14:paraId="60186F58" w14:textId="77777777" w:rsidR="00757623" w:rsidRDefault="00757623" w:rsidP="009E2DC2">
      <w:pPr>
        <w:pStyle w:val="Heading2"/>
        <w:jc w:val="left"/>
        <w:rPr>
          <w:rFonts w:asciiTheme="minorBidi" w:hAnsiTheme="minorBidi" w:cstheme="minorBidi"/>
          <w:b/>
          <w:bCs/>
          <w:lang w:val="en-GB"/>
        </w:rPr>
      </w:pPr>
      <w:bookmarkStart w:id="13" w:name="_Toc221787870"/>
      <w:r w:rsidRPr="00380DAC">
        <w:rPr>
          <w:rFonts w:asciiTheme="minorBidi" w:hAnsiTheme="minorBidi" w:cstheme="minorBidi"/>
          <w:b/>
          <w:bCs/>
          <w:lang w:val="en-GB"/>
        </w:rPr>
        <w:t>5.1 Risk Scoring Model</w:t>
      </w:r>
      <w:bookmarkEnd w:id="13"/>
    </w:p>
    <w:p w14:paraId="610621A8" w14:textId="77777777" w:rsidR="00540908" w:rsidRPr="00540908" w:rsidRDefault="00540908" w:rsidP="00540908">
      <w:pPr>
        <w:rPr>
          <w:lang w:val="en-GB"/>
        </w:rPr>
      </w:pPr>
    </w:p>
    <w:p w14:paraId="24745F48"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Risk Score = Likelihood × Impact</w:t>
      </w:r>
    </w:p>
    <w:p w14:paraId="1F781E9B" w14:textId="77777777" w:rsidR="00757623" w:rsidRPr="00BB3230" w:rsidRDefault="00757623">
      <w:pPr>
        <w:numPr>
          <w:ilvl w:val="0"/>
          <w:numId w:val="10"/>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1–5 = Low</w:t>
      </w:r>
    </w:p>
    <w:p w14:paraId="5E3AE4CB" w14:textId="77777777" w:rsidR="00757623" w:rsidRPr="00BB3230" w:rsidRDefault="00757623">
      <w:pPr>
        <w:numPr>
          <w:ilvl w:val="0"/>
          <w:numId w:val="10"/>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6–12 = Moderate</w:t>
      </w:r>
    </w:p>
    <w:p w14:paraId="78C71FDE" w14:textId="42ADC120" w:rsidR="00757623" w:rsidRPr="00F32B98" w:rsidRDefault="00757623">
      <w:pPr>
        <w:numPr>
          <w:ilvl w:val="0"/>
          <w:numId w:val="10"/>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15–25 = High</w:t>
      </w:r>
    </w:p>
    <w:p w14:paraId="0A1E848F" w14:textId="77777777" w:rsidR="00757623" w:rsidRPr="00380DAC" w:rsidRDefault="00757623" w:rsidP="009E2DC2">
      <w:pPr>
        <w:pStyle w:val="Heading2"/>
        <w:jc w:val="left"/>
        <w:rPr>
          <w:rFonts w:asciiTheme="minorBidi" w:hAnsiTheme="minorBidi" w:cstheme="minorBidi"/>
          <w:b/>
          <w:bCs/>
          <w:lang w:val="en-GB"/>
        </w:rPr>
      </w:pPr>
      <w:bookmarkStart w:id="14" w:name="_Toc221787871"/>
      <w:r w:rsidRPr="00380DAC">
        <w:rPr>
          <w:rFonts w:asciiTheme="minorBidi" w:hAnsiTheme="minorBidi" w:cstheme="minorBidi"/>
          <w:b/>
          <w:bCs/>
          <w:lang w:val="en-GB"/>
        </w:rPr>
        <w:t>5.2 High-Level Risk Matrix</w:t>
      </w:r>
      <w:bookmarkEnd w:id="14"/>
    </w:p>
    <w:p w14:paraId="4FD00DA2" w14:textId="77777777" w:rsidR="00757623" w:rsidRPr="00BB3230" w:rsidRDefault="00757623" w:rsidP="009B57EA">
      <w:pPr>
        <w:spacing w:line="360" w:lineRule="auto"/>
        <w:jc w:val="left"/>
        <w:rPr>
          <w:rFonts w:asciiTheme="minorBidi" w:hAnsiTheme="minorBidi" w:cstheme="minorBidi"/>
          <w:b/>
          <w:bCs/>
          <w:sz w:val="24"/>
          <w:szCs w:val="24"/>
          <w:lang w:val="en-GB"/>
        </w:rPr>
      </w:pPr>
    </w:p>
    <w:tbl>
      <w:tblPr>
        <w:tblW w:w="0" w:type="auto"/>
        <w:tblCellSpacing w:w="15" w:type="dxa"/>
        <w:tblBorders>
          <w:top w:val="dashDotStroked" w:sz="24" w:space="0" w:color="074F6A" w:themeColor="accent4" w:themeShade="80"/>
          <w:left w:val="dashDotStroked" w:sz="24" w:space="0" w:color="074F6A" w:themeColor="accent4" w:themeShade="80"/>
          <w:bottom w:val="dashDotStroked" w:sz="24" w:space="0" w:color="074F6A" w:themeColor="accent4" w:themeShade="80"/>
          <w:right w:val="dashDotStroked" w:sz="24" w:space="0" w:color="074F6A" w:themeColor="accent4" w:themeShade="80"/>
        </w:tblBorders>
        <w:tblCellMar>
          <w:top w:w="15" w:type="dxa"/>
          <w:left w:w="15" w:type="dxa"/>
          <w:bottom w:w="15" w:type="dxa"/>
          <w:right w:w="15" w:type="dxa"/>
        </w:tblCellMar>
        <w:tblLook w:val="04A0" w:firstRow="1" w:lastRow="0" w:firstColumn="1" w:lastColumn="0" w:noHBand="0" w:noVBand="1"/>
      </w:tblPr>
      <w:tblGrid>
        <w:gridCol w:w="2169"/>
        <w:gridCol w:w="2133"/>
        <w:gridCol w:w="1345"/>
        <w:gridCol w:w="919"/>
        <w:gridCol w:w="806"/>
        <w:gridCol w:w="1098"/>
        <w:gridCol w:w="1590"/>
      </w:tblGrid>
      <w:tr w:rsidR="00757623" w:rsidRPr="00BB3230" w14:paraId="412AF56D" w14:textId="77777777" w:rsidTr="00E7796B">
        <w:trPr>
          <w:tblHeader/>
          <w:tblCellSpacing w:w="15" w:type="dxa"/>
        </w:trPr>
        <w:tc>
          <w:tcPr>
            <w:tcW w:w="0" w:type="auto"/>
            <w:shd w:val="clear" w:color="auto" w:fill="074F6A" w:themeFill="accent4" w:themeFillShade="80"/>
            <w:vAlign w:val="center"/>
            <w:hideMark/>
          </w:tcPr>
          <w:p w14:paraId="7BA7D5B7"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Risk Category</w:t>
            </w:r>
          </w:p>
        </w:tc>
        <w:tc>
          <w:tcPr>
            <w:tcW w:w="0" w:type="auto"/>
            <w:shd w:val="clear" w:color="auto" w:fill="074F6A" w:themeFill="accent4" w:themeFillShade="80"/>
            <w:vAlign w:val="center"/>
            <w:hideMark/>
          </w:tcPr>
          <w:p w14:paraId="70BED3D3"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Description</w:t>
            </w:r>
          </w:p>
        </w:tc>
        <w:tc>
          <w:tcPr>
            <w:tcW w:w="0" w:type="auto"/>
            <w:shd w:val="clear" w:color="auto" w:fill="074F6A" w:themeFill="accent4" w:themeFillShade="80"/>
            <w:vAlign w:val="center"/>
            <w:hideMark/>
          </w:tcPr>
          <w:p w14:paraId="63D139B7"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Likelihood (1–5)</w:t>
            </w:r>
          </w:p>
        </w:tc>
        <w:tc>
          <w:tcPr>
            <w:tcW w:w="0" w:type="auto"/>
            <w:shd w:val="clear" w:color="auto" w:fill="074F6A" w:themeFill="accent4" w:themeFillShade="80"/>
            <w:vAlign w:val="center"/>
            <w:hideMark/>
          </w:tcPr>
          <w:p w14:paraId="6CA00941"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Impact (1–5)</w:t>
            </w:r>
          </w:p>
        </w:tc>
        <w:tc>
          <w:tcPr>
            <w:tcW w:w="0" w:type="auto"/>
            <w:shd w:val="clear" w:color="auto" w:fill="074F6A" w:themeFill="accent4" w:themeFillShade="80"/>
            <w:vAlign w:val="center"/>
            <w:hideMark/>
          </w:tcPr>
          <w:p w14:paraId="528FF268"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Risk Score</w:t>
            </w:r>
          </w:p>
        </w:tc>
        <w:tc>
          <w:tcPr>
            <w:tcW w:w="0" w:type="auto"/>
            <w:shd w:val="clear" w:color="auto" w:fill="074F6A" w:themeFill="accent4" w:themeFillShade="80"/>
            <w:vAlign w:val="center"/>
            <w:hideMark/>
          </w:tcPr>
          <w:p w14:paraId="775359EB"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Risk Level</w:t>
            </w:r>
          </w:p>
        </w:tc>
        <w:tc>
          <w:tcPr>
            <w:tcW w:w="0" w:type="auto"/>
            <w:shd w:val="clear" w:color="auto" w:fill="074F6A" w:themeFill="accent4" w:themeFillShade="80"/>
            <w:vAlign w:val="center"/>
            <w:hideMark/>
          </w:tcPr>
          <w:p w14:paraId="53AD79EA"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Risk Owner</w:t>
            </w:r>
          </w:p>
        </w:tc>
      </w:tr>
      <w:tr w:rsidR="00757623" w:rsidRPr="00BB3230" w14:paraId="1C2079E0" w14:textId="77777777" w:rsidTr="00E7796B">
        <w:trPr>
          <w:tblCellSpacing w:w="15" w:type="dxa"/>
        </w:trPr>
        <w:tc>
          <w:tcPr>
            <w:tcW w:w="0" w:type="auto"/>
            <w:shd w:val="clear" w:color="auto" w:fill="C1E4F5" w:themeFill="accent1" w:themeFillTint="33"/>
            <w:vAlign w:val="center"/>
            <w:hideMark/>
          </w:tcPr>
          <w:p w14:paraId="28163443"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Cloud Misconfiguration</w:t>
            </w:r>
          </w:p>
        </w:tc>
        <w:tc>
          <w:tcPr>
            <w:tcW w:w="0" w:type="auto"/>
            <w:shd w:val="clear" w:color="auto" w:fill="FAE2D5" w:themeFill="accent2" w:themeFillTint="33"/>
            <w:vAlign w:val="center"/>
            <w:hideMark/>
          </w:tcPr>
          <w:p w14:paraId="76DFA3C3"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Exposure of patient data due to incorrect cloud settings</w:t>
            </w:r>
          </w:p>
        </w:tc>
        <w:tc>
          <w:tcPr>
            <w:tcW w:w="0" w:type="auto"/>
            <w:shd w:val="clear" w:color="auto" w:fill="C1F0C7" w:themeFill="accent3" w:themeFillTint="33"/>
            <w:vAlign w:val="center"/>
            <w:hideMark/>
          </w:tcPr>
          <w:p w14:paraId="7C9A5D3B"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4</w:t>
            </w:r>
          </w:p>
        </w:tc>
        <w:tc>
          <w:tcPr>
            <w:tcW w:w="0" w:type="auto"/>
            <w:shd w:val="clear" w:color="auto" w:fill="DAE9F7" w:themeFill="text2" w:themeFillTint="1A"/>
            <w:vAlign w:val="center"/>
            <w:hideMark/>
          </w:tcPr>
          <w:p w14:paraId="48F7A821"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5</w:t>
            </w:r>
          </w:p>
        </w:tc>
        <w:tc>
          <w:tcPr>
            <w:tcW w:w="0" w:type="auto"/>
            <w:shd w:val="clear" w:color="auto" w:fill="D1D1D1" w:themeFill="background2" w:themeFillShade="E6"/>
            <w:vAlign w:val="center"/>
            <w:hideMark/>
          </w:tcPr>
          <w:p w14:paraId="5FF9D207"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20</w:t>
            </w:r>
          </w:p>
        </w:tc>
        <w:tc>
          <w:tcPr>
            <w:tcW w:w="0" w:type="auto"/>
            <w:shd w:val="clear" w:color="auto" w:fill="F2CEED" w:themeFill="accent5" w:themeFillTint="33"/>
            <w:vAlign w:val="center"/>
            <w:hideMark/>
          </w:tcPr>
          <w:p w14:paraId="0DFB40CB"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High</w:t>
            </w:r>
          </w:p>
        </w:tc>
        <w:tc>
          <w:tcPr>
            <w:tcW w:w="0" w:type="auto"/>
            <w:shd w:val="clear" w:color="auto" w:fill="F2F2F2" w:themeFill="background1" w:themeFillShade="F2"/>
            <w:vAlign w:val="center"/>
            <w:hideMark/>
          </w:tcPr>
          <w:p w14:paraId="7AF174F3"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Cloud Security Architect</w:t>
            </w:r>
          </w:p>
        </w:tc>
      </w:tr>
      <w:tr w:rsidR="00757623" w:rsidRPr="00BB3230" w14:paraId="58B44D60" w14:textId="77777777" w:rsidTr="00E7796B">
        <w:trPr>
          <w:tblCellSpacing w:w="15" w:type="dxa"/>
        </w:trPr>
        <w:tc>
          <w:tcPr>
            <w:tcW w:w="0" w:type="auto"/>
            <w:shd w:val="clear" w:color="auto" w:fill="C1E4F5" w:themeFill="accent1" w:themeFillTint="33"/>
            <w:vAlign w:val="center"/>
            <w:hideMark/>
          </w:tcPr>
          <w:p w14:paraId="24F059EC"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Software Supply Chain Compromise</w:t>
            </w:r>
          </w:p>
        </w:tc>
        <w:tc>
          <w:tcPr>
            <w:tcW w:w="0" w:type="auto"/>
            <w:shd w:val="clear" w:color="auto" w:fill="FAE2D5" w:themeFill="accent2" w:themeFillTint="33"/>
            <w:vAlign w:val="center"/>
            <w:hideMark/>
          </w:tcPr>
          <w:p w14:paraId="33B67A84"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Vulnerable third-party libraries or malicious dependency injection</w:t>
            </w:r>
          </w:p>
        </w:tc>
        <w:tc>
          <w:tcPr>
            <w:tcW w:w="0" w:type="auto"/>
            <w:shd w:val="clear" w:color="auto" w:fill="C1F0C7" w:themeFill="accent3" w:themeFillTint="33"/>
            <w:vAlign w:val="center"/>
            <w:hideMark/>
          </w:tcPr>
          <w:p w14:paraId="7A86F43D"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3</w:t>
            </w:r>
          </w:p>
        </w:tc>
        <w:tc>
          <w:tcPr>
            <w:tcW w:w="0" w:type="auto"/>
            <w:shd w:val="clear" w:color="auto" w:fill="DAE9F7" w:themeFill="text2" w:themeFillTint="1A"/>
            <w:vAlign w:val="center"/>
            <w:hideMark/>
          </w:tcPr>
          <w:p w14:paraId="2654C3A5"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5</w:t>
            </w:r>
          </w:p>
        </w:tc>
        <w:tc>
          <w:tcPr>
            <w:tcW w:w="0" w:type="auto"/>
            <w:shd w:val="clear" w:color="auto" w:fill="D1D1D1" w:themeFill="background2" w:themeFillShade="E6"/>
            <w:vAlign w:val="center"/>
            <w:hideMark/>
          </w:tcPr>
          <w:p w14:paraId="1CE2519B"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15</w:t>
            </w:r>
          </w:p>
        </w:tc>
        <w:tc>
          <w:tcPr>
            <w:tcW w:w="0" w:type="auto"/>
            <w:shd w:val="clear" w:color="auto" w:fill="F2CEED" w:themeFill="accent5" w:themeFillTint="33"/>
            <w:vAlign w:val="center"/>
            <w:hideMark/>
          </w:tcPr>
          <w:p w14:paraId="316177C8"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High</w:t>
            </w:r>
          </w:p>
        </w:tc>
        <w:tc>
          <w:tcPr>
            <w:tcW w:w="0" w:type="auto"/>
            <w:shd w:val="clear" w:color="auto" w:fill="F2F2F2" w:themeFill="background1" w:themeFillShade="F2"/>
            <w:vAlign w:val="center"/>
            <w:hideMark/>
          </w:tcPr>
          <w:p w14:paraId="033D10A5" w14:textId="77777777" w:rsidR="00757623" w:rsidRPr="00BB3230" w:rsidRDefault="00757623" w:rsidP="009B57EA">
            <w:pPr>
              <w:spacing w:line="360" w:lineRule="auto"/>
              <w:jc w:val="left"/>
              <w:rPr>
                <w:rFonts w:asciiTheme="minorBidi" w:hAnsiTheme="minorBidi" w:cstheme="minorBidi"/>
                <w:sz w:val="24"/>
                <w:szCs w:val="24"/>
                <w:lang w:val="en-GB"/>
              </w:rPr>
            </w:pPr>
            <w:proofErr w:type="spellStart"/>
            <w:r w:rsidRPr="00BB3230">
              <w:rPr>
                <w:rFonts w:asciiTheme="minorBidi" w:hAnsiTheme="minorBidi" w:cstheme="minorBidi"/>
                <w:sz w:val="24"/>
                <w:szCs w:val="24"/>
                <w:lang w:val="en-GB"/>
              </w:rPr>
              <w:t>DevSecOps</w:t>
            </w:r>
            <w:proofErr w:type="spellEnd"/>
            <w:r w:rsidRPr="00BB3230">
              <w:rPr>
                <w:rFonts w:asciiTheme="minorBidi" w:hAnsiTheme="minorBidi" w:cstheme="minorBidi"/>
                <w:sz w:val="24"/>
                <w:szCs w:val="24"/>
                <w:lang w:val="en-GB"/>
              </w:rPr>
              <w:t xml:space="preserve"> Lead</w:t>
            </w:r>
          </w:p>
        </w:tc>
      </w:tr>
      <w:tr w:rsidR="00757623" w:rsidRPr="00BB3230" w14:paraId="799B2EF1" w14:textId="77777777" w:rsidTr="00E7796B">
        <w:trPr>
          <w:tblCellSpacing w:w="15" w:type="dxa"/>
        </w:trPr>
        <w:tc>
          <w:tcPr>
            <w:tcW w:w="0" w:type="auto"/>
            <w:shd w:val="clear" w:color="auto" w:fill="C1E4F5" w:themeFill="accent1" w:themeFillTint="33"/>
            <w:vAlign w:val="center"/>
            <w:hideMark/>
          </w:tcPr>
          <w:p w14:paraId="18094800"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lastRenderedPageBreak/>
              <w:t>AI Model Poisoning</w:t>
            </w:r>
          </w:p>
        </w:tc>
        <w:tc>
          <w:tcPr>
            <w:tcW w:w="0" w:type="auto"/>
            <w:shd w:val="clear" w:color="auto" w:fill="FAE2D5" w:themeFill="accent2" w:themeFillTint="33"/>
            <w:vAlign w:val="center"/>
            <w:hideMark/>
          </w:tcPr>
          <w:p w14:paraId="371BF69A"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Corruption of training datasets affecting clinical outputs</w:t>
            </w:r>
          </w:p>
        </w:tc>
        <w:tc>
          <w:tcPr>
            <w:tcW w:w="0" w:type="auto"/>
            <w:shd w:val="clear" w:color="auto" w:fill="C1F0C7" w:themeFill="accent3" w:themeFillTint="33"/>
            <w:vAlign w:val="center"/>
            <w:hideMark/>
          </w:tcPr>
          <w:p w14:paraId="46D03A2D"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2</w:t>
            </w:r>
          </w:p>
        </w:tc>
        <w:tc>
          <w:tcPr>
            <w:tcW w:w="0" w:type="auto"/>
            <w:shd w:val="clear" w:color="auto" w:fill="DAE9F7" w:themeFill="text2" w:themeFillTint="1A"/>
            <w:vAlign w:val="center"/>
            <w:hideMark/>
          </w:tcPr>
          <w:p w14:paraId="3D54AE15"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5</w:t>
            </w:r>
          </w:p>
        </w:tc>
        <w:tc>
          <w:tcPr>
            <w:tcW w:w="0" w:type="auto"/>
            <w:shd w:val="clear" w:color="auto" w:fill="D1D1D1" w:themeFill="background2" w:themeFillShade="E6"/>
            <w:vAlign w:val="center"/>
            <w:hideMark/>
          </w:tcPr>
          <w:p w14:paraId="74A73E62"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10</w:t>
            </w:r>
          </w:p>
        </w:tc>
        <w:tc>
          <w:tcPr>
            <w:tcW w:w="0" w:type="auto"/>
            <w:shd w:val="clear" w:color="auto" w:fill="F2CEED" w:themeFill="accent5" w:themeFillTint="33"/>
            <w:vAlign w:val="center"/>
            <w:hideMark/>
          </w:tcPr>
          <w:p w14:paraId="4F111EE0"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Moderate</w:t>
            </w:r>
          </w:p>
        </w:tc>
        <w:tc>
          <w:tcPr>
            <w:tcW w:w="0" w:type="auto"/>
            <w:shd w:val="clear" w:color="auto" w:fill="F2F2F2" w:themeFill="background1" w:themeFillShade="F2"/>
            <w:vAlign w:val="center"/>
            <w:hideMark/>
          </w:tcPr>
          <w:p w14:paraId="5EDA5928" w14:textId="77777777" w:rsidR="00757623" w:rsidRPr="00BB3230" w:rsidRDefault="00757623" w:rsidP="009B57EA">
            <w:pPr>
              <w:spacing w:line="360" w:lineRule="auto"/>
              <w:jc w:val="left"/>
              <w:rPr>
                <w:rFonts w:asciiTheme="minorBidi" w:hAnsiTheme="minorBidi" w:cstheme="minorBidi"/>
                <w:sz w:val="24"/>
                <w:szCs w:val="24"/>
                <w:lang w:val="en-GB"/>
              </w:rPr>
            </w:pPr>
            <w:proofErr w:type="spellStart"/>
            <w:r w:rsidRPr="00BB3230">
              <w:rPr>
                <w:rFonts w:asciiTheme="minorBidi" w:hAnsiTheme="minorBidi" w:cstheme="minorBidi"/>
                <w:sz w:val="24"/>
                <w:szCs w:val="24"/>
                <w:lang w:val="en-GB"/>
              </w:rPr>
              <w:t>DevSecOps</w:t>
            </w:r>
            <w:proofErr w:type="spellEnd"/>
            <w:r w:rsidRPr="00BB3230">
              <w:rPr>
                <w:rFonts w:asciiTheme="minorBidi" w:hAnsiTheme="minorBidi" w:cstheme="minorBidi"/>
                <w:sz w:val="24"/>
                <w:szCs w:val="24"/>
                <w:lang w:val="en-GB"/>
              </w:rPr>
              <w:t xml:space="preserve"> Lead</w:t>
            </w:r>
          </w:p>
        </w:tc>
      </w:tr>
      <w:tr w:rsidR="00757623" w:rsidRPr="00BB3230" w14:paraId="18A50F15" w14:textId="77777777" w:rsidTr="00E7796B">
        <w:trPr>
          <w:tblCellSpacing w:w="15" w:type="dxa"/>
        </w:trPr>
        <w:tc>
          <w:tcPr>
            <w:tcW w:w="0" w:type="auto"/>
            <w:shd w:val="clear" w:color="auto" w:fill="C1E4F5" w:themeFill="accent1" w:themeFillTint="33"/>
            <w:vAlign w:val="center"/>
            <w:hideMark/>
          </w:tcPr>
          <w:p w14:paraId="5164C478"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Phishing &amp; Credential Theft</w:t>
            </w:r>
          </w:p>
        </w:tc>
        <w:tc>
          <w:tcPr>
            <w:tcW w:w="0" w:type="auto"/>
            <w:shd w:val="clear" w:color="auto" w:fill="FAE2D5" w:themeFill="accent2" w:themeFillTint="33"/>
            <w:vAlign w:val="center"/>
            <w:hideMark/>
          </w:tcPr>
          <w:p w14:paraId="21D1FF3F"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Hybrid workforce credential compromise</w:t>
            </w:r>
          </w:p>
        </w:tc>
        <w:tc>
          <w:tcPr>
            <w:tcW w:w="0" w:type="auto"/>
            <w:shd w:val="clear" w:color="auto" w:fill="C1F0C7" w:themeFill="accent3" w:themeFillTint="33"/>
            <w:vAlign w:val="center"/>
            <w:hideMark/>
          </w:tcPr>
          <w:p w14:paraId="1039CA96"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4</w:t>
            </w:r>
          </w:p>
        </w:tc>
        <w:tc>
          <w:tcPr>
            <w:tcW w:w="0" w:type="auto"/>
            <w:shd w:val="clear" w:color="auto" w:fill="DAE9F7" w:themeFill="text2" w:themeFillTint="1A"/>
            <w:vAlign w:val="center"/>
            <w:hideMark/>
          </w:tcPr>
          <w:p w14:paraId="141DA6E6"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4</w:t>
            </w:r>
          </w:p>
        </w:tc>
        <w:tc>
          <w:tcPr>
            <w:tcW w:w="0" w:type="auto"/>
            <w:shd w:val="clear" w:color="auto" w:fill="D1D1D1" w:themeFill="background2" w:themeFillShade="E6"/>
            <w:vAlign w:val="center"/>
            <w:hideMark/>
          </w:tcPr>
          <w:p w14:paraId="50988731"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16</w:t>
            </w:r>
          </w:p>
        </w:tc>
        <w:tc>
          <w:tcPr>
            <w:tcW w:w="0" w:type="auto"/>
            <w:shd w:val="clear" w:color="auto" w:fill="F2CEED" w:themeFill="accent5" w:themeFillTint="33"/>
            <w:vAlign w:val="center"/>
            <w:hideMark/>
          </w:tcPr>
          <w:p w14:paraId="06874124"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High</w:t>
            </w:r>
          </w:p>
        </w:tc>
        <w:tc>
          <w:tcPr>
            <w:tcW w:w="0" w:type="auto"/>
            <w:shd w:val="clear" w:color="auto" w:fill="F2F2F2" w:themeFill="background1" w:themeFillShade="F2"/>
            <w:vAlign w:val="center"/>
            <w:hideMark/>
          </w:tcPr>
          <w:p w14:paraId="0DDAA97E"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SOC Manager</w:t>
            </w:r>
          </w:p>
        </w:tc>
      </w:tr>
      <w:tr w:rsidR="00757623" w:rsidRPr="00BB3230" w14:paraId="5613B278" w14:textId="77777777" w:rsidTr="00E7796B">
        <w:trPr>
          <w:tblCellSpacing w:w="15" w:type="dxa"/>
        </w:trPr>
        <w:tc>
          <w:tcPr>
            <w:tcW w:w="0" w:type="auto"/>
            <w:shd w:val="clear" w:color="auto" w:fill="C1E4F5" w:themeFill="accent1" w:themeFillTint="33"/>
            <w:vAlign w:val="center"/>
            <w:hideMark/>
          </w:tcPr>
          <w:p w14:paraId="0F4056F9"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Ransomware on Code Repositories</w:t>
            </w:r>
          </w:p>
        </w:tc>
        <w:tc>
          <w:tcPr>
            <w:tcW w:w="0" w:type="auto"/>
            <w:shd w:val="clear" w:color="auto" w:fill="FAE2D5" w:themeFill="accent2" w:themeFillTint="33"/>
            <w:vAlign w:val="center"/>
            <w:hideMark/>
          </w:tcPr>
          <w:p w14:paraId="325546BB"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Encryption of source code and AI datasets</w:t>
            </w:r>
          </w:p>
        </w:tc>
        <w:tc>
          <w:tcPr>
            <w:tcW w:w="0" w:type="auto"/>
            <w:shd w:val="clear" w:color="auto" w:fill="C1F0C7" w:themeFill="accent3" w:themeFillTint="33"/>
            <w:vAlign w:val="center"/>
            <w:hideMark/>
          </w:tcPr>
          <w:p w14:paraId="0C873739"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3</w:t>
            </w:r>
          </w:p>
        </w:tc>
        <w:tc>
          <w:tcPr>
            <w:tcW w:w="0" w:type="auto"/>
            <w:shd w:val="clear" w:color="auto" w:fill="DAE9F7" w:themeFill="text2" w:themeFillTint="1A"/>
            <w:vAlign w:val="center"/>
            <w:hideMark/>
          </w:tcPr>
          <w:p w14:paraId="3A5E3D87"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5</w:t>
            </w:r>
          </w:p>
        </w:tc>
        <w:tc>
          <w:tcPr>
            <w:tcW w:w="0" w:type="auto"/>
            <w:shd w:val="clear" w:color="auto" w:fill="D1D1D1" w:themeFill="background2" w:themeFillShade="E6"/>
            <w:vAlign w:val="center"/>
            <w:hideMark/>
          </w:tcPr>
          <w:p w14:paraId="4C6B4A3F" w14:textId="77777777" w:rsidR="00757623" w:rsidRPr="00BB3230" w:rsidRDefault="00757623" w:rsidP="00921B6F">
            <w:pPr>
              <w:spacing w:line="360" w:lineRule="auto"/>
              <w:rPr>
                <w:rFonts w:asciiTheme="minorBidi" w:hAnsiTheme="minorBidi" w:cstheme="minorBidi"/>
                <w:sz w:val="24"/>
                <w:szCs w:val="24"/>
                <w:lang w:val="en-GB"/>
              </w:rPr>
            </w:pPr>
            <w:r w:rsidRPr="00BB3230">
              <w:rPr>
                <w:rFonts w:asciiTheme="minorBidi" w:hAnsiTheme="minorBidi" w:cstheme="minorBidi"/>
                <w:sz w:val="24"/>
                <w:szCs w:val="24"/>
                <w:lang w:val="en-GB"/>
              </w:rPr>
              <w:t>15</w:t>
            </w:r>
          </w:p>
        </w:tc>
        <w:tc>
          <w:tcPr>
            <w:tcW w:w="0" w:type="auto"/>
            <w:shd w:val="clear" w:color="auto" w:fill="F2CEED" w:themeFill="accent5" w:themeFillTint="33"/>
            <w:vAlign w:val="center"/>
            <w:hideMark/>
          </w:tcPr>
          <w:p w14:paraId="4B0C236F"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High</w:t>
            </w:r>
          </w:p>
        </w:tc>
        <w:tc>
          <w:tcPr>
            <w:tcW w:w="0" w:type="auto"/>
            <w:shd w:val="clear" w:color="auto" w:fill="F2F2F2" w:themeFill="background1" w:themeFillShade="F2"/>
            <w:vAlign w:val="center"/>
            <w:hideMark/>
          </w:tcPr>
          <w:p w14:paraId="2BB83D48"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CISO</w:t>
            </w:r>
          </w:p>
        </w:tc>
      </w:tr>
    </w:tbl>
    <w:p w14:paraId="4CB29217" w14:textId="77777777" w:rsidR="00757623" w:rsidRPr="00BB3230" w:rsidRDefault="00757623"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 xml:space="preserve"> </w:t>
      </w:r>
    </w:p>
    <w:p w14:paraId="799B56CA" w14:textId="77777777" w:rsidR="00757623" w:rsidRPr="00380DAC" w:rsidRDefault="00757623" w:rsidP="009E2DC2">
      <w:pPr>
        <w:pStyle w:val="Heading2"/>
        <w:jc w:val="left"/>
        <w:rPr>
          <w:rFonts w:asciiTheme="minorBidi" w:hAnsiTheme="minorBidi" w:cstheme="minorBidi"/>
          <w:b/>
          <w:bCs/>
          <w:lang w:val="en-GB"/>
        </w:rPr>
      </w:pPr>
      <w:bookmarkStart w:id="15" w:name="_Toc221787872"/>
      <w:r w:rsidRPr="00380DAC">
        <w:rPr>
          <w:rFonts w:asciiTheme="minorBidi" w:hAnsiTheme="minorBidi" w:cstheme="minorBidi"/>
          <w:b/>
          <w:bCs/>
          <w:lang w:val="en-GB"/>
        </w:rPr>
        <w:t>5.3 Risk Prioritisation Rationale</w:t>
      </w:r>
      <w:bookmarkEnd w:id="15"/>
    </w:p>
    <w:p w14:paraId="575D8CCD" w14:textId="762F031B"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Cloud misconfiguration and credential compromise represent the highest probability risks within hybrid and multi-cloud environments. Software supply chain compromise carries </w:t>
      </w:r>
      <w:r w:rsidR="00921B6F" w:rsidRPr="00BB3230">
        <w:rPr>
          <w:rFonts w:asciiTheme="minorBidi" w:hAnsiTheme="minorBidi" w:cstheme="minorBidi"/>
          <w:sz w:val="24"/>
          <w:szCs w:val="24"/>
          <w:lang w:val="en-GB"/>
        </w:rPr>
        <w:t xml:space="preserve">a </w:t>
      </w:r>
      <w:r w:rsidRPr="00BB3230">
        <w:rPr>
          <w:rFonts w:asciiTheme="minorBidi" w:hAnsiTheme="minorBidi" w:cstheme="minorBidi"/>
          <w:sz w:val="24"/>
          <w:szCs w:val="24"/>
          <w:lang w:val="en-GB"/>
        </w:rPr>
        <w:t>systemic impact due to inherited vulnerabilities within AI pipelines.</w:t>
      </w:r>
    </w:p>
    <w:p w14:paraId="3AEF7368" w14:textId="696C2E09"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Although AI poisoning demonstrates </w:t>
      </w:r>
      <w:r w:rsidR="00921B6F" w:rsidRPr="00BB3230">
        <w:rPr>
          <w:rFonts w:asciiTheme="minorBidi" w:hAnsiTheme="minorBidi" w:cstheme="minorBidi"/>
          <w:sz w:val="24"/>
          <w:szCs w:val="24"/>
          <w:lang w:val="en-GB"/>
        </w:rPr>
        <w:t xml:space="preserve">a </w:t>
      </w:r>
      <w:r w:rsidRPr="00BB3230">
        <w:rPr>
          <w:rFonts w:asciiTheme="minorBidi" w:hAnsiTheme="minorBidi" w:cstheme="minorBidi"/>
          <w:sz w:val="24"/>
          <w:szCs w:val="24"/>
          <w:lang w:val="en-GB"/>
        </w:rPr>
        <w:t>lower statistical likelihood, its clinical consequences justify elevated strategic monitoring.</w:t>
      </w:r>
    </w:p>
    <w:p w14:paraId="08A75A41" w14:textId="18AD61DC" w:rsidR="00757623" w:rsidRPr="00BB3230" w:rsidRDefault="00757623" w:rsidP="00AF22B6">
      <w:pPr>
        <w:spacing w:line="360" w:lineRule="auto"/>
        <w:jc w:val="left"/>
        <w:rPr>
          <w:rFonts w:asciiTheme="minorBidi" w:hAnsiTheme="minorBidi" w:cstheme="minorBidi"/>
          <w:b/>
          <w:bCs/>
          <w:sz w:val="24"/>
          <w:szCs w:val="24"/>
          <w:lang w:val="en-GB"/>
        </w:rPr>
      </w:pPr>
      <w:r w:rsidRPr="00BB3230">
        <w:rPr>
          <w:rFonts w:asciiTheme="minorBidi" w:hAnsiTheme="minorBidi" w:cstheme="minorBidi"/>
          <w:sz w:val="24"/>
          <w:szCs w:val="24"/>
          <w:lang w:val="en-GB"/>
        </w:rPr>
        <w:t>Risk ownership allocation ensures accountability and aligns mitigation controls with designated security roles</w:t>
      </w:r>
      <w:r w:rsidR="0035259A">
        <w:rPr>
          <w:rFonts w:asciiTheme="minorBidi" w:hAnsiTheme="minorBidi" w:cstheme="minorBidi"/>
          <w:sz w:val="24"/>
          <w:szCs w:val="24"/>
          <w:lang w:val="en-GB"/>
        </w:rPr>
        <w:t xml:space="preserve"> [7]</w:t>
      </w:r>
      <w:r w:rsidRPr="00BB3230">
        <w:rPr>
          <w:rFonts w:asciiTheme="minorBidi" w:hAnsiTheme="minorBidi" w:cstheme="minorBidi"/>
          <w:b/>
          <w:bCs/>
          <w:sz w:val="24"/>
          <w:szCs w:val="24"/>
          <w:lang w:val="en-GB"/>
        </w:rPr>
        <w:t>.</w:t>
      </w:r>
    </w:p>
    <w:p w14:paraId="173E30F4" w14:textId="77777777" w:rsidR="00757623" w:rsidRPr="00380DAC" w:rsidRDefault="00757623" w:rsidP="009E2DC2">
      <w:pPr>
        <w:pStyle w:val="Heading2"/>
        <w:jc w:val="left"/>
        <w:rPr>
          <w:rFonts w:asciiTheme="minorBidi" w:hAnsiTheme="minorBidi" w:cstheme="minorBidi"/>
          <w:b/>
          <w:bCs/>
          <w:lang w:val="en-GB"/>
        </w:rPr>
      </w:pPr>
      <w:bookmarkStart w:id="16" w:name="_Toc221787873"/>
      <w:r w:rsidRPr="00380DAC">
        <w:rPr>
          <w:rFonts w:asciiTheme="minorBidi" w:hAnsiTheme="minorBidi" w:cstheme="minorBidi"/>
          <w:b/>
          <w:bCs/>
          <w:lang w:val="en-GB"/>
        </w:rPr>
        <w:t>5.4 Residual Risk Management</w:t>
      </w:r>
      <w:bookmarkEnd w:id="16"/>
    </w:p>
    <w:p w14:paraId="47E8C31A" w14:textId="77777777" w:rsidR="00757623"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Following mitigation measures such as CSPM implementation, dependency scanning, SBOM validation, phishing-resistant MFA, and immutable backups, residual risk should be reassessed quarterly.</w:t>
      </w:r>
    </w:p>
    <w:p w14:paraId="0DFB52C3" w14:textId="77777777" w:rsidR="00387372" w:rsidRDefault="00387372" w:rsidP="009B57EA">
      <w:pPr>
        <w:spacing w:line="360" w:lineRule="auto"/>
        <w:jc w:val="left"/>
        <w:rPr>
          <w:rFonts w:asciiTheme="minorBidi" w:hAnsiTheme="minorBidi" w:cstheme="minorBidi"/>
          <w:sz w:val="24"/>
          <w:szCs w:val="24"/>
          <w:lang w:val="en-GB"/>
        </w:rPr>
      </w:pPr>
    </w:p>
    <w:p w14:paraId="67CE60DC" w14:textId="7366D221" w:rsidR="00387372" w:rsidRDefault="00387372" w:rsidP="00387372">
      <w:pPr>
        <w:spacing w:line="360" w:lineRule="auto"/>
        <w:rPr>
          <w:rFonts w:asciiTheme="minorBidi" w:hAnsiTheme="minorBidi" w:cstheme="minorBidi"/>
          <w:sz w:val="24"/>
          <w:szCs w:val="24"/>
          <w:lang w:val="en-GB"/>
        </w:rPr>
      </w:pPr>
      <w:r>
        <w:rPr>
          <w:noProof/>
        </w:rPr>
        <w:lastRenderedPageBreak/>
        <w:drawing>
          <wp:inline distT="0" distB="0" distL="0" distR="0" wp14:anchorId="4A981FA5" wp14:editId="4902C6E5">
            <wp:extent cx="4076700" cy="2495550"/>
            <wp:effectExtent l="0" t="0" r="0" b="0"/>
            <wp:docPr id="544372040" name="Picture 1" descr="A diagram of a risk manage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372040" name="Picture 1" descr="A diagram of a risk management&#10;&#10;AI-generated content may be incorrect."/>
                    <pic:cNvPicPr/>
                  </pic:nvPicPr>
                  <pic:blipFill>
                    <a:blip r:embed="rId15"/>
                    <a:stretch>
                      <a:fillRect/>
                    </a:stretch>
                  </pic:blipFill>
                  <pic:spPr>
                    <a:xfrm>
                      <a:off x="0" y="0"/>
                      <a:ext cx="4076700" cy="2495550"/>
                    </a:xfrm>
                    <a:prstGeom prst="rect">
                      <a:avLst/>
                    </a:prstGeom>
                  </pic:spPr>
                </pic:pic>
              </a:graphicData>
            </a:graphic>
          </wp:inline>
        </w:drawing>
      </w:r>
    </w:p>
    <w:p w14:paraId="4F3B4EF1" w14:textId="5FC1A583" w:rsidR="00540908" w:rsidRPr="00BB3230" w:rsidRDefault="00540908" w:rsidP="00540908">
      <w:pPr>
        <w:pStyle w:val="Caption"/>
        <w:rPr>
          <w:rFonts w:asciiTheme="minorBidi" w:hAnsiTheme="minorBidi" w:cstheme="minorBidi"/>
          <w:sz w:val="24"/>
          <w:szCs w:val="24"/>
          <w:lang w:val="en-GB"/>
        </w:rPr>
      </w:pPr>
      <w:r>
        <w:t xml:space="preserve">Figure </w:t>
      </w:r>
      <w:r>
        <w:fldChar w:fldCharType="begin"/>
      </w:r>
      <w:r>
        <w:instrText xml:space="preserve"> SEQ Figure \* ARABIC </w:instrText>
      </w:r>
      <w:r>
        <w:fldChar w:fldCharType="separate"/>
      </w:r>
      <w:r>
        <w:rPr>
          <w:noProof/>
        </w:rPr>
        <w:t>4</w:t>
      </w:r>
      <w:r>
        <w:fldChar w:fldCharType="end"/>
      </w:r>
      <w:r>
        <w:rPr>
          <w:lang w:val="en-GB"/>
        </w:rPr>
        <w:t>:</w:t>
      </w:r>
      <w:proofErr w:type="spellStart"/>
      <w:r>
        <w:rPr>
          <w:lang w:val="en-GB"/>
        </w:rPr>
        <w:t>rish</w:t>
      </w:r>
      <w:proofErr w:type="spellEnd"/>
      <w:r>
        <w:rPr>
          <w:lang w:val="en-GB"/>
        </w:rPr>
        <w:t xml:space="preserve"> Management</w:t>
      </w:r>
    </w:p>
    <w:p w14:paraId="37E8D890" w14:textId="6AE2C91C" w:rsidR="00757623" w:rsidRPr="00F32B98"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Risk reviews must be integrated into board-level governance reporting under NIST CSF 2.0 “Govern” function.</w:t>
      </w:r>
    </w:p>
    <w:p w14:paraId="7AC8D8BC"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A high-level risk analysis identifies the following critical risks:</w:t>
      </w:r>
    </w:p>
    <w:tbl>
      <w:tblPr>
        <w:tblW w:w="0" w:type="auto"/>
        <w:tblCellSpacing w:w="15" w:type="dxa"/>
        <w:tblBorders>
          <w:top w:val="dashDotStroked" w:sz="24" w:space="0" w:color="074F6A" w:themeColor="accent4" w:themeShade="80"/>
          <w:left w:val="dashDotStroked" w:sz="24" w:space="0" w:color="074F6A" w:themeColor="accent4" w:themeShade="80"/>
          <w:bottom w:val="dashDotStroked" w:sz="24" w:space="0" w:color="074F6A" w:themeColor="accent4" w:themeShade="80"/>
          <w:right w:val="dashDotStroked" w:sz="24" w:space="0" w:color="074F6A" w:themeColor="accent4" w:themeShade="80"/>
        </w:tblBorders>
        <w:tblCellMar>
          <w:top w:w="15" w:type="dxa"/>
          <w:left w:w="15" w:type="dxa"/>
          <w:bottom w:w="15" w:type="dxa"/>
          <w:right w:w="15" w:type="dxa"/>
        </w:tblCellMar>
        <w:tblLook w:val="04A0" w:firstRow="1" w:lastRow="0" w:firstColumn="1" w:lastColumn="0" w:noHBand="0" w:noVBand="1"/>
      </w:tblPr>
      <w:tblGrid>
        <w:gridCol w:w="2474"/>
        <w:gridCol w:w="1979"/>
        <w:gridCol w:w="1906"/>
        <w:gridCol w:w="3701"/>
      </w:tblGrid>
      <w:tr w:rsidR="00757623" w:rsidRPr="00BB3230" w14:paraId="4BB0F2CD" w14:textId="77777777" w:rsidTr="00E7796B">
        <w:trPr>
          <w:tblHeader/>
          <w:tblCellSpacing w:w="15" w:type="dxa"/>
        </w:trPr>
        <w:tc>
          <w:tcPr>
            <w:tcW w:w="0" w:type="auto"/>
            <w:shd w:val="clear" w:color="auto" w:fill="074F6A" w:themeFill="accent4" w:themeFillShade="80"/>
            <w:vAlign w:val="center"/>
            <w:hideMark/>
          </w:tcPr>
          <w:p w14:paraId="062FAEFE" w14:textId="77777777" w:rsidR="00757623" w:rsidRPr="00BB3230" w:rsidRDefault="00757623" w:rsidP="009B57EA">
            <w:pPr>
              <w:spacing w:after="160" w:line="360" w:lineRule="auto"/>
              <w:jc w:val="left"/>
              <w:rPr>
                <w:rFonts w:asciiTheme="minorBidi" w:hAnsiTheme="minorBidi" w:cstheme="minorBidi"/>
                <w:b/>
                <w:bCs/>
                <w:color w:val="FFFFFF" w:themeColor="background1"/>
                <w:sz w:val="24"/>
                <w:szCs w:val="24"/>
              </w:rPr>
            </w:pPr>
            <w:r w:rsidRPr="00BB3230">
              <w:rPr>
                <w:rFonts w:asciiTheme="minorBidi" w:hAnsiTheme="minorBidi" w:cstheme="minorBidi"/>
                <w:b/>
                <w:bCs/>
                <w:color w:val="FFFFFF" w:themeColor="background1"/>
                <w:sz w:val="24"/>
                <w:szCs w:val="24"/>
              </w:rPr>
              <w:t>Risk Category</w:t>
            </w:r>
          </w:p>
        </w:tc>
        <w:tc>
          <w:tcPr>
            <w:tcW w:w="0" w:type="auto"/>
            <w:shd w:val="clear" w:color="auto" w:fill="074F6A" w:themeFill="accent4" w:themeFillShade="80"/>
            <w:vAlign w:val="center"/>
            <w:hideMark/>
          </w:tcPr>
          <w:p w14:paraId="6E590223" w14:textId="77777777" w:rsidR="00757623" w:rsidRPr="00BB3230" w:rsidRDefault="00757623" w:rsidP="009B57EA">
            <w:pPr>
              <w:spacing w:after="160" w:line="360" w:lineRule="auto"/>
              <w:jc w:val="left"/>
              <w:rPr>
                <w:rFonts w:asciiTheme="minorBidi" w:hAnsiTheme="minorBidi" w:cstheme="minorBidi"/>
                <w:b/>
                <w:bCs/>
                <w:color w:val="FFFFFF" w:themeColor="background1"/>
                <w:sz w:val="24"/>
                <w:szCs w:val="24"/>
              </w:rPr>
            </w:pPr>
            <w:r w:rsidRPr="00BB3230">
              <w:rPr>
                <w:rFonts w:asciiTheme="minorBidi" w:hAnsiTheme="minorBidi" w:cstheme="minorBidi"/>
                <w:b/>
                <w:bCs/>
                <w:color w:val="FFFFFF" w:themeColor="background1"/>
                <w:sz w:val="24"/>
                <w:szCs w:val="24"/>
              </w:rPr>
              <w:t>Threat Example</w:t>
            </w:r>
          </w:p>
        </w:tc>
        <w:tc>
          <w:tcPr>
            <w:tcW w:w="0" w:type="auto"/>
            <w:shd w:val="clear" w:color="auto" w:fill="074F6A" w:themeFill="accent4" w:themeFillShade="80"/>
            <w:vAlign w:val="center"/>
            <w:hideMark/>
          </w:tcPr>
          <w:p w14:paraId="67B3FDEF" w14:textId="77777777" w:rsidR="00757623" w:rsidRPr="00BB3230" w:rsidRDefault="00757623" w:rsidP="009B57EA">
            <w:pPr>
              <w:spacing w:after="160" w:line="360" w:lineRule="auto"/>
              <w:jc w:val="left"/>
              <w:rPr>
                <w:rFonts w:asciiTheme="minorBidi" w:hAnsiTheme="minorBidi" w:cstheme="minorBidi"/>
                <w:b/>
                <w:bCs/>
                <w:color w:val="FFFFFF" w:themeColor="background1"/>
                <w:sz w:val="24"/>
                <w:szCs w:val="24"/>
              </w:rPr>
            </w:pPr>
            <w:r w:rsidRPr="00BB3230">
              <w:rPr>
                <w:rFonts w:asciiTheme="minorBidi" w:hAnsiTheme="minorBidi" w:cstheme="minorBidi"/>
                <w:b/>
                <w:bCs/>
                <w:color w:val="FFFFFF" w:themeColor="background1"/>
                <w:sz w:val="24"/>
                <w:szCs w:val="24"/>
              </w:rPr>
              <w:t>Impact</w:t>
            </w:r>
          </w:p>
        </w:tc>
        <w:tc>
          <w:tcPr>
            <w:tcW w:w="0" w:type="auto"/>
            <w:shd w:val="clear" w:color="auto" w:fill="074F6A" w:themeFill="accent4" w:themeFillShade="80"/>
            <w:vAlign w:val="center"/>
            <w:hideMark/>
          </w:tcPr>
          <w:p w14:paraId="7F21B886" w14:textId="77777777" w:rsidR="00757623" w:rsidRPr="00BB3230" w:rsidRDefault="00757623" w:rsidP="009B57EA">
            <w:pPr>
              <w:spacing w:after="160" w:line="360" w:lineRule="auto"/>
              <w:jc w:val="left"/>
              <w:rPr>
                <w:rFonts w:asciiTheme="minorBidi" w:hAnsiTheme="minorBidi" w:cstheme="minorBidi"/>
                <w:b/>
                <w:bCs/>
                <w:color w:val="FFFFFF" w:themeColor="background1"/>
                <w:sz w:val="24"/>
                <w:szCs w:val="24"/>
              </w:rPr>
            </w:pPr>
            <w:r w:rsidRPr="00BB3230">
              <w:rPr>
                <w:rFonts w:asciiTheme="minorBidi" w:hAnsiTheme="minorBidi" w:cstheme="minorBidi"/>
                <w:b/>
                <w:bCs/>
                <w:color w:val="FFFFFF" w:themeColor="background1"/>
                <w:sz w:val="24"/>
                <w:szCs w:val="24"/>
              </w:rPr>
              <w:t>Mitigation Strategy</w:t>
            </w:r>
          </w:p>
        </w:tc>
      </w:tr>
      <w:tr w:rsidR="00757623" w:rsidRPr="00BB3230" w14:paraId="26898E94" w14:textId="77777777" w:rsidTr="00E7796B">
        <w:trPr>
          <w:tblCellSpacing w:w="15" w:type="dxa"/>
        </w:trPr>
        <w:tc>
          <w:tcPr>
            <w:tcW w:w="0" w:type="auto"/>
            <w:shd w:val="clear" w:color="auto" w:fill="DAE9F7" w:themeFill="text2" w:themeFillTint="1A"/>
            <w:vAlign w:val="center"/>
            <w:hideMark/>
          </w:tcPr>
          <w:p w14:paraId="5E5F81B4"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AI Supply Chain</w:t>
            </w:r>
          </w:p>
        </w:tc>
        <w:tc>
          <w:tcPr>
            <w:tcW w:w="0" w:type="auto"/>
            <w:shd w:val="clear" w:color="auto" w:fill="FAE2D5" w:themeFill="accent2" w:themeFillTint="33"/>
            <w:vAlign w:val="center"/>
            <w:hideMark/>
          </w:tcPr>
          <w:p w14:paraId="10FFD16D"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Poisoned training data</w:t>
            </w:r>
          </w:p>
        </w:tc>
        <w:tc>
          <w:tcPr>
            <w:tcW w:w="0" w:type="auto"/>
            <w:shd w:val="clear" w:color="auto" w:fill="D9F2D0" w:themeFill="accent6" w:themeFillTint="33"/>
            <w:vAlign w:val="center"/>
            <w:hideMark/>
          </w:tcPr>
          <w:p w14:paraId="4111FFD0"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Corrupted diagnostics</w:t>
            </w:r>
          </w:p>
        </w:tc>
        <w:tc>
          <w:tcPr>
            <w:tcW w:w="0" w:type="auto"/>
            <w:shd w:val="clear" w:color="auto" w:fill="F2CEED" w:themeFill="accent5" w:themeFillTint="33"/>
            <w:vAlign w:val="center"/>
            <w:hideMark/>
          </w:tcPr>
          <w:p w14:paraId="6A8FB7C2" w14:textId="77FA59CD"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Dataset validation &amp; integrity hashing</w:t>
            </w:r>
          </w:p>
        </w:tc>
      </w:tr>
      <w:tr w:rsidR="00757623" w:rsidRPr="00BB3230" w14:paraId="6DCF09F7" w14:textId="77777777" w:rsidTr="00E7796B">
        <w:trPr>
          <w:tblCellSpacing w:w="15" w:type="dxa"/>
        </w:trPr>
        <w:tc>
          <w:tcPr>
            <w:tcW w:w="0" w:type="auto"/>
            <w:shd w:val="clear" w:color="auto" w:fill="DAE9F7" w:themeFill="text2" w:themeFillTint="1A"/>
            <w:vAlign w:val="center"/>
            <w:hideMark/>
          </w:tcPr>
          <w:p w14:paraId="062F9C56"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Open-Source Dependencies</w:t>
            </w:r>
          </w:p>
        </w:tc>
        <w:tc>
          <w:tcPr>
            <w:tcW w:w="0" w:type="auto"/>
            <w:shd w:val="clear" w:color="auto" w:fill="FAE2D5" w:themeFill="accent2" w:themeFillTint="33"/>
            <w:vAlign w:val="center"/>
            <w:hideMark/>
          </w:tcPr>
          <w:p w14:paraId="6B8D372D"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Vulnerable libraries</w:t>
            </w:r>
          </w:p>
        </w:tc>
        <w:tc>
          <w:tcPr>
            <w:tcW w:w="0" w:type="auto"/>
            <w:shd w:val="clear" w:color="auto" w:fill="D9F2D0" w:themeFill="accent6" w:themeFillTint="33"/>
            <w:vAlign w:val="center"/>
            <w:hideMark/>
          </w:tcPr>
          <w:p w14:paraId="238AB26F"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Code compromise</w:t>
            </w:r>
          </w:p>
        </w:tc>
        <w:tc>
          <w:tcPr>
            <w:tcW w:w="0" w:type="auto"/>
            <w:shd w:val="clear" w:color="auto" w:fill="F2CEED" w:themeFill="accent5" w:themeFillTint="33"/>
            <w:vAlign w:val="center"/>
            <w:hideMark/>
          </w:tcPr>
          <w:p w14:paraId="1AEC142F" w14:textId="67812891"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Software Bill of Materials (SBOM) &amp; dependency scanning</w:t>
            </w:r>
          </w:p>
        </w:tc>
      </w:tr>
      <w:tr w:rsidR="00757623" w:rsidRPr="00BB3230" w14:paraId="178F0D7C" w14:textId="77777777" w:rsidTr="00E7796B">
        <w:trPr>
          <w:tblCellSpacing w:w="15" w:type="dxa"/>
        </w:trPr>
        <w:tc>
          <w:tcPr>
            <w:tcW w:w="0" w:type="auto"/>
            <w:shd w:val="clear" w:color="auto" w:fill="DAE9F7" w:themeFill="text2" w:themeFillTint="1A"/>
            <w:vAlign w:val="center"/>
            <w:hideMark/>
          </w:tcPr>
          <w:p w14:paraId="3ABE4018"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Cloud Misconfiguration</w:t>
            </w:r>
          </w:p>
        </w:tc>
        <w:tc>
          <w:tcPr>
            <w:tcW w:w="0" w:type="auto"/>
            <w:shd w:val="clear" w:color="auto" w:fill="FAE2D5" w:themeFill="accent2" w:themeFillTint="33"/>
            <w:vAlign w:val="center"/>
            <w:hideMark/>
          </w:tcPr>
          <w:p w14:paraId="2FAD99D5"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Public storage buckets</w:t>
            </w:r>
          </w:p>
        </w:tc>
        <w:tc>
          <w:tcPr>
            <w:tcW w:w="0" w:type="auto"/>
            <w:shd w:val="clear" w:color="auto" w:fill="D9F2D0" w:themeFill="accent6" w:themeFillTint="33"/>
            <w:vAlign w:val="center"/>
            <w:hideMark/>
          </w:tcPr>
          <w:p w14:paraId="31F3544D"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Data breach</w:t>
            </w:r>
          </w:p>
        </w:tc>
        <w:tc>
          <w:tcPr>
            <w:tcW w:w="0" w:type="auto"/>
            <w:shd w:val="clear" w:color="auto" w:fill="F2CEED" w:themeFill="accent5" w:themeFillTint="33"/>
            <w:vAlign w:val="center"/>
            <w:hideMark/>
          </w:tcPr>
          <w:p w14:paraId="5EF5D23B" w14:textId="1636024E"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Continuous CSPM scanning</w:t>
            </w:r>
          </w:p>
        </w:tc>
      </w:tr>
      <w:tr w:rsidR="00757623" w:rsidRPr="00BB3230" w14:paraId="75E77F12" w14:textId="77777777" w:rsidTr="00E7796B">
        <w:trPr>
          <w:tblCellSpacing w:w="15" w:type="dxa"/>
        </w:trPr>
        <w:tc>
          <w:tcPr>
            <w:tcW w:w="0" w:type="auto"/>
            <w:shd w:val="clear" w:color="auto" w:fill="DAE9F7" w:themeFill="text2" w:themeFillTint="1A"/>
            <w:vAlign w:val="center"/>
            <w:hideMark/>
          </w:tcPr>
          <w:p w14:paraId="6604FEAC"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Third-Party APIs</w:t>
            </w:r>
          </w:p>
        </w:tc>
        <w:tc>
          <w:tcPr>
            <w:tcW w:w="0" w:type="auto"/>
            <w:shd w:val="clear" w:color="auto" w:fill="FAE2D5" w:themeFill="accent2" w:themeFillTint="33"/>
            <w:vAlign w:val="center"/>
            <w:hideMark/>
          </w:tcPr>
          <w:p w14:paraId="68AB0844"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Compromised vendors</w:t>
            </w:r>
          </w:p>
        </w:tc>
        <w:tc>
          <w:tcPr>
            <w:tcW w:w="0" w:type="auto"/>
            <w:shd w:val="clear" w:color="auto" w:fill="D9F2D0" w:themeFill="accent6" w:themeFillTint="33"/>
            <w:vAlign w:val="center"/>
            <w:hideMark/>
          </w:tcPr>
          <w:p w14:paraId="0468F53E"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Lateral infiltration</w:t>
            </w:r>
          </w:p>
        </w:tc>
        <w:tc>
          <w:tcPr>
            <w:tcW w:w="0" w:type="auto"/>
            <w:shd w:val="clear" w:color="auto" w:fill="F2CEED" w:themeFill="accent5" w:themeFillTint="33"/>
            <w:vAlign w:val="center"/>
            <w:hideMark/>
          </w:tcPr>
          <w:p w14:paraId="49950B83" w14:textId="7F28882C"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Third-party risk assessment under DORA</w:t>
            </w:r>
          </w:p>
        </w:tc>
      </w:tr>
      <w:tr w:rsidR="00757623" w:rsidRPr="00BB3230" w14:paraId="30195481" w14:textId="77777777" w:rsidTr="00E7796B">
        <w:trPr>
          <w:tblCellSpacing w:w="15" w:type="dxa"/>
        </w:trPr>
        <w:tc>
          <w:tcPr>
            <w:tcW w:w="0" w:type="auto"/>
            <w:shd w:val="clear" w:color="auto" w:fill="DAE9F7" w:themeFill="text2" w:themeFillTint="1A"/>
            <w:vAlign w:val="center"/>
            <w:hideMark/>
          </w:tcPr>
          <w:p w14:paraId="4D02D79D"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Credential Theft</w:t>
            </w:r>
          </w:p>
        </w:tc>
        <w:tc>
          <w:tcPr>
            <w:tcW w:w="0" w:type="auto"/>
            <w:shd w:val="clear" w:color="auto" w:fill="FAE2D5" w:themeFill="accent2" w:themeFillTint="33"/>
            <w:vAlign w:val="center"/>
            <w:hideMark/>
          </w:tcPr>
          <w:p w14:paraId="01168877"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Phishing</w:t>
            </w:r>
          </w:p>
        </w:tc>
        <w:tc>
          <w:tcPr>
            <w:tcW w:w="0" w:type="auto"/>
            <w:shd w:val="clear" w:color="auto" w:fill="D9F2D0" w:themeFill="accent6" w:themeFillTint="33"/>
            <w:vAlign w:val="center"/>
            <w:hideMark/>
          </w:tcPr>
          <w:p w14:paraId="587DFC52" w14:textId="77777777"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Unauthorized access</w:t>
            </w:r>
          </w:p>
        </w:tc>
        <w:tc>
          <w:tcPr>
            <w:tcW w:w="0" w:type="auto"/>
            <w:shd w:val="clear" w:color="auto" w:fill="F2CEED" w:themeFill="accent5" w:themeFillTint="33"/>
            <w:vAlign w:val="center"/>
            <w:hideMark/>
          </w:tcPr>
          <w:p w14:paraId="7445AD61" w14:textId="33A98C4C" w:rsidR="00757623" w:rsidRPr="00BB3230" w:rsidRDefault="00757623" w:rsidP="009B57EA">
            <w:pPr>
              <w:spacing w:after="160" w:line="360" w:lineRule="auto"/>
              <w:jc w:val="left"/>
              <w:rPr>
                <w:rFonts w:asciiTheme="minorBidi" w:hAnsiTheme="minorBidi" w:cstheme="minorBidi"/>
                <w:sz w:val="24"/>
                <w:szCs w:val="24"/>
              </w:rPr>
            </w:pPr>
            <w:r w:rsidRPr="00BB3230">
              <w:rPr>
                <w:rFonts w:asciiTheme="minorBidi" w:hAnsiTheme="minorBidi" w:cstheme="minorBidi"/>
                <w:sz w:val="24"/>
                <w:szCs w:val="24"/>
              </w:rPr>
              <w:t>Phishing-resistant MFA</w:t>
            </w:r>
          </w:p>
        </w:tc>
      </w:tr>
    </w:tbl>
    <w:p w14:paraId="7555F48F" w14:textId="77777777" w:rsidR="00757623" w:rsidRPr="00380DAC" w:rsidRDefault="00757623" w:rsidP="009E2DC2">
      <w:pPr>
        <w:pStyle w:val="Heading1"/>
        <w:jc w:val="left"/>
        <w:rPr>
          <w:rFonts w:asciiTheme="minorBidi" w:hAnsiTheme="minorBidi" w:cstheme="minorBidi"/>
          <w:b/>
          <w:bCs/>
          <w:sz w:val="32"/>
          <w:szCs w:val="32"/>
          <w:lang w:val="en-GB"/>
        </w:rPr>
      </w:pPr>
      <w:bookmarkStart w:id="17" w:name="_Toc221787874"/>
      <w:r w:rsidRPr="00380DAC">
        <w:rPr>
          <w:rFonts w:asciiTheme="minorBidi" w:hAnsiTheme="minorBidi" w:cstheme="minorBidi"/>
          <w:b/>
          <w:bCs/>
          <w:sz w:val="32"/>
          <w:szCs w:val="32"/>
          <w:lang w:val="en-GB"/>
        </w:rPr>
        <w:t>6. AI Lifecycle Security and Usage Governance</w:t>
      </w:r>
      <w:bookmarkEnd w:id="17"/>
    </w:p>
    <w:p w14:paraId="3577C942" w14:textId="3DE26425" w:rsidR="00757623" w:rsidRPr="00F32B98" w:rsidRDefault="00757623" w:rsidP="00F32B98">
      <w:pPr>
        <w:spacing w:line="360" w:lineRule="auto"/>
        <w:jc w:val="left"/>
        <w:rPr>
          <w:rFonts w:asciiTheme="minorBidi" w:hAnsiTheme="minorBidi" w:cstheme="minorBidi"/>
          <w:sz w:val="24"/>
          <w:szCs w:val="24"/>
          <w:lang w:val="en-GB"/>
        </w:rPr>
      </w:pPr>
      <w:proofErr w:type="spellStart"/>
      <w:r w:rsidRPr="00BB3230">
        <w:rPr>
          <w:rFonts w:asciiTheme="minorBidi" w:hAnsiTheme="minorBidi" w:cstheme="minorBidi"/>
          <w:sz w:val="24"/>
          <w:szCs w:val="24"/>
          <w:lang w:val="en-GB"/>
        </w:rPr>
        <w:t>MediTrust’s</w:t>
      </w:r>
      <w:proofErr w:type="spellEnd"/>
      <w:r w:rsidRPr="00BB3230">
        <w:rPr>
          <w:rFonts w:asciiTheme="minorBidi" w:hAnsiTheme="minorBidi" w:cstheme="minorBidi"/>
          <w:sz w:val="24"/>
          <w:szCs w:val="24"/>
          <w:lang w:val="en-GB"/>
        </w:rPr>
        <w:t xml:space="preserve"> AI-powered clinical systems introduce risks beyond conventional IT infrastructure, including data poisoning, adversarial manipulation, and model integrity compromise [</w:t>
      </w:r>
      <w:r w:rsidR="00E55532" w:rsidRPr="00BB3230">
        <w:rPr>
          <w:rFonts w:asciiTheme="minorBidi" w:hAnsiTheme="minorBidi" w:cstheme="minorBidi"/>
          <w:sz w:val="24"/>
          <w:szCs w:val="24"/>
          <w:lang w:val="en-GB"/>
        </w:rPr>
        <w:t>8</w:t>
      </w:r>
      <w:r w:rsidRPr="00BB3230">
        <w:rPr>
          <w:rFonts w:asciiTheme="minorBidi" w:hAnsiTheme="minorBidi" w:cstheme="minorBidi"/>
          <w:sz w:val="24"/>
          <w:szCs w:val="24"/>
          <w:lang w:val="en-GB"/>
        </w:rPr>
        <w:t xml:space="preserve">]. </w:t>
      </w:r>
      <w:r w:rsidRPr="00BB3230">
        <w:rPr>
          <w:rFonts w:asciiTheme="minorBidi" w:hAnsiTheme="minorBidi" w:cstheme="minorBidi"/>
          <w:sz w:val="24"/>
          <w:szCs w:val="24"/>
          <w:lang w:val="en-GB"/>
        </w:rPr>
        <w:lastRenderedPageBreak/>
        <w:t>Therefore, AI security must be embedded across the entire development and deployment lifecycle.</w:t>
      </w:r>
    </w:p>
    <w:p w14:paraId="4F70AD3C" w14:textId="77777777" w:rsidR="00757623" w:rsidRPr="00380DAC" w:rsidRDefault="00757623" w:rsidP="009E2DC2">
      <w:pPr>
        <w:pStyle w:val="Heading2"/>
        <w:jc w:val="left"/>
        <w:rPr>
          <w:rFonts w:asciiTheme="minorBidi" w:hAnsiTheme="minorBidi" w:cstheme="minorBidi"/>
          <w:b/>
          <w:bCs/>
          <w:lang w:val="en-GB"/>
        </w:rPr>
      </w:pPr>
      <w:bookmarkStart w:id="18" w:name="_Toc221787875"/>
      <w:r w:rsidRPr="00380DAC">
        <w:rPr>
          <w:rFonts w:asciiTheme="minorBidi" w:hAnsiTheme="minorBidi" w:cstheme="minorBidi"/>
          <w:b/>
          <w:bCs/>
          <w:lang w:val="en-GB"/>
        </w:rPr>
        <w:t>6.1 AI Security Lifecycle Controls</w:t>
      </w:r>
      <w:bookmarkEnd w:id="18"/>
    </w:p>
    <w:p w14:paraId="30B2C2D8"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 proposed Zero Trust-aligned AI governance framework includes:</w:t>
      </w:r>
    </w:p>
    <w:p w14:paraId="54E9AF76" w14:textId="77777777" w:rsidR="00757623" w:rsidRPr="00BB3230" w:rsidRDefault="00757623">
      <w:pPr>
        <w:numPr>
          <w:ilvl w:val="0"/>
          <w:numId w:val="11"/>
        </w:num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Secure Data Acquisition</w:t>
      </w:r>
    </w:p>
    <w:p w14:paraId="23FD174A"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Cryptographic hashing of training datasets</w:t>
      </w:r>
    </w:p>
    <w:p w14:paraId="3F73280E"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Access restriction via least privilege controls</w:t>
      </w:r>
    </w:p>
    <w:p w14:paraId="3FD48770"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Data provenance verification</w:t>
      </w:r>
    </w:p>
    <w:p w14:paraId="575CB22C" w14:textId="77777777" w:rsidR="00757623" w:rsidRPr="00BB3230" w:rsidRDefault="00757623">
      <w:pPr>
        <w:numPr>
          <w:ilvl w:val="0"/>
          <w:numId w:val="11"/>
        </w:num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Secure Model Development</w:t>
      </w:r>
    </w:p>
    <w:p w14:paraId="1A2C1DB3"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Version-controlled repositories</w:t>
      </w:r>
    </w:p>
    <w:p w14:paraId="297C1C18"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Secure CI/CD integration</w:t>
      </w:r>
    </w:p>
    <w:p w14:paraId="194E83D0"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Mandatory peer code review</w:t>
      </w:r>
    </w:p>
    <w:p w14:paraId="742373CA"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Dependency scanning and SBOM documentation</w:t>
      </w:r>
    </w:p>
    <w:p w14:paraId="0F1DF330" w14:textId="77777777" w:rsidR="00757623" w:rsidRPr="00BB3230" w:rsidRDefault="00757623">
      <w:pPr>
        <w:numPr>
          <w:ilvl w:val="0"/>
          <w:numId w:val="11"/>
        </w:num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Model Validation &amp; Testing</w:t>
      </w:r>
    </w:p>
    <w:p w14:paraId="0B073402"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Adversarial robustness testing</w:t>
      </w:r>
    </w:p>
    <w:p w14:paraId="2E62F3B7"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Dataset integrity verification</w:t>
      </w:r>
    </w:p>
    <w:p w14:paraId="252C75CB"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Bias and explainability validation</w:t>
      </w:r>
    </w:p>
    <w:p w14:paraId="35AFBD12" w14:textId="77777777" w:rsidR="00757623" w:rsidRPr="00BB3230" w:rsidRDefault="00757623">
      <w:pPr>
        <w:numPr>
          <w:ilvl w:val="0"/>
          <w:numId w:val="11"/>
        </w:num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Deployment &amp; Monitoring</w:t>
      </w:r>
    </w:p>
    <w:p w14:paraId="31F52A97"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Runtime monitoring for model drift</w:t>
      </w:r>
    </w:p>
    <w:p w14:paraId="256FAE89"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Behaviour anomaly detection</w:t>
      </w:r>
    </w:p>
    <w:p w14:paraId="488782C7" w14:textId="77777777" w:rsidR="00757623" w:rsidRPr="00BB3230" w:rsidRDefault="00757623">
      <w:pPr>
        <w:numPr>
          <w:ilvl w:val="1"/>
          <w:numId w:val="1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Controlled access via Zero Trust Network Access</w:t>
      </w:r>
    </w:p>
    <w:p w14:paraId="4C25C4C1" w14:textId="02DD0AE2" w:rsidR="00757623" w:rsidRPr="00F32B98"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These controls reduce exposure to model manipulation and unauthorised access.</w:t>
      </w:r>
    </w:p>
    <w:p w14:paraId="5FF9F947" w14:textId="33B14830" w:rsidR="00757623" w:rsidRPr="00380DAC" w:rsidRDefault="00757623" w:rsidP="009E2DC2">
      <w:pPr>
        <w:pStyle w:val="Heading2"/>
        <w:jc w:val="left"/>
        <w:rPr>
          <w:rFonts w:asciiTheme="minorBidi" w:hAnsiTheme="minorBidi" w:cstheme="minorBidi"/>
          <w:b/>
          <w:bCs/>
          <w:lang w:val="en-GB"/>
        </w:rPr>
      </w:pPr>
      <w:bookmarkStart w:id="19" w:name="_Toc221787876"/>
      <w:r w:rsidRPr="00380DAC">
        <w:rPr>
          <w:rFonts w:asciiTheme="minorBidi" w:hAnsiTheme="minorBidi" w:cstheme="minorBidi"/>
          <w:b/>
          <w:bCs/>
          <w:lang w:val="en-GB"/>
        </w:rPr>
        <w:t>6.2 AI Usage Policy</w:t>
      </w:r>
      <w:bookmarkEnd w:id="19"/>
    </w:p>
    <w:p w14:paraId="13DCF87B"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To formalise governance,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must implement an AI Usage Policy containing the following enforceable statements:</w:t>
      </w:r>
    </w:p>
    <w:p w14:paraId="1F353870" w14:textId="77777777" w:rsidR="00757623" w:rsidRPr="00BB3230" w:rsidRDefault="00757623">
      <w:pPr>
        <w:numPr>
          <w:ilvl w:val="0"/>
          <w:numId w:val="1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AI training data must be stored in encrypted repositories with role-based access control.</w:t>
      </w:r>
    </w:p>
    <w:p w14:paraId="57C2EB8A" w14:textId="77777777" w:rsidR="00757623" w:rsidRPr="00BB3230" w:rsidRDefault="00757623">
      <w:pPr>
        <w:numPr>
          <w:ilvl w:val="0"/>
          <w:numId w:val="1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Third-party datasets must undergo integrity verification before integration.</w:t>
      </w:r>
    </w:p>
    <w:p w14:paraId="6BD2F894" w14:textId="77777777" w:rsidR="00757623" w:rsidRPr="00BB3230" w:rsidRDefault="00757623">
      <w:pPr>
        <w:numPr>
          <w:ilvl w:val="0"/>
          <w:numId w:val="1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All AI models must be version-controlled and subject to documented validation procedures.</w:t>
      </w:r>
    </w:p>
    <w:p w14:paraId="179731BD" w14:textId="77777777" w:rsidR="00757623" w:rsidRPr="00BB3230" w:rsidRDefault="00757623">
      <w:pPr>
        <w:numPr>
          <w:ilvl w:val="0"/>
          <w:numId w:val="1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No AI system may be deployed without security review approval by the </w:t>
      </w:r>
      <w:proofErr w:type="spellStart"/>
      <w:r w:rsidRPr="00BB3230">
        <w:rPr>
          <w:rFonts w:asciiTheme="minorBidi" w:hAnsiTheme="minorBidi" w:cstheme="minorBidi"/>
          <w:sz w:val="24"/>
          <w:szCs w:val="24"/>
          <w:lang w:val="en-GB"/>
        </w:rPr>
        <w:t>DevSecOps</w:t>
      </w:r>
      <w:proofErr w:type="spellEnd"/>
      <w:r w:rsidRPr="00BB3230">
        <w:rPr>
          <w:rFonts w:asciiTheme="minorBidi" w:hAnsiTheme="minorBidi" w:cstheme="minorBidi"/>
          <w:sz w:val="24"/>
          <w:szCs w:val="24"/>
          <w:lang w:val="en-GB"/>
        </w:rPr>
        <w:t xml:space="preserve"> Lead.</w:t>
      </w:r>
    </w:p>
    <w:p w14:paraId="1E5BEFC3" w14:textId="77777777" w:rsidR="00757623" w:rsidRPr="00BB3230" w:rsidRDefault="00757623">
      <w:pPr>
        <w:numPr>
          <w:ilvl w:val="0"/>
          <w:numId w:val="1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AI-generated clinical outputs must remain auditable and traceable.</w:t>
      </w:r>
    </w:p>
    <w:p w14:paraId="39FD2C97" w14:textId="4AC78356" w:rsidR="00757623" w:rsidRPr="00BB3230"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lastRenderedPageBreak/>
        <w:t xml:space="preserve">The </w:t>
      </w:r>
      <w:proofErr w:type="spellStart"/>
      <w:r w:rsidRPr="00BB3230">
        <w:rPr>
          <w:rFonts w:asciiTheme="minorBidi" w:hAnsiTheme="minorBidi" w:cstheme="minorBidi"/>
          <w:sz w:val="24"/>
          <w:szCs w:val="24"/>
          <w:lang w:val="en-GB"/>
        </w:rPr>
        <w:t>DevSecOps</w:t>
      </w:r>
      <w:proofErr w:type="spellEnd"/>
      <w:r w:rsidRPr="00BB3230">
        <w:rPr>
          <w:rFonts w:asciiTheme="minorBidi" w:hAnsiTheme="minorBidi" w:cstheme="minorBidi"/>
          <w:sz w:val="24"/>
          <w:szCs w:val="24"/>
          <w:lang w:val="en-GB"/>
        </w:rPr>
        <w:t xml:space="preserve"> Lead is accountable for lifecycle security integration, while the Compliance Officer ensures alignment with GDPR data protection obligations and ethical AI standards [</w:t>
      </w:r>
      <w:r w:rsidR="00E55532" w:rsidRPr="00BB3230">
        <w:rPr>
          <w:rFonts w:asciiTheme="minorBidi" w:hAnsiTheme="minorBidi" w:cstheme="minorBidi"/>
          <w:sz w:val="24"/>
          <w:szCs w:val="24"/>
          <w:lang w:val="en-GB"/>
        </w:rPr>
        <w:t>9</w:t>
      </w:r>
      <w:r w:rsidRPr="00BB3230">
        <w:rPr>
          <w:rFonts w:asciiTheme="minorBidi" w:hAnsiTheme="minorBidi" w:cstheme="minorBidi"/>
          <w:sz w:val="24"/>
          <w:szCs w:val="24"/>
          <w:lang w:val="en-GB"/>
        </w:rPr>
        <w:t>].</w:t>
      </w:r>
    </w:p>
    <w:p w14:paraId="40A460BE" w14:textId="77777777" w:rsidR="00757623" w:rsidRPr="00380DAC" w:rsidRDefault="00757623" w:rsidP="009E2DC2">
      <w:pPr>
        <w:pStyle w:val="Heading2"/>
        <w:jc w:val="left"/>
        <w:rPr>
          <w:rFonts w:asciiTheme="minorBidi" w:hAnsiTheme="minorBidi" w:cstheme="minorBidi"/>
          <w:b/>
          <w:bCs/>
          <w:lang w:val="en-GB"/>
        </w:rPr>
      </w:pPr>
      <w:bookmarkStart w:id="20" w:name="_Toc221787877"/>
      <w:r w:rsidRPr="00380DAC">
        <w:rPr>
          <w:rFonts w:asciiTheme="minorBidi" w:hAnsiTheme="minorBidi" w:cstheme="minorBidi"/>
          <w:b/>
          <w:bCs/>
          <w:lang w:val="en-GB"/>
        </w:rPr>
        <w:t>6.3 Governance Justification</w:t>
      </w:r>
      <w:bookmarkEnd w:id="20"/>
    </w:p>
    <w:p w14:paraId="7D20223A" w14:textId="40E7AA3C"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Embedding AI security within </w:t>
      </w:r>
      <w:proofErr w:type="spellStart"/>
      <w:r w:rsidRPr="00BB3230">
        <w:rPr>
          <w:rFonts w:asciiTheme="minorBidi" w:hAnsiTheme="minorBidi" w:cstheme="minorBidi"/>
          <w:sz w:val="24"/>
          <w:szCs w:val="24"/>
          <w:lang w:val="en-GB"/>
        </w:rPr>
        <w:t>DevSecOps</w:t>
      </w:r>
      <w:proofErr w:type="spellEnd"/>
      <w:r w:rsidRPr="00BB3230">
        <w:rPr>
          <w:rFonts w:asciiTheme="minorBidi" w:hAnsiTheme="minorBidi" w:cstheme="minorBidi"/>
          <w:sz w:val="24"/>
          <w:szCs w:val="24"/>
          <w:lang w:val="en-GB"/>
        </w:rPr>
        <w:t xml:space="preserve"> pipelines ensures continuous validation rather than post-deployment correction [1</w:t>
      </w:r>
      <w:r w:rsidR="00E55532" w:rsidRPr="00BB3230">
        <w:rPr>
          <w:rFonts w:asciiTheme="minorBidi" w:hAnsiTheme="minorBidi" w:cstheme="minorBidi"/>
          <w:sz w:val="24"/>
          <w:szCs w:val="24"/>
          <w:lang w:val="en-GB"/>
        </w:rPr>
        <w:t>0</w:t>
      </w:r>
      <w:r w:rsidRPr="00BB3230">
        <w:rPr>
          <w:rFonts w:asciiTheme="minorBidi" w:hAnsiTheme="minorBidi" w:cstheme="minorBidi"/>
          <w:sz w:val="24"/>
          <w:szCs w:val="24"/>
          <w:lang w:val="en-GB"/>
        </w:rPr>
        <w:t xml:space="preserve">]. By integrating cryptographic integrity controls, secure repositories, and controlled deployment mechanisms,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strengthens both regulatory defensibility and clinical reliability.</w:t>
      </w:r>
    </w:p>
    <w:p w14:paraId="54CDF6AB" w14:textId="63046CB4"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AI governance must therefore function as a continuous assurance process aligned with Zero Trust verification principles rather than a static technical safeguard.</w:t>
      </w:r>
    </w:p>
    <w:p w14:paraId="7E968F4D" w14:textId="77777777" w:rsidR="00757623" w:rsidRPr="00380DAC" w:rsidRDefault="00757623" w:rsidP="009E2DC2">
      <w:pPr>
        <w:pStyle w:val="Heading1"/>
        <w:jc w:val="left"/>
        <w:rPr>
          <w:rFonts w:asciiTheme="minorBidi" w:hAnsiTheme="minorBidi" w:cstheme="minorBidi"/>
          <w:b/>
          <w:bCs/>
          <w:sz w:val="32"/>
          <w:szCs w:val="32"/>
          <w:lang w:val="en-GB"/>
        </w:rPr>
      </w:pPr>
      <w:bookmarkStart w:id="21" w:name="_Toc221787878"/>
      <w:r w:rsidRPr="00380DAC">
        <w:rPr>
          <w:rFonts w:asciiTheme="minorBidi" w:hAnsiTheme="minorBidi" w:cstheme="minorBidi"/>
          <w:b/>
          <w:bCs/>
          <w:sz w:val="32"/>
          <w:szCs w:val="32"/>
          <w:lang w:val="en-GB"/>
        </w:rPr>
        <w:t>7. Cloud Security Governance and Identity Architecture</w:t>
      </w:r>
      <w:bookmarkEnd w:id="21"/>
    </w:p>
    <w:p w14:paraId="5431B9DF" w14:textId="04E5BA87" w:rsidR="00757623" w:rsidRDefault="00757623" w:rsidP="00F32B98">
      <w:pPr>
        <w:spacing w:line="360" w:lineRule="auto"/>
        <w:jc w:val="left"/>
        <w:rPr>
          <w:rFonts w:asciiTheme="minorBidi" w:hAnsiTheme="minorBidi" w:cstheme="minorBidi"/>
          <w:sz w:val="24"/>
          <w:szCs w:val="24"/>
          <w:lang w:val="en-GB"/>
        </w:rPr>
      </w:pPr>
      <w:proofErr w:type="spellStart"/>
      <w:r w:rsidRPr="00BB3230">
        <w:rPr>
          <w:rFonts w:asciiTheme="minorBidi" w:hAnsiTheme="minorBidi" w:cstheme="minorBidi"/>
          <w:sz w:val="24"/>
          <w:szCs w:val="24"/>
          <w:lang w:val="en-GB"/>
        </w:rPr>
        <w:t>MediTrust’s</w:t>
      </w:r>
      <w:proofErr w:type="spellEnd"/>
      <w:r w:rsidRPr="00BB3230">
        <w:rPr>
          <w:rFonts w:asciiTheme="minorBidi" w:hAnsiTheme="minorBidi" w:cstheme="minorBidi"/>
          <w:sz w:val="24"/>
          <w:szCs w:val="24"/>
          <w:lang w:val="en-GB"/>
        </w:rPr>
        <w:t xml:space="preserve"> reliance on multi-cloud infrastructure increases exposure to configuration errors, identity misuse, and lateral attack propagation. A Zero Trust-aligned cloud governance model must therefore prioritise identity-centric enforcement, configuration monitoring, and segmentation controls.</w:t>
      </w:r>
    </w:p>
    <w:p w14:paraId="4CE2A5D2" w14:textId="77777777" w:rsidR="00AF22B6" w:rsidRDefault="00387372" w:rsidP="00AF22B6">
      <w:pPr>
        <w:keepNext/>
        <w:spacing w:line="360" w:lineRule="auto"/>
      </w:pPr>
      <w:r>
        <w:rPr>
          <w:noProof/>
        </w:rPr>
        <w:drawing>
          <wp:inline distT="0" distB="0" distL="0" distR="0" wp14:anchorId="06DFBE9E" wp14:editId="18F775BA">
            <wp:extent cx="4003589" cy="2422263"/>
            <wp:effectExtent l="0" t="0" r="0" b="0"/>
            <wp:docPr id="287160617" name="Picture 1" descr="A person holding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160617" name="Picture 1" descr="A person holding a computer&#10;&#10;AI-generated content may be incorrect."/>
                    <pic:cNvPicPr/>
                  </pic:nvPicPr>
                  <pic:blipFill>
                    <a:blip r:embed="rId16"/>
                    <a:stretch>
                      <a:fillRect/>
                    </a:stretch>
                  </pic:blipFill>
                  <pic:spPr>
                    <a:xfrm>
                      <a:off x="0" y="0"/>
                      <a:ext cx="4013422" cy="2428212"/>
                    </a:xfrm>
                    <a:prstGeom prst="rect">
                      <a:avLst/>
                    </a:prstGeom>
                  </pic:spPr>
                </pic:pic>
              </a:graphicData>
            </a:graphic>
          </wp:inline>
        </w:drawing>
      </w:r>
    </w:p>
    <w:p w14:paraId="54568796" w14:textId="243D7E6A" w:rsidR="00387372" w:rsidRPr="00F32B98" w:rsidRDefault="00AF22B6" w:rsidP="00AF22B6">
      <w:pPr>
        <w:pStyle w:val="Caption"/>
        <w:rPr>
          <w:rFonts w:asciiTheme="minorBidi" w:hAnsiTheme="minorBidi" w:cstheme="minorBidi"/>
          <w:sz w:val="24"/>
          <w:szCs w:val="24"/>
          <w:lang w:val="en-GB"/>
        </w:rPr>
      </w:pPr>
      <w:r>
        <w:t xml:space="preserve">Figure </w:t>
      </w:r>
      <w:r>
        <w:fldChar w:fldCharType="begin"/>
      </w:r>
      <w:r>
        <w:instrText xml:space="preserve"> SEQ Figure \* ARABIC </w:instrText>
      </w:r>
      <w:r>
        <w:fldChar w:fldCharType="separate"/>
      </w:r>
      <w:r w:rsidR="00540908">
        <w:rPr>
          <w:noProof/>
        </w:rPr>
        <w:t>5</w:t>
      </w:r>
      <w:r>
        <w:fldChar w:fldCharType="end"/>
      </w:r>
      <w:r>
        <w:rPr>
          <w:lang w:val="en-GB"/>
        </w:rPr>
        <w:t>: Top skills for cybersecurity Engineers</w:t>
      </w:r>
    </w:p>
    <w:p w14:paraId="12B472D0" w14:textId="77777777" w:rsidR="00757623" w:rsidRDefault="00757623" w:rsidP="009E2DC2">
      <w:pPr>
        <w:pStyle w:val="Heading2"/>
        <w:jc w:val="left"/>
        <w:rPr>
          <w:rFonts w:asciiTheme="minorBidi" w:hAnsiTheme="minorBidi" w:cstheme="minorBidi"/>
          <w:b/>
          <w:bCs/>
        </w:rPr>
      </w:pPr>
      <w:bookmarkStart w:id="22" w:name="_Toc221787879"/>
      <w:r w:rsidRPr="00380DAC">
        <w:rPr>
          <w:rFonts w:asciiTheme="minorBidi" w:hAnsiTheme="minorBidi" w:cstheme="minorBidi"/>
          <w:b/>
          <w:bCs/>
        </w:rPr>
        <w:t>7.1 Cloud Security Control Framework</w:t>
      </w:r>
      <w:bookmarkEnd w:id="22"/>
    </w:p>
    <w:p w14:paraId="6FDA232F" w14:textId="77777777" w:rsidR="006C3729" w:rsidRPr="006C3729" w:rsidRDefault="006C3729" w:rsidP="006C3729">
      <w:pPr>
        <w:spacing w:line="360" w:lineRule="auto"/>
        <w:contextualSpacing/>
        <w:jc w:val="left"/>
        <w:rPr>
          <w:rFonts w:asciiTheme="minorBidi" w:hAnsiTheme="minorBidi" w:cstheme="minorBidi"/>
          <w:sz w:val="24"/>
          <w:szCs w:val="24"/>
          <w:lang w:val="en-GB"/>
        </w:rPr>
      </w:pPr>
      <w:r w:rsidRPr="006C3729">
        <w:rPr>
          <w:rFonts w:asciiTheme="minorBidi" w:hAnsiTheme="minorBidi" w:cstheme="minorBidi"/>
          <w:sz w:val="24"/>
          <w:szCs w:val="24"/>
          <w:lang w:val="en-GB"/>
        </w:rPr>
        <w:t>These security controls help protect systems and respond to threats effectively. CSPM checks cloud settings to find mistakes or compliance issues. ZTNA limits users to only the specific applications they need. Phishing-resistant MFA (FIDO2) stops attackers from stealing or reusing passwords. SIEM collects and analyses security data to detect threats. EDR monitors devices for suspicious behaviour and isolates infected systems. SOAR automates response actions to quickly contain security incidents.</w:t>
      </w:r>
    </w:p>
    <w:p w14:paraId="2FA53E06"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 proposed protection architecture includes the following modern controls:</w:t>
      </w:r>
    </w:p>
    <w:p w14:paraId="71494950" w14:textId="77777777" w:rsidR="00757623" w:rsidRPr="00BB3230" w:rsidRDefault="00757623" w:rsidP="009B57EA">
      <w:pPr>
        <w:spacing w:line="360" w:lineRule="auto"/>
        <w:jc w:val="left"/>
        <w:rPr>
          <w:rFonts w:asciiTheme="minorBidi" w:hAnsiTheme="minorBidi" w:cstheme="minorBidi"/>
          <w:b/>
          <w:bCs/>
          <w:sz w:val="24"/>
          <w:szCs w:val="24"/>
          <w:lang w:val="en-GB"/>
        </w:rPr>
      </w:pPr>
    </w:p>
    <w:tbl>
      <w:tblPr>
        <w:tblW w:w="0" w:type="auto"/>
        <w:tblCellSpacing w:w="15" w:type="dxa"/>
        <w:tblBorders>
          <w:top w:val="dashDotStroked" w:sz="24" w:space="0" w:color="074F6A" w:themeColor="accent4" w:themeShade="80"/>
          <w:left w:val="dashDotStroked" w:sz="24" w:space="0" w:color="074F6A" w:themeColor="accent4" w:themeShade="80"/>
          <w:bottom w:val="dashDotStroked" w:sz="24" w:space="0" w:color="074F6A" w:themeColor="accent4" w:themeShade="80"/>
          <w:right w:val="dashDotStroked" w:sz="24" w:space="0" w:color="074F6A" w:themeColor="accent4" w:themeShade="80"/>
        </w:tblBorders>
        <w:tblCellMar>
          <w:top w:w="15" w:type="dxa"/>
          <w:left w:w="15" w:type="dxa"/>
          <w:bottom w:w="15" w:type="dxa"/>
          <w:right w:w="15" w:type="dxa"/>
        </w:tblCellMar>
        <w:tblLook w:val="04A0" w:firstRow="1" w:lastRow="0" w:firstColumn="1" w:lastColumn="0" w:noHBand="0" w:noVBand="1"/>
      </w:tblPr>
      <w:tblGrid>
        <w:gridCol w:w="3714"/>
        <w:gridCol w:w="4288"/>
        <w:gridCol w:w="2058"/>
      </w:tblGrid>
      <w:tr w:rsidR="00757623" w:rsidRPr="00BB3230" w14:paraId="53A453CC" w14:textId="77777777" w:rsidTr="00E7796B">
        <w:trPr>
          <w:tblHeader/>
          <w:tblCellSpacing w:w="15" w:type="dxa"/>
        </w:trPr>
        <w:tc>
          <w:tcPr>
            <w:tcW w:w="0" w:type="auto"/>
            <w:shd w:val="clear" w:color="auto" w:fill="0B769F" w:themeFill="accent4" w:themeFillShade="BF"/>
            <w:vAlign w:val="center"/>
            <w:hideMark/>
          </w:tcPr>
          <w:p w14:paraId="238E79CD"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Control</w:t>
            </w:r>
          </w:p>
        </w:tc>
        <w:tc>
          <w:tcPr>
            <w:tcW w:w="0" w:type="auto"/>
            <w:shd w:val="clear" w:color="auto" w:fill="0B769F" w:themeFill="accent4" w:themeFillShade="BF"/>
            <w:vAlign w:val="center"/>
            <w:hideMark/>
          </w:tcPr>
          <w:p w14:paraId="2BE36B24"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Purpose</w:t>
            </w:r>
          </w:p>
        </w:tc>
        <w:tc>
          <w:tcPr>
            <w:tcW w:w="0" w:type="auto"/>
            <w:shd w:val="clear" w:color="auto" w:fill="0B769F" w:themeFill="accent4" w:themeFillShade="BF"/>
            <w:vAlign w:val="center"/>
            <w:hideMark/>
          </w:tcPr>
          <w:p w14:paraId="4E920A5C" w14:textId="77777777" w:rsidR="00757623" w:rsidRPr="00BB3230" w:rsidRDefault="00757623" w:rsidP="009B57EA">
            <w:pPr>
              <w:spacing w:line="360" w:lineRule="auto"/>
              <w:jc w:val="left"/>
              <w:rPr>
                <w:rFonts w:asciiTheme="minorBidi" w:hAnsiTheme="minorBidi" w:cstheme="minorBidi"/>
                <w:b/>
                <w:bCs/>
                <w:color w:val="FFFFFF" w:themeColor="background1"/>
                <w:sz w:val="24"/>
                <w:szCs w:val="24"/>
                <w:lang w:val="en-GB"/>
              </w:rPr>
            </w:pPr>
            <w:r w:rsidRPr="00BB3230">
              <w:rPr>
                <w:rFonts w:asciiTheme="minorBidi" w:hAnsiTheme="minorBidi" w:cstheme="minorBidi"/>
                <w:b/>
                <w:bCs/>
                <w:color w:val="FFFFFF" w:themeColor="background1"/>
                <w:sz w:val="24"/>
                <w:szCs w:val="24"/>
                <w:lang w:val="en-GB"/>
              </w:rPr>
              <w:t>Responsible Role</w:t>
            </w:r>
          </w:p>
        </w:tc>
      </w:tr>
      <w:tr w:rsidR="00757623" w:rsidRPr="00BB3230" w14:paraId="191204FC" w14:textId="77777777" w:rsidTr="00E7796B">
        <w:trPr>
          <w:tblCellSpacing w:w="15" w:type="dxa"/>
        </w:trPr>
        <w:tc>
          <w:tcPr>
            <w:tcW w:w="0" w:type="auto"/>
            <w:shd w:val="clear" w:color="auto" w:fill="CAEDFB" w:themeFill="accent4" w:themeFillTint="33"/>
            <w:vAlign w:val="center"/>
            <w:hideMark/>
          </w:tcPr>
          <w:p w14:paraId="622F93EC"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Cloud Security Posture Management (CSPM)</w:t>
            </w:r>
          </w:p>
        </w:tc>
        <w:tc>
          <w:tcPr>
            <w:tcW w:w="0" w:type="auto"/>
            <w:shd w:val="clear" w:color="auto" w:fill="FAE2D5" w:themeFill="accent2" w:themeFillTint="33"/>
            <w:vAlign w:val="center"/>
            <w:hideMark/>
          </w:tcPr>
          <w:p w14:paraId="564AA444"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Detects misconfiguration and compliance drift</w:t>
            </w:r>
          </w:p>
        </w:tc>
        <w:tc>
          <w:tcPr>
            <w:tcW w:w="0" w:type="auto"/>
            <w:shd w:val="clear" w:color="auto" w:fill="D9F2D0" w:themeFill="accent6" w:themeFillTint="33"/>
            <w:vAlign w:val="center"/>
            <w:hideMark/>
          </w:tcPr>
          <w:p w14:paraId="088CB540"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Cloud Security Architect</w:t>
            </w:r>
          </w:p>
        </w:tc>
      </w:tr>
      <w:tr w:rsidR="00757623" w:rsidRPr="00BB3230" w14:paraId="4A7C007D" w14:textId="77777777" w:rsidTr="00E7796B">
        <w:trPr>
          <w:tblCellSpacing w:w="15" w:type="dxa"/>
        </w:trPr>
        <w:tc>
          <w:tcPr>
            <w:tcW w:w="0" w:type="auto"/>
            <w:shd w:val="clear" w:color="auto" w:fill="CAEDFB" w:themeFill="accent4" w:themeFillTint="33"/>
            <w:vAlign w:val="center"/>
            <w:hideMark/>
          </w:tcPr>
          <w:p w14:paraId="6355FBE1"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Zero Trust Network Access (ZTNA)</w:t>
            </w:r>
          </w:p>
        </w:tc>
        <w:tc>
          <w:tcPr>
            <w:tcW w:w="0" w:type="auto"/>
            <w:shd w:val="clear" w:color="auto" w:fill="FAE2D5" w:themeFill="accent2" w:themeFillTint="33"/>
            <w:vAlign w:val="center"/>
            <w:hideMark/>
          </w:tcPr>
          <w:p w14:paraId="74ACD9C0"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Restricts access to specific applications instead of full network access</w:t>
            </w:r>
          </w:p>
        </w:tc>
        <w:tc>
          <w:tcPr>
            <w:tcW w:w="0" w:type="auto"/>
            <w:shd w:val="clear" w:color="auto" w:fill="D9F2D0" w:themeFill="accent6" w:themeFillTint="33"/>
            <w:vAlign w:val="center"/>
            <w:hideMark/>
          </w:tcPr>
          <w:p w14:paraId="262A93FC"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Cloud Security Architect</w:t>
            </w:r>
          </w:p>
        </w:tc>
      </w:tr>
      <w:tr w:rsidR="00757623" w:rsidRPr="00BB3230" w14:paraId="028BF957" w14:textId="77777777" w:rsidTr="00E7796B">
        <w:trPr>
          <w:tblCellSpacing w:w="15" w:type="dxa"/>
        </w:trPr>
        <w:tc>
          <w:tcPr>
            <w:tcW w:w="0" w:type="auto"/>
            <w:shd w:val="clear" w:color="auto" w:fill="CAEDFB" w:themeFill="accent4" w:themeFillTint="33"/>
            <w:vAlign w:val="center"/>
            <w:hideMark/>
          </w:tcPr>
          <w:p w14:paraId="122BA25D"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Phishing-Resistant MFA (FIDO2)</w:t>
            </w:r>
          </w:p>
        </w:tc>
        <w:tc>
          <w:tcPr>
            <w:tcW w:w="0" w:type="auto"/>
            <w:shd w:val="clear" w:color="auto" w:fill="FAE2D5" w:themeFill="accent2" w:themeFillTint="33"/>
            <w:vAlign w:val="center"/>
            <w:hideMark/>
          </w:tcPr>
          <w:p w14:paraId="2F00934B"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Prevents credential theft and password replay attacks</w:t>
            </w:r>
          </w:p>
        </w:tc>
        <w:tc>
          <w:tcPr>
            <w:tcW w:w="0" w:type="auto"/>
            <w:shd w:val="clear" w:color="auto" w:fill="D9F2D0" w:themeFill="accent6" w:themeFillTint="33"/>
            <w:vAlign w:val="center"/>
            <w:hideMark/>
          </w:tcPr>
          <w:p w14:paraId="441F5EFD"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CISO / SOC</w:t>
            </w:r>
          </w:p>
        </w:tc>
      </w:tr>
      <w:tr w:rsidR="00757623" w:rsidRPr="00BB3230" w14:paraId="7DBBD97E" w14:textId="77777777" w:rsidTr="00E7796B">
        <w:trPr>
          <w:tblCellSpacing w:w="15" w:type="dxa"/>
        </w:trPr>
        <w:tc>
          <w:tcPr>
            <w:tcW w:w="0" w:type="auto"/>
            <w:shd w:val="clear" w:color="auto" w:fill="CAEDFB" w:themeFill="accent4" w:themeFillTint="33"/>
            <w:vAlign w:val="center"/>
            <w:hideMark/>
          </w:tcPr>
          <w:p w14:paraId="4EE92185"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Security Information and Event Management (SIEM)</w:t>
            </w:r>
          </w:p>
        </w:tc>
        <w:tc>
          <w:tcPr>
            <w:tcW w:w="0" w:type="auto"/>
            <w:shd w:val="clear" w:color="auto" w:fill="FAE2D5" w:themeFill="accent2" w:themeFillTint="33"/>
            <w:vAlign w:val="center"/>
            <w:hideMark/>
          </w:tcPr>
          <w:p w14:paraId="60B7DDE2"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Aggregates and correlates security telemetry</w:t>
            </w:r>
          </w:p>
        </w:tc>
        <w:tc>
          <w:tcPr>
            <w:tcW w:w="0" w:type="auto"/>
            <w:shd w:val="clear" w:color="auto" w:fill="D9F2D0" w:themeFill="accent6" w:themeFillTint="33"/>
            <w:vAlign w:val="center"/>
            <w:hideMark/>
          </w:tcPr>
          <w:p w14:paraId="08C80D88"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SOC Manager</w:t>
            </w:r>
          </w:p>
        </w:tc>
      </w:tr>
      <w:tr w:rsidR="00757623" w:rsidRPr="00BB3230" w14:paraId="2566224B" w14:textId="77777777" w:rsidTr="00E7796B">
        <w:trPr>
          <w:tblCellSpacing w:w="15" w:type="dxa"/>
        </w:trPr>
        <w:tc>
          <w:tcPr>
            <w:tcW w:w="0" w:type="auto"/>
            <w:shd w:val="clear" w:color="auto" w:fill="CAEDFB" w:themeFill="accent4" w:themeFillTint="33"/>
            <w:vAlign w:val="center"/>
            <w:hideMark/>
          </w:tcPr>
          <w:p w14:paraId="2A93B4BB"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Endpoint Detection &amp; Response (EDR)</w:t>
            </w:r>
          </w:p>
        </w:tc>
        <w:tc>
          <w:tcPr>
            <w:tcW w:w="0" w:type="auto"/>
            <w:shd w:val="clear" w:color="auto" w:fill="FAE2D5" w:themeFill="accent2" w:themeFillTint="33"/>
            <w:vAlign w:val="center"/>
            <w:hideMark/>
          </w:tcPr>
          <w:p w14:paraId="7F892A71"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Detects behavioural anomalies and isolates compromised endpoints</w:t>
            </w:r>
          </w:p>
        </w:tc>
        <w:tc>
          <w:tcPr>
            <w:tcW w:w="0" w:type="auto"/>
            <w:shd w:val="clear" w:color="auto" w:fill="D9F2D0" w:themeFill="accent6" w:themeFillTint="33"/>
            <w:vAlign w:val="center"/>
            <w:hideMark/>
          </w:tcPr>
          <w:p w14:paraId="4C2E4050"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SOC Manager</w:t>
            </w:r>
          </w:p>
        </w:tc>
      </w:tr>
      <w:tr w:rsidR="00757623" w:rsidRPr="00BB3230" w14:paraId="23C3D261" w14:textId="77777777" w:rsidTr="00E7796B">
        <w:trPr>
          <w:tblCellSpacing w:w="15" w:type="dxa"/>
        </w:trPr>
        <w:tc>
          <w:tcPr>
            <w:tcW w:w="0" w:type="auto"/>
            <w:shd w:val="clear" w:color="auto" w:fill="CAEDFB" w:themeFill="accent4" w:themeFillTint="33"/>
            <w:vAlign w:val="center"/>
            <w:hideMark/>
          </w:tcPr>
          <w:p w14:paraId="5A3E59EE"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Security Orchestration, Automation and Response (SOAR)</w:t>
            </w:r>
          </w:p>
        </w:tc>
        <w:tc>
          <w:tcPr>
            <w:tcW w:w="0" w:type="auto"/>
            <w:shd w:val="clear" w:color="auto" w:fill="FAE2D5" w:themeFill="accent2" w:themeFillTint="33"/>
            <w:vAlign w:val="center"/>
            <w:hideMark/>
          </w:tcPr>
          <w:p w14:paraId="250CF2A1"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Automates incident containment workflows</w:t>
            </w:r>
          </w:p>
        </w:tc>
        <w:tc>
          <w:tcPr>
            <w:tcW w:w="0" w:type="auto"/>
            <w:shd w:val="clear" w:color="auto" w:fill="D9F2D0" w:themeFill="accent6" w:themeFillTint="33"/>
            <w:vAlign w:val="center"/>
            <w:hideMark/>
          </w:tcPr>
          <w:p w14:paraId="7CC4C4EE"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SOC Manager</w:t>
            </w:r>
          </w:p>
        </w:tc>
      </w:tr>
    </w:tbl>
    <w:p w14:paraId="2A6A86B7" w14:textId="77777777" w:rsidR="00757623" w:rsidRPr="00BB3230" w:rsidRDefault="00757623" w:rsidP="009B57EA">
      <w:pPr>
        <w:spacing w:line="360" w:lineRule="auto"/>
        <w:jc w:val="left"/>
        <w:rPr>
          <w:rFonts w:asciiTheme="minorBidi" w:hAnsiTheme="minorBidi" w:cstheme="minorBidi"/>
          <w:b/>
          <w:bCs/>
          <w:sz w:val="24"/>
          <w:szCs w:val="24"/>
          <w:lang w:val="en-GB"/>
        </w:rPr>
      </w:pPr>
    </w:p>
    <w:p w14:paraId="5E766D8E" w14:textId="66BF6C6E" w:rsidR="00757623" w:rsidRPr="00F32B98"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This layered yet identity-driven approach integrates detection and automated response capabilities consistent with Zero Trust principles.</w:t>
      </w:r>
    </w:p>
    <w:p w14:paraId="0055D52E" w14:textId="77777777" w:rsidR="00757623" w:rsidRPr="00380DAC" w:rsidRDefault="00757623" w:rsidP="009E2DC2">
      <w:pPr>
        <w:pStyle w:val="Heading2"/>
        <w:jc w:val="left"/>
        <w:rPr>
          <w:rFonts w:asciiTheme="minorBidi" w:hAnsiTheme="minorBidi" w:cstheme="minorBidi"/>
          <w:b/>
          <w:bCs/>
          <w:lang w:val="en-GB"/>
        </w:rPr>
      </w:pPr>
      <w:bookmarkStart w:id="23" w:name="_Toc221787880"/>
      <w:r w:rsidRPr="00380DAC">
        <w:rPr>
          <w:rFonts w:asciiTheme="minorBidi" w:hAnsiTheme="minorBidi" w:cstheme="minorBidi"/>
          <w:b/>
          <w:bCs/>
          <w:lang w:val="en-GB"/>
        </w:rPr>
        <w:t>7.2 Identity Resilience Architecture</w:t>
      </w:r>
      <w:bookmarkEnd w:id="23"/>
    </w:p>
    <w:p w14:paraId="77DFEB19" w14:textId="7777777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Because identity systems become central enforcement points in Zero Trust environments, resilience mechanisms are required:</w:t>
      </w:r>
    </w:p>
    <w:p w14:paraId="644B106C" w14:textId="77777777" w:rsidR="00757623" w:rsidRPr="00BB3230" w:rsidRDefault="00757623">
      <w:pPr>
        <w:numPr>
          <w:ilvl w:val="0"/>
          <w:numId w:val="13"/>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Distributed identity provider nodes</w:t>
      </w:r>
    </w:p>
    <w:p w14:paraId="2EC1EE81" w14:textId="77777777" w:rsidR="00757623" w:rsidRPr="00BB3230" w:rsidRDefault="00757623">
      <w:pPr>
        <w:numPr>
          <w:ilvl w:val="0"/>
          <w:numId w:val="13"/>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Failover authentication services</w:t>
      </w:r>
    </w:p>
    <w:p w14:paraId="60E79A96" w14:textId="77777777" w:rsidR="00757623" w:rsidRPr="00BB3230" w:rsidRDefault="00757623">
      <w:pPr>
        <w:numPr>
          <w:ilvl w:val="0"/>
          <w:numId w:val="13"/>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Segmented identity domains</w:t>
      </w:r>
    </w:p>
    <w:p w14:paraId="30225086" w14:textId="77777777" w:rsidR="00757623" w:rsidRPr="00BB3230" w:rsidRDefault="00757623">
      <w:pPr>
        <w:numPr>
          <w:ilvl w:val="0"/>
          <w:numId w:val="13"/>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Continuous authentication validation</w:t>
      </w:r>
    </w:p>
    <w:p w14:paraId="267DC7BF" w14:textId="658713F7" w:rsidR="00757623" w:rsidRPr="00F32B98"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These controls reduce concentration risk and prevent systemic disruption if </w:t>
      </w:r>
      <w:r w:rsidR="00921B6F" w:rsidRPr="00BB3230">
        <w:rPr>
          <w:rFonts w:asciiTheme="minorBidi" w:hAnsiTheme="minorBidi" w:cstheme="minorBidi"/>
          <w:sz w:val="24"/>
          <w:szCs w:val="24"/>
          <w:lang w:val="en-GB"/>
        </w:rPr>
        <w:t xml:space="preserve">the </w:t>
      </w:r>
      <w:r w:rsidRPr="00BB3230">
        <w:rPr>
          <w:rFonts w:asciiTheme="minorBidi" w:hAnsiTheme="minorBidi" w:cstheme="minorBidi"/>
          <w:sz w:val="24"/>
          <w:szCs w:val="24"/>
          <w:lang w:val="en-GB"/>
        </w:rPr>
        <w:t>authentication infrastructure is compromised [</w:t>
      </w:r>
      <w:r w:rsidR="00FC0F40" w:rsidRPr="00BB3230">
        <w:rPr>
          <w:rFonts w:asciiTheme="minorBidi" w:hAnsiTheme="minorBidi" w:cstheme="minorBidi"/>
          <w:sz w:val="24"/>
          <w:szCs w:val="24"/>
          <w:lang w:val="en-GB"/>
        </w:rPr>
        <w:t>11</w:t>
      </w:r>
      <w:r w:rsidRPr="00BB3230">
        <w:rPr>
          <w:rFonts w:asciiTheme="minorBidi" w:hAnsiTheme="minorBidi" w:cstheme="minorBidi"/>
          <w:sz w:val="24"/>
          <w:szCs w:val="24"/>
          <w:lang w:val="en-GB"/>
        </w:rPr>
        <w:t>].</w:t>
      </w:r>
    </w:p>
    <w:p w14:paraId="42649ED6" w14:textId="77777777" w:rsidR="00757623" w:rsidRPr="00EE53FB" w:rsidRDefault="00757623" w:rsidP="009E2DC2">
      <w:pPr>
        <w:pStyle w:val="Heading2"/>
        <w:jc w:val="left"/>
        <w:rPr>
          <w:rFonts w:asciiTheme="minorBidi" w:hAnsiTheme="minorBidi" w:cstheme="minorBidi"/>
          <w:b/>
          <w:bCs/>
          <w:lang w:val="en-GB"/>
        </w:rPr>
      </w:pPr>
      <w:bookmarkStart w:id="24" w:name="_Toc221787881"/>
      <w:r w:rsidRPr="00EE53FB">
        <w:rPr>
          <w:rFonts w:asciiTheme="minorBidi" w:hAnsiTheme="minorBidi" w:cstheme="minorBidi"/>
          <w:b/>
          <w:bCs/>
          <w:lang w:val="en-GB"/>
        </w:rPr>
        <w:t>7.3 Micro-Segmentation and Workload Isolation</w:t>
      </w:r>
      <w:bookmarkEnd w:id="24"/>
    </w:p>
    <w:p w14:paraId="292E5747" w14:textId="47198BC7" w:rsidR="00757623" w:rsidRPr="00BB3230" w:rsidRDefault="00757623"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Cloud workloads processing patient data must be logically segmented based on </w:t>
      </w:r>
      <w:r w:rsidR="00AB1872">
        <w:rPr>
          <w:rFonts w:asciiTheme="minorBidi" w:hAnsiTheme="minorBidi" w:cstheme="minorBidi"/>
          <w:sz w:val="24"/>
          <w:szCs w:val="24"/>
          <w:lang w:val="en-GB"/>
        </w:rPr>
        <w:t xml:space="preserve">the </w:t>
      </w:r>
      <w:r w:rsidRPr="00BB3230">
        <w:rPr>
          <w:rFonts w:asciiTheme="minorBidi" w:hAnsiTheme="minorBidi" w:cstheme="minorBidi"/>
          <w:sz w:val="24"/>
          <w:szCs w:val="24"/>
          <w:lang w:val="en-GB"/>
        </w:rPr>
        <w:t>sensitivity level. East-west traffic restrictions ensure that compromise of one application environment does not expose AI training repositories or clinical data systems.</w:t>
      </w:r>
    </w:p>
    <w:p w14:paraId="61800B8D" w14:textId="048F73C3" w:rsidR="00757623" w:rsidRPr="00F32B98"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lastRenderedPageBreak/>
        <w:t>Segmentation combined with CSPM monitoring significantly reduces lateral movement opportunities within hybrid cloud ecosystems.</w:t>
      </w:r>
    </w:p>
    <w:p w14:paraId="08480B00" w14:textId="77777777" w:rsidR="00757623" w:rsidRPr="00EE53FB" w:rsidRDefault="00757623" w:rsidP="009E2DC2">
      <w:pPr>
        <w:pStyle w:val="Heading2"/>
        <w:jc w:val="left"/>
        <w:rPr>
          <w:rFonts w:asciiTheme="minorBidi" w:hAnsiTheme="minorBidi" w:cstheme="minorBidi"/>
          <w:b/>
          <w:bCs/>
          <w:lang w:val="en-GB"/>
        </w:rPr>
      </w:pPr>
      <w:bookmarkStart w:id="25" w:name="_Toc221787882"/>
      <w:r w:rsidRPr="00EE53FB">
        <w:rPr>
          <w:rFonts w:asciiTheme="minorBidi" w:hAnsiTheme="minorBidi" w:cstheme="minorBidi"/>
          <w:b/>
          <w:bCs/>
          <w:lang w:val="en-GB"/>
        </w:rPr>
        <w:t>7.4 Strategic Justification</w:t>
      </w:r>
      <w:bookmarkEnd w:id="25"/>
    </w:p>
    <w:p w14:paraId="213E4564" w14:textId="1416293B" w:rsidR="00085894" w:rsidRPr="00F32B98" w:rsidRDefault="00757623"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Cloud governance under Zero Trust shifts control emphasis from perimeter defence to workload-level and </w:t>
      </w:r>
      <w:r w:rsidR="00921B6F" w:rsidRPr="00BB3230">
        <w:rPr>
          <w:rFonts w:asciiTheme="minorBidi" w:hAnsiTheme="minorBidi" w:cstheme="minorBidi"/>
          <w:sz w:val="24"/>
          <w:szCs w:val="24"/>
          <w:lang w:val="en-GB"/>
        </w:rPr>
        <w:t>identity-level</w:t>
      </w:r>
      <w:r w:rsidRPr="00BB3230">
        <w:rPr>
          <w:rFonts w:asciiTheme="minorBidi" w:hAnsiTheme="minorBidi" w:cstheme="minorBidi"/>
          <w:sz w:val="24"/>
          <w:szCs w:val="24"/>
          <w:lang w:val="en-GB"/>
        </w:rPr>
        <w:t xml:space="preserve"> verification. By integrating configuration monitoring, phishing-resistant authentication, telemetry aggregation, and automated containment,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strengthens both regulatory compliance and operational resilience.</w:t>
      </w:r>
    </w:p>
    <w:p w14:paraId="629ED9BB" w14:textId="77777777" w:rsidR="007B18E0" w:rsidRPr="00EE53FB" w:rsidRDefault="007B18E0" w:rsidP="009E2DC2">
      <w:pPr>
        <w:pStyle w:val="Heading1"/>
        <w:jc w:val="left"/>
        <w:rPr>
          <w:rFonts w:asciiTheme="minorBidi" w:hAnsiTheme="minorBidi" w:cstheme="minorBidi"/>
          <w:b/>
          <w:bCs/>
          <w:sz w:val="32"/>
          <w:szCs w:val="32"/>
          <w:lang w:val="en-GB"/>
        </w:rPr>
      </w:pPr>
      <w:bookmarkStart w:id="26" w:name="_Toc221787883"/>
      <w:r w:rsidRPr="00EE53FB">
        <w:rPr>
          <w:rFonts w:asciiTheme="minorBidi" w:hAnsiTheme="minorBidi" w:cstheme="minorBidi"/>
          <w:b/>
          <w:bCs/>
          <w:sz w:val="32"/>
          <w:szCs w:val="32"/>
          <w:lang w:val="en-GB"/>
        </w:rPr>
        <w:t>8. Detection, Automation and Incident Response Framework</w:t>
      </w:r>
      <w:bookmarkEnd w:id="26"/>
      <w:r w:rsidRPr="00EE53FB">
        <w:rPr>
          <w:rFonts w:asciiTheme="minorBidi" w:hAnsiTheme="minorBidi" w:cstheme="minorBidi"/>
          <w:b/>
          <w:bCs/>
          <w:sz w:val="32"/>
          <w:szCs w:val="32"/>
          <w:lang w:val="en-GB"/>
        </w:rPr>
        <w:t xml:space="preserve"> </w:t>
      </w:r>
    </w:p>
    <w:p w14:paraId="26303FEC" w14:textId="49938655"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Continuous detection and automated containment are essential to ensure operational resilience and regulatory compliance under NIS2 and DORA.</w:t>
      </w:r>
    </w:p>
    <w:p w14:paraId="24110AEB" w14:textId="77777777" w:rsidR="007B18E0" w:rsidRPr="00EE53FB" w:rsidRDefault="007B18E0" w:rsidP="009E2DC2">
      <w:pPr>
        <w:pStyle w:val="Heading2"/>
        <w:jc w:val="left"/>
        <w:rPr>
          <w:rFonts w:asciiTheme="minorBidi" w:hAnsiTheme="minorBidi" w:cstheme="minorBidi"/>
          <w:b/>
          <w:bCs/>
          <w:lang w:val="en-GB"/>
        </w:rPr>
      </w:pPr>
      <w:bookmarkStart w:id="27" w:name="_Toc221787884"/>
      <w:r w:rsidRPr="00EE53FB">
        <w:rPr>
          <w:rFonts w:asciiTheme="minorBidi" w:hAnsiTheme="minorBidi" w:cstheme="minorBidi"/>
          <w:b/>
          <w:bCs/>
          <w:lang w:val="en-GB"/>
        </w:rPr>
        <w:t>8.1 Detection Architecture</w:t>
      </w:r>
      <w:bookmarkEnd w:id="27"/>
    </w:p>
    <w:p w14:paraId="3CDC9D1B" w14:textId="77777777" w:rsidR="007B18E0" w:rsidRPr="00BB3230" w:rsidRDefault="007B18E0" w:rsidP="009B57EA">
      <w:pPr>
        <w:spacing w:line="360" w:lineRule="auto"/>
        <w:jc w:val="left"/>
        <w:rPr>
          <w:rFonts w:asciiTheme="minorBidi" w:hAnsiTheme="minorBidi" w:cstheme="minorBidi"/>
          <w:sz w:val="24"/>
          <w:szCs w:val="24"/>
          <w:lang w:val="en-GB"/>
        </w:rPr>
      </w:pPr>
      <w:proofErr w:type="spellStart"/>
      <w:r w:rsidRPr="00BB3230">
        <w:rPr>
          <w:rFonts w:asciiTheme="minorBidi" w:hAnsiTheme="minorBidi" w:cstheme="minorBidi"/>
          <w:sz w:val="24"/>
          <w:szCs w:val="24"/>
          <w:lang w:val="en-GB"/>
        </w:rPr>
        <w:t>MediTrust’s</w:t>
      </w:r>
      <w:proofErr w:type="spellEnd"/>
      <w:r w:rsidRPr="00BB3230">
        <w:rPr>
          <w:rFonts w:asciiTheme="minorBidi" w:hAnsiTheme="minorBidi" w:cstheme="minorBidi"/>
          <w:sz w:val="24"/>
          <w:szCs w:val="24"/>
          <w:lang w:val="en-GB"/>
        </w:rPr>
        <w:t xml:space="preserve"> detection model integrates:</w:t>
      </w:r>
    </w:p>
    <w:p w14:paraId="7683F670" w14:textId="77777777" w:rsidR="007B18E0" w:rsidRPr="00BB3230" w:rsidRDefault="007B18E0">
      <w:pPr>
        <w:numPr>
          <w:ilvl w:val="0"/>
          <w:numId w:val="14"/>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SIEM for real-time telemetry aggregation</w:t>
      </w:r>
    </w:p>
    <w:p w14:paraId="3F921A87" w14:textId="77777777" w:rsidR="007B18E0" w:rsidRPr="00BB3230" w:rsidRDefault="007B18E0">
      <w:pPr>
        <w:numPr>
          <w:ilvl w:val="0"/>
          <w:numId w:val="14"/>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EDR for endpoint behavioural monitoring</w:t>
      </w:r>
    </w:p>
    <w:p w14:paraId="63107FFD" w14:textId="77777777" w:rsidR="007B18E0" w:rsidRPr="00BB3230" w:rsidRDefault="007B18E0">
      <w:pPr>
        <w:numPr>
          <w:ilvl w:val="0"/>
          <w:numId w:val="14"/>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Cloud-native logging across multi-cloud platforms</w:t>
      </w:r>
    </w:p>
    <w:p w14:paraId="0B0AE9AD" w14:textId="77777777" w:rsidR="007B18E0" w:rsidRPr="00BB3230" w:rsidRDefault="007B18E0">
      <w:pPr>
        <w:numPr>
          <w:ilvl w:val="0"/>
          <w:numId w:val="14"/>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Identity monitoring for anomalous authentication attempts</w:t>
      </w:r>
    </w:p>
    <w:p w14:paraId="43B99B5C" w14:textId="73722C17"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These systems correlate logs across endpoints, AI repositories, identity platforms, and cloud workloads to identify suspicious patterns.</w:t>
      </w:r>
    </w:p>
    <w:p w14:paraId="4289F542" w14:textId="77777777" w:rsidR="007B18E0" w:rsidRPr="00EE53FB" w:rsidRDefault="007B18E0" w:rsidP="009E2DC2">
      <w:pPr>
        <w:pStyle w:val="Heading2"/>
        <w:jc w:val="left"/>
        <w:rPr>
          <w:rFonts w:asciiTheme="minorBidi" w:hAnsiTheme="minorBidi" w:cstheme="minorBidi"/>
          <w:b/>
          <w:bCs/>
          <w:lang w:val="en-GB"/>
        </w:rPr>
      </w:pPr>
      <w:bookmarkStart w:id="28" w:name="_Toc221787885"/>
      <w:r w:rsidRPr="00EE53FB">
        <w:rPr>
          <w:rFonts w:asciiTheme="minorBidi" w:hAnsiTheme="minorBidi" w:cstheme="minorBidi"/>
          <w:b/>
          <w:bCs/>
          <w:lang w:val="en-GB"/>
        </w:rPr>
        <w:t>8.2 Automated Response Workflow</w:t>
      </w:r>
      <w:bookmarkEnd w:id="28"/>
    </w:p>
    <w:p w14:paraId="4192C0D7"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To reduce attacker dwell time, the following automated containment sequence should be implemented:</w:t>
      </w:r>
    </w:p>
    <w:p w14:paraId="35FCC61B" w14:textId="77777777" w:rsidR="007B18E0" w:rsidRPr="00BB3230" w:rsidRDefault="007B18E0">
      <w:pPr>
        <w:numPr>
          <w:ilvl w:val="0"/>
          <w:numId w:val="15"/>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Detection of anomaly (via SIEM/EDR correlation)</w:t>
      </w:r>
    </w:p>
    <w:p w14:paraId="3D48D705" w14:textId="77777777" w:rsidR="007B18E0" w:rsidRPr="00BB3230" w:rsidRDefault="007B18E0">
      <w:pPr>
        <w:numPr>
          <w:ilvl w:val="0"/>
          <w:numId w:val="15"/>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Automatic risk scoring of the event</w:t>
      </w:r>
    </w:p>
    <w:p w14:paraId="2E6DB329" w14:textId="77777777" w:rsidR="007B18E0" w:rsidRPr="00BB3230" w:rsidRDefault="007B18E0">
      <w:pPr>
        <w:numPr>
          <w:ilvl w:val="0"/>
          <w:numId w:val="15"/>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Immediate isolation of affected endpoint or workload</w:t>
      </w:r>
    </w:p>
    <w:p w14:paraId="417EE54A" w14:textId="77777777" w:rsidR="007B18E0" w:rsidRPr="00BB3230" w:rsidRDefault="007B18E0">
      <w:pPr>
        <w:numPr>
          <w:ilvl w:val="0"/>
          <w:numId w:val="15"/>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Temporary credential suspension</w:t>
      </w:r>
    </w:p>
    <w:p w14:paraId="3C2F26F8" w14:textId="77777777" w:rsidR="007B18E0" w:rsidRPr="00BB3230" w:rsidRDefault="007B18E0">
      <w:pPr>
        <w:numPr>
          <w:ilvl w:val="0"/>
          <w:numId w:val="15"/>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Notification to SOC and CISO</w:t>
      </w:r>
    </w:p>
    <w:p w14:paraId="77F6BED3" w14:textId="77777777" w:rsidR="007B18E0" w:rsidRPr="00BB3230" w:rsidRDefault="007B18E0">
      <w:pPr>
        <w:numPr>
          <w:ilvl w:val="0"/>
          <w:numId w:val="15"/>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Incident classification (within 6 hours)</w:t>
      </w:r>
    </w:p>
    <w:p w14:paraId="50039079" w14:textId="77777777" w:rsidR="007B18E0" w:rsidRPr="00BB3230" w:rsidRDefault="007B18E0">
      <w:pPr>
        <w:numPr>
          <w:ilvl w:val="0"/>
          <w:numId w:val="15"/>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Regulatory notification trigger (if required under NIS2)</w:t>
      </w:r>
    </w:p>
    <w:p w14:paraId="74FE096E" w14:textId="248151C4"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This workflow integrates SOAR orchestration to ensure rapid and consistent response.</w:t>
      </w:r>
    </w:p>
    <w:p w14:paraId="50BCBE9D" w14:textId="77777777" w:rsidR="007B18E0" w:rsidRPr="00EE53FB" w:rsidRDefault="007B18E0" w:rsidP="009E2DC2">
      <w:pPr>
        <w:pStyle w:val="Heading2"/>
        <w:jc w:val="left"/>
        <w:rPr>
          <w:rFonts w:asciiTheme="minorBidi" w:hAnsiTheme="minorBidi" w:cstheme="minorBidi"/>
          <w:b/>
          <w:bCs/>
          <w:lang w:val="en-GB"/>
        </w:rPr>
      </w:pPr>
      <w:bookmarkStart w:id="29" w:name="_Toc221787886"/>
      <w:r w:rsidRPr="00EE53FB">
        <w:rPr>
          <w:rFonts w:asciiTheme="minorBidi" w:hAnsiTheme="minorBidi" w:cstheme="minorBidi"/>
          <w:b/>
          <w:bCs/>
          <w:lang w:val="en-GB"/>
        </w:rPr>
        <w:lastRenderedPageBreak/>
        <w:t>8.3 Regulatory Integration</w:t>
      </w:r>
      <w:bookmarkEnd w:id="29"/>
    </w:p>
    <w:p w14:paraId="73E97E66" w14:textId="4182DC7D"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Under NIS2, significant incidents must be reported within 24 hours. Automated logging and classification mechanisms ensure evidence preservation and audit traceability.</w:t>
      </w:r>
    </w:p>
    <w:p w14:paraId="0C87946C" w14:textId="5DA889A0"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Under DORA, resilience testing must validate response effectiveness [</w:t>
      </w:r>
      <w:r w:rsidR="00FC0F40" w:rsidRPr="00BB3230">
        <w:rPr>
          <w:rFonts w:asciiTheme="minorBidi" w:hAnsiTheme="minorBidi" w:cstheme="minorBidi"/>
          <w:sz w:val="24"/>
          <w:szCs w:val="24"/>
          <w:lang w:val="en-GB"/>
        </w:rPr>
        <w:t>12]</w:t>
      </w:r>
      <w:r w:rsidRPr="00BB3230">
        <w:rPr>
          <w:rFonts w:asciiTheme="minorBidi" w:hAnsiTheme="minorBidi" w:cstheme="minorBidi"/>
          <w:sz w:val="24"/>
          <w:szCs w:val="24"/>
          <w:lang w:val="en-GB"/>
        </w:rPr>
        <w:t>. Therefore, quarterly incident simulation exercises should be conducted to test automation efficiency and escalation processes.</w:t>
      </w:r>
    </w:p>
    <w:p w14:paraId="48559DA5" w14:textId="77777777" w:rsidR="007B18E0" w:rsidRPr="00EE53FB" w:rsidRDefault="007B18E0" w:rsidP="009E2DC2">
      <w:pPr>
        <w:pStyle w:val="Heading2"/>
        <w:jc w:val="left"/>
        <w:rPr>
          <w:rFonts w:asciiTheme="minorBidi" w:hAnsiTheme="minorBidi" w:cstheme="minorBidi"/>
          <w:b/>
          <w:bCs/>
          <w:lang w:val="en-GB"/>
        </w:rPr>
      </w:pPr>
      <w:bookmarkStart w:id="30" w:name="_Toc221787887"/>
      <w:r w:rsidRPr="00EE53FB">
        <w:rPr>
          <w:rFonts w:asciiTheme="minorBidi" w:hAnsiTheme="minorBidi" w:cstheme="minorBidi"/>
          <w:b/>
          <w:bCs/>
          <w:lang w:val="en-GB"/>
        </w:rPr>
        <w:t>8.4 Strategic Justification</w:t>
      </w:r>
      <w:bookmarkEnd w:id="30"/>
    </w:p>
    <w:p w14:paraId="178D9571"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Traditional perimeter models often rely on manual investigation after compromise. In contrast, Zero Trust detection integrates real-time telemetry with automated containment, reducing recovery cost and limiting breach propagation.</w:t>
      </w:r>
    </w:p>
    <w:p w14:paraId="440ED7A3" w14:textId="050D3C57" w:rsidR="007B18E0" w:rsidRPr="00EE53FB" w:rsidRDefault="007B18E0" w:rsidP="00EE53FB">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However, automation must be carefully calibrated to prevent operational disruptions caused by false positives. Human oversight remains necessary for high-impact decisions.</w:t>
      </w:r>
    </w:p>
    <w:p w14:paraId="6377DC32" w14:textId="611CA4B0" w:rsidR="009B57EA" w:rsidRPr="00F32B98" w:rsidRDefault="009E2DC2" w:rsidP="00F32B98">
      <w:pPr>
        <w:pStyle w:val="Heading2"/>
        <w:jc w:val="left"/>
        <w:rPr>
          <w:rFonts w:asciiTheme="minorBidi" w:hAnsiTheme="minorBidi" w:cstheme="minorBidi"/>
          <w:b/>
          <w:bCs/>
          <w:lang w:val="en-GB"/>
        </w:rPr>
      </w:pPr>
      <w:bookmarkStart w:id="31" w:name="_Toc221787888"/>
      <w:r w:rsidRPr="00EE53FB">
        <w:rPr>
          <w:rFonts w:asciiTheme="minorBidi" w:hAnsiTheme="minorBidi" w:cstheme="minorBidi"/>
          <w:b/>
          <w:bCs/>
          <w:lang w:val="en-GB"/>
        </w:rPr>
        <w:t xml:space="preserve">8.5 </w:t>
      </w:r>
      <w:r w:rsidR="007B18E0" w:rsidRPr="00EE53FB">
        <w:rPr>
          <w:rFonts w:asciiTheme="minorBidi" w:hAnsiTheme="minorBidi" w:cstheme="minorBidi"/>
          <w:b/>
          <w:bCs/>
          <w:lang w:val="en-GB"/>
        </w:rPr>
        <w:t>Disaster Recovery and Operational Continuity Plan</w:t>
      </w:r>
      <w:r w:rsidR="009B57EA" w:rsidRPr="00EE53FB">
        <w:rPr>
          <w:rFonts w:asciiTheme="minorBidi" w:hAnsiTheme="minorBidi" w:cstheme="minorBidi"/>
          <w:b/>
          <w:bCs/>
          <w:lang w:val="en-GB"/>
        </w:rPr>
        <w:t>:</w:t>
      </w:r>
      <w:bookmarkEnd w:id="31"/>
    </w:p>
    <w:p w14:paraId="6AFBBDE5" w14:textId="6919D3A8" w:rsidR="00EE53FB" w:rsidRPr="00BB3230" w:rsidRDefault="007B18E0" w:rsidP="00AF22B6">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A ransomware attack targeting AI training datasets and source code repositories represents a high-impact scenario for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The Disaster Recovery (DR) plan must therefore ensure rapid containment, system restoration, and regulatory defensibility.</w:t>
      </w:r>
    </w:p>
    <w:p w14:paraId="6CCE1E9E" w14:textId="77777777" w:rsidR="00463B1C" w:rsidRDefault="007B18E0" w:rsidP="00463B1C">
      <w:pPr>
        <w:keepNext/>
        <w:spacing w:line="360" w:lineRule="auto"/>
      </w:pPr>
      <w:r w:rsidRPr="00BB3230">
        <w:rPr>
          <w:rFonts w:asciiTheme="minorBidi" w:hAnsiTheme="minorBidi" w:cstheme="minorBidi"/>
          <w:noProof/>
          <w:sz w:val="24"/>
          <w:szCs w:val="24"/>
        </w:rPr>
        <w:lastRenderedPageBreak/>
        <w:drawing>
          <wp:inline distT="0" distB="0" distL="0" distR="0" wp14:anchorId="61E06A4A" wp14:editId="3F3A6653">
            <wp:extent cx="4049927" cy="4519710"/>
            <wp:effectExtent l="95250" t="114300" r="103505" b="109855"/>
            <wp:docPr id="1448634703" name="Picture 1" descr="A of a security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132656" name="Picture 1" descr="A of a security system"/>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069792" cy="4541879"/>
                    </a:xfrm>
                    <a:prstGeom prst="rect">
                      <a:avLst/>
                    </a:prstGeom>
                    <a:effectLst>
                      <a:outerShdw blurRad="63500" sx="102000" sy="102000" algn="ctr" rotWithShape="0">
                        <a:schemeClr val="accent4">
                          <a:lumMod val="50000"/>
                          <a:alpha val="40000"/>
                        </a:schemeClr>
                      </a:outerShdw>
                    </a:effectLst>
                  </pic:spPr>
                </pic:pic>
              </a:graphicData>
            </a:graphic>
          </wp:inline>
        </w:drawing>
      </w:r>
    </w:p>
    <w:p w14:paraId="45A7B033" w14:textId="261A8DAA" w:rsidR="007B18E0" w:rsidRPr="00BB3230" w:rsidRDefault="00463B1C" w:rsidP="00463B1C">
      <w:pPr>
        <w:pStyle w:val="Caption"/>
        <w:rPr>
          <w:rFonts w:asciiTheme="minorBidi" w:hAnsiTheme="minorBidi" w:cstheme="minorBidi"/>
          <w:b/>
          <w:bCs/>
          <w:sz w:val="24"/>
          <w:szCs w:val="24"/>
          <w:lang w:val="en-GB"/>
        </w:rPr>
      </w:pPr>
      <w:r>
        <w:t xml:space="preserve">Figure </w:t>
      </w:r>
      <w:r>
        <w:fldChar w:fldCharType="begin"/>
      </w:r>
      <w:r>
        <w:instrText xml:space="preserve"> SEQ Figure \* ARABIC </w:instrText>
      </w:r>
      <w:r>
        <w:fldChar w:fldCharType="separate"/>
      </w:r>
      <w:r w:rsidR="00540908">
        <w:rPr>
          <w:noProof/>
        </w:rPr>
        <w:t>6</w:t>
      </w:r>
      <w:r>
        <w:fldChar w:fldCharType="end"/>
      </w:r>
      <w:r>
        <w:rPr>
          <w:lang w:val="en-GB"/>
        </w:rPr>
        <w:t>:</w:t>
      </w:r>
      <w:r w:rsidR="00AB1872">
        <w:rPr>
          <w:lang w:val="en-GB"/>
        </w:rPr>
        <w:t xml:space="preserve"> </w:t>
      </w:r>
      <w:r w:rsidRPr="006547EE">
        <w:rPr>
          <w:lang w:val="en-GB"/>
        </w:rPr>
        <w:t>Operational Continuity Plan</w:t>
      </w:r>
    </w:p>
    <w:p w14:paraId="4D1F6BE5" w14:textId="6BF508A0" w:rsidR="007B18E0" w:rsidRPr="00BB3230" w:rsidRDefault="009B57EA"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 xml:space="preserve"> </w:t>
      </w:r>
    </w:p>
    <w:p w14:paraId="497B0216" w14:textId="1E5C907E" w:rsidR="007B18E0" w:rsidRPr="00EE53FB" w:rsidRDefault="007B18E0" w:rsidP="009E2DC2">
      <w:pPr>
        <w:pStyle w:val="Heading1"/>
        <w:jc w:val="left"/>
        <w:rPr>
          <w:rFonts w:asciiTheme="minorBidi" w:hAnsiTheme="minorBidi" w:cstheme="minorBidi"/>
          <w:b/>
          <w:bCs/>
          <w:sz w:val="32"/>
          <w:szCs w:val="32"/>
          <w:lang w:val="en-GB"/>
        </w:rPr>
      </w:pPr>
      <w:bookmarkStart w:id="32" w:name="_Toc221787889"/>
      <w:r w:rsidRPr="00EE53FB">
        <w:rPr>
          <w:rFonts w:asciiTheme="minorBidi" w:hAnsiTheme="minorBidi" w:cstheme="minorBidi"/>
          <w:b/>
          <w:bCs/>
          <w:sz w:val="32"/>
          <w:szCs w:val="32"/>
          <w:lang w:val="en-GB"/>
        </w:rPr>
        <w:t>9</w:t>
      </w:r>
      <w:r w:rsidR="009E2DC2" w:rsidRPr="00EE53FB">
        <w:rPr>
          <w:rFonts w:asciiTheme="minorBidi" w:hAnsiTheme="minorBidi" w:cstheme="minorBidi"/>
          <w:b/>
          <w:bCs/>
          <w:sz w:val="32"/>
          <w:szCs w:val="32"/>
          <w:lang w:val="en-GB"/>
        </w:rPr>
        <w:t xml:space="preserve">. </w:t>
      </w:r>
      <w:r w:rsidRPr="00EE53FB">
        <w:rPr>
          <w:rFonts w:asciiTheme="minorBidi" w:hAnsiTheme="minorBidi" w:cstheme="minorBidi"/>
          <w:b/>
          <w:bCs/>
          <w:sz w:val="32"/>
          <w:szCs w:val="32"/>
          <w:lang w:val="en-GB"/>
        </w:rPr>
        <w:t>Ransomware Response Phases</w:t>
      </w:r>
      <w:bookmarkEnd w:id="32"/>
    </w:p>
    <w:p w14:paraId="0F0BF44A"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 proposed recovery model follows five structured phases:</w:t>
      </w:r>
    </w:p>
    <w:p w14:paraId="58A77CBE"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1. Containment Phase</w:t>
      </w:r>
    </w:p>
    <w:p w14:paraId="2C697844" w14:textId="77777777" w:rsidR="007B18E0" w:rsidRPr="00BB3230" w:rsidRDefault="007B18E0">
      <w:pPr>
        <w:numPr>
          <w:ilvl w:val="0"/>
          <w:numId w:val="16"/>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Immediate endpoint isolation via EDR</w:t>
      </w:r>
    </w:p>
    <w:p w14:paraId="65378A1D" w14:textId="77777777" w:rsidR="007B18E0" w:rsidRPr="00BB3230" w:rsidRDefault="007B18E0">
      <w:pPr>
        <w:numPr>
          <w:ilvl w:val="0"/>
          <w:numId w:val="16"/>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Credential suspension of affected accounts</w:t>
      </w:r>
    </w:p>
    <w:p w14:paraId="1EBA6A55" w14:textId="77777777" w:rsidR="007B18E0" w:rsidRPr="00BB3230" w:rsidRDefault="007B18E0">
      <w:pPr>
        <w:numPr>
          <w:ilvl w:val="0"/>
          <w:numId w:val="16"/>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Segmentation of impacted workloads</w:t>
      </w:r>
    </w:p>
    <w:p w14:paraId="708DF2A7" w14:textId="77777777" w:rsidR="007B18E0" w:rsidRPr="00BB3230" w:rsidRDefault="007B18E0"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2. Eradication Phase</w:t>
      </w:r>
    </w:p>
    <w:p w14:paraId="10A2DE37" w14:textId="77777777" w:rsidR="007B18E0" w:rsidRPr="00BB3230" w:rsidRDefault="007B18E0">
      <w:pPr>
        <w:numPr>
          <w:ilvl w:val="0"/>
          <w:numId w:val="17"/>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Malware removal</w:t>
      </w:r>
    </w:p>
    <w:p w14:paraId="5333AD09" w14:textId="77777777" w:rsidR="007B18E0" w:rsidRPr="00BB3230" w:rsidRDefault="007B18E0">
      <w:pPr>
        <w:numPr>
          <w:ilvl w:val="0"/>
          <w:numId w:val="17"/>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Forensic analysis to determine entry vector</w:t>
      </w:r>
    </w:p>
    <w:p w14:paraId="00820FEF" w14:textId="77777777" w:rsidR="007B18E0" w:rsidRPr="00BB3230" w:rsidRDefault="007B18E0">
      <w:pPr>
        <w:numPr>
          <w:ilvl w:val="0"/>
          <w:numId w:val="17"/>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Dependency validation within CI/CD pipelines</w:t>
      </w:r>
    </w:p>
    <w:p w14:paraId="18A9F940" w14:textId="77777777" w:rsidR="007B18E0" w:rsidRPr="00BB3230" w:rsidRDefault="007B18E0"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3. Recovery Phase</w:t>
      </w:r>
    </w:p>
    <w:p w14:paraId="4BCBD348" w14:textId="77777777" w:rsidR="007B18E0" w:rsidRPr="00BB3230" w:rsidRDefault="007B18E0">
      <w:pPr>
        <w:numPr>
          <w:ilvl w:val="0"/>
          <w:numId w:val="1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Restoration from immutable, air-gapped backups</w:t>
      </w:r>
    </w:p>
    <w:p w14:paraId="65755DFD" w14:textId="77777777" w:rsidR="007B18E0" w:rsidRPr="00BB3230" w:rsidRDefault="007B18E0">
      <w:pPr>
        <w:numPr>
          <w:ilvl w:val="0"/>
          <w:numId w:val="1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Cryptographic integrity verification of restored data</w:t>
      </w:r>
    </w:p>
    <w:p w14:paraId="62A3998F" w14:textId="77777777" w:rsidR="007B18E0" w:rsidRPr="00BB3230" w:rsidRDefault="007B18E0">
      <w:pPr>
        <w:numPr>
          <w:ilvl w:val="0"/>
          <w:numId w:val="18"/>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lastRenderedPageBreak/>
        <w:t>Controlled system reactivation</w:t>
      </w:r>
    </w:p>
    <w:p w14:paraId="3946FD4F" w14:textId="77777777" w:rsidR="007B18E0" w:rsidRPr="00BB3230" w:rsidRDefault="007B18E0"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4. Validation Phase</w:t>
      </w:r>
    </w:p>
    <w:p w14:paraId="73708AED" w14:textId="77777777" w:rsidR="007B18E0" w:rsidRPr="00BB3230" w:rsidRDefault="007B18E0">
      <w:pPr>
        <w:numPr>
          <w:ilvl w:val="0"/>
          <w:numId w:val="19"/>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Functional testing of AI models</w:t>
      </w:r>
    </w:p>
    <w:p w14:paraId="3F8E8E06" w14:textId="77777777" w:rsidR="007B18E0" w:rsidRPr="00BB3230" w:rsidRDefault="007B18E0">
      <w:pPr>
        <w:numPr>
          <w:ilvl w:val="0"/>
          <w:numId w:val="19"/>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Code integrity review</w:t>
      </w:r>
    </w:p>
    <w:p w14:paraId="5AEB539F" w14:textId="77777777" w:rsidR="007B18E0" w:rsidRPr="00BB3230" w:rsidRDefault="007B18E0">
      <w:pPr>
        <w:numPr>
          <w:ilvl w:val="0"/>
          <w:numId w:val="19"/>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Cloud configuration reassessment</w:t>
      </w:r>
    </w:p>
    <w:p w14:paraId="10F3D3A1" w14:textId="77777777" w:rsidR="007B18E0" w:rsidRPr="00BB3230" w:rsidRDefault="007B18E0" w:rsidP="009B57EA">
      <w:pPr>
        <w:spacing w:line="360" w:lineRule="auto"/>
        <w:jc w:val="left"/>
        <w:rPr>
          <w:rFonts w:asciiTheme="minorBidi" w:hAnsiTheme="minorBidi" w:cstheme="minorBidi"/>
          <w:b/>
          <w:bCs/>
          <w:sz w:val="24"/>
          <w:szCs w:val="24"/>
          <w:lang w:val="en-GB"/>
        </w:rPr>
      </w:pPr>
      <w:r w:rsidRPr="00BB3230">
        <w:rPr>
          <w:rFonts w:asciiTheme="minorBidi" w:hAnsiTheme="minorBidi" w:cstheme="minorBidi"/>
          <w:b/>
          <w:bCs/>
          <w:sz w:val="24"/>
          <w:szCs w:val="24"/>
          <w:lang w:val="en-GB"/>
        </w:rPr>
        <w:t>5. Post-Incident Review</w:t>
      </w:r>
    </w:p>
    <w:p w14:paraId="750A8B4C" w14:textId="77777777" w:rsidR="007B18E0" w:rsidRPr="00BB3230" w:rsidRDefault="007B18E0">
      <w:pPr>
        <w:numPr>
          <w:ilvl w:val="0"/>
          <w:numId w:val="20"/>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Root cause analysis</w:t>
      </w:r>
    </w:p>
    <w:p w14:paraId="308ECB36" w14:textId="77777777" w:rsidR="007B18E0" w:rsidRPr="00BB3230" w:rsidRDefault="007B18E0">
      <w:pPr>
        <w:numPr>
          <w:ilvl w:val="0"/>
          <w:numId w:val="20"/>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Board-level risk report</w:t>
      </w:r>
    </w:p>
    <w:p w14:paraId="0C03E6A2" w14:textId="6560BB95" w:rsidR="007B18E0" w:rsidRPr="00F32B98" w:rsidRDefault="007B18E0">
      <w:pPr>
        <w:numPr>
          <w:ilvl w:val="0"/>
          <w:numId w:val="20"/>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Policy refinement and control enhancement</w:t>
      </w:r>
    </w:p>
    <w:p w14:paraId="0CB379F2" w14:textId="07AFF575" w:rsidR="007B18E0" w:rsidRPr="00EE53FB" w:rsidRDefault="007B18E0" w:rsidP="009E2DC2">
      <w:pPr>
        <w:pStyle w:val="Heading2"/>
        <w:jc w:val="left"/>
        <w:rPr>
          <w:rFonts w:asciiTheme="minorBidi" w:hAnsiTheme="minorBidi" w:cstheme="minorBidi"/>
          <w:b/>
          <w:bCs/>
          <w:lang w:val="en-GB"/>
        </w:rPr>
      </w:pPr>
      <w:bookmarkStart w:id="33" w:name="_Toc221787890"/>
      <w:r w:rsidRPr="00EE53FB">
        <w:rPr>
          <w:rFonts w:asciiTheme="minorBidi" w:hAnsiTheme="minorBidi" w:cstheme="minorBidi"/>
          <w:b/>
          <w:bCs/>
          <w:lang w:val="en-GB"/>
        </w:rPr>
        <w:t>9.</w:t>
      </w:r>
      <w:r w:rsidR="009E2DC2" w:rsidRPr="00EE53FB">
        <w:rPr>
          <w:rFonts w:asciiTheme="minorBidi" w:hAnsiTheme="minorBidi" w:cstheme="minorBidi"/>
          <w:b/>
          <w:bCs/>
          <w:lang w:val="en-GB"/>
        </w:rPr>
        <w:t>1</w:t>
      </w:r>
      <w:r w:rsidRPr="00EE53FB">
        <w:rPr>
          <w:rFonts w:asciiTheme="minorBidi" w:hAnsiTheme="minorBidi" w:cstheme="minorBidi"/>
          <w:b/>
          <w:bCs/>
          <w:lang w:val="en-GB"/>
        </w:rPr>
        <w:t xml:space="preserve"> Recovery Objectives</w:t>
      </w:r>
      <w:bookmarkEnd w:id="33"/>
    </w:p>
    <w:p w14:paraId="5C59E904" w14:textId="2598203D"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To align with DORA operational resilience requirements [</w:t>
      </w:r>
      <w:r w:rsidR="00FC0F40" w:rsidRPr="00BB3230">
        <w:rPr>
          <w:rFonts w:asciiTheme="minorBidi" w:hAnsiTheme="minorBidi" w:cstheme="minorBidi"/>
          <w:sz w:val="24"/>
          <w:szCs w:val="24"/>
          <w:lang w:val="en-GB"/>
        </w:rPr>
        <w:t>13</w:t>
      </w:r>
      <w:r w:rsidRPr="00BB3230">
        <w:rPr>
          <w:rFonts w:asciiTheme="minorBidi" w:hAnsiTheme="minorBidi" w:cstheme="minorBidi"/>
          <w:sz w:val="24"/>
          <w:szCs w:val="24"/>
          <w:lang w:val="en-GB"/>
        </w:rPr>
        <w:t>]</w:t>
      </w:r>
      <w:r w:rsidR="00FC0F40" w:rsidRPr="00BB3230">
        <w:rPr>
          <w:rFonts w:asciiTheme="minorBidi" w:hAnsiTheme="minorBidi" w:cstheme="minorBidi"/>
          <w:sz w:val="24"/>
          <w:szCs w:val="24"/>
          <w:lang w:val="en-GB"/>
        </w:rPr>
        <w:t>.</w:t>
      </w:r>
    </w:p>
    <w:p w14:paraId="004D2FD3" w14:textId="4C20AA7F" w:rsidR="007B18E0" w:rsidRPr="00BB3230" w:rsidRDefault="007B18E0">
      <w:pPr>
        <w:numPr>
          <w:ilvl w:val="0"/>
          <w:numId w:val="2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(RTO): 24 hours</w:t>
      </w:r>
    </w:p>
    <w:p w14:paraId="2C305E50" w14:textId="06E4CD7B" w:rsidR="007B18E0" w:rsidRPr="00BB3230" w:rsidRDefault="007B18E0">
      <w:pPr>
        <w:numPr>
          <w:ilvl w:val="0"/>
          <w:numId w:val="21"/>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(RPO): 1 hour</w:t>
      </w:r>
    </w:p>
    <w:p w14:paraId="2814BB1F" w14:textId="3A4CA960"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These thresholds balance operational continuity with realistic technical recovery capability.</w:t>
      </w:r>
    </w:p>
    <w:p w14:paraId="3E5B61F6" w14:textId="6136C04D" w:rsidR="007B18E0" w:rsidRPr="00EE53FB" w:rsidRDefault="007B18E0" w:rsidP="009E2DC2">
      <w:pPr>
        <w:pStyle w:val="Heading2"/>
        <w:jc w:val="left"/>
        <w:rPr>
          <w:rFonts w:asciiTheme="minorBidi" w:hAnsiTheme="minorBidi" w:cstheme="minorBidi"/>
          <w:b/>
          <w:bCs/>
          <w:lang w:val="en-GB"/>
        </w:rPr>
      </w:pPr>
      <w:bookmarkStart w:id="34" w:name="_Toc221787891"/>
      <w:r w:rsidRPr="00EE53FB">
        <w:rPr>
          <w:rFonts w:asciiTheme="minorBidi" w:hAnsiTheme="minorBidi" w:cstheme="minorBidi"/>
          <w:b/>
          <w:bCs/>
          <w:lang w:val="en-GB"/>
        </w:rPr>
        <w:t>9.</w:t>
      </w:r>
      <w:r w:rsidR="009E2DC2" w:rsidRPr="00EE53FB">
        <w:rPr>
          <w:rFonts w:asciiTheme="minorBidi" w:hAnsiTheme="minorBidi" w:cstheme="minorBidi"/>
          <w:b/>
          <w:bCs/>
          <w:lang w:val="en-GB"/>
        </w:rPr>
        <w:t>2</w:t>
      </w:r>
      <w:r w:rsidRPr="00EE53FB">
        <w:rPr>
          <w:rFonts w:asciiTheme="minorBidi" w:hAnsiTheme="minorBidi" w:cstheme="minorBidi"/>
          <w:b/>
          <w:bCs/>
          <w:lang w:val="en-GB"/>
        </w:rPr>
        <w:t xml:space="preserve"> Backup and Resilience Controls</w:t>
      </w:r>
      <w:bookmarkEnd w:id="34"/>
    </w:p>
    <w:p w14:paraId="52CA0211" w14:textId="77777777" w:rsidR="007B18E0" w:rsidRPr="00BB3230" w:rsidRDefault="007B18E0">
      <w:pPr>
        <w:numPr>
          <w:ilvl w:val="0"/>
          <w:numId w:val="2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Immutable storage backups</w:t>
      </w:r>
    </w:p>
    <w:p w14:paraId="2ABE2F01" w14:textId="77777777" w:rsidR="007B18E0" w:rsidRPr="00BB3230" w:rsidRDefault="007B18E0">
      <w:pPr>
        <w:numPr>
          <w:ilvl w:val="0"/>
          <w:numId w:val="2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Geographically separated recovery zones</w:t>
      </w:r>
    </w:p>
    <w:p w14:paraId="5D1DF142" w14:textId="77777777" w:rsidR="007B18E0" w:rsidRPr="00BB3230" w:rsidRDefault="007B18E0">
      <w:pPr>
        <w:numPr>
          <w:ilvl w:val="0"/>
          <w:numId w:val="2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Offline backup replication</w:t>
      </w:r>
    </w:p>
    <w:p w14:paraId="60BD5E25" w14:textId="77777777" w:rsidR="007B18E0" w:rsidRPr="00BB3230" w:rsidRDefault="007B18E0">
      <w:pPr>
        <w:numPr>
          <w:ilvl w:val="0"/>
          <w:numId w:val="22"/>
        </w:num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Quarterly disaster simulation exercises</w:t>
      </w:r>
    </w:p>
    <w:p w14:paraId="14964FC4" w14:textId="497D53AD"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Regular resilience testing ensures procedural readiness and compliance documentation.</w:t>
      </w:r>
    </w:p>
    <w:p w14:paraId="657ECDFE" w14:textId="01846B1F" w:rsidR="007B18E0" w:rsidRPr="00EE53FB" w:rsidRDefault="007B18E0" w:rsidP="009E2DC2">
      <w:pPr>
        <w:pStyle w:val="Heading2"/>
        <w:jc w:val="left"/>
        <w:rPr>
          <w:rFonts w:asciiTheme="minorBidi" w:hAnsiTheme="minorBidi" w:cstheme="minorBidi"/>
          <w:b/>
          <w:bCs/>
          <w:lang w:val="en-GB"/>
        </w:rPr>
      </w:pPr>
      <w:bookmarkStart w:id="35" w:name="_Toc221787892"/>
      <w:r w:rsidRPr="00EE53FB">
        <w:rPr>
          <w:rFonts w:asciiTheme="minorBidi" w:hAnsiTheme="minorBidi" w:cstheme="minorBidi"/>
          <w:b/>
          <w:bCs/>
          <w:lang w:val="en-GB"/>
        </w:rPr>
        <w:t>9.</w:t>
      </w:r>
      <w:r w:rsidR="009E2DC2" w:rsidRPr="00EE53FB">
        <w:rPr>
          <w:rFonts w:asciiTheme="minorBidi" w:hAnsiTheme="minorBidi" w:cstheme="minorBidi"/>
          <w:b/>
          <w:bCs/>
          <w:lang w:val="en-GB"/>
        </w:rPr>
        <w:t>3</w:t>
      </w:r>
      <w:r w:rsidRPr="00EE53FB">
        <w:rPr>
          <w:rFonts w:asciiTheme="minorBidi" w:hAnsiTheme="minorBidi" w:cstheme="minorBidi"/>
          <w:b/>
          <w:bCs/>
          <w:lang w:val="en-GB"/>
        </w:rPr>
        <w:t xml:space="preserve"> Strategic Justification</w:t>
      </w:r>
      <w:bookmarkEnd w:id="35"/>
    </w:p>
    <w:p w14:paraId="4CB18787"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Zero Trust limits lateral spread during initial compromise; however, disaster recovery planning ensures business continuity if preventive controls fail.</w:t>
      </w:r>
    </w:p>
    <w:p w14:paraId="5B7FC1B4" w14:textId="3C26AB26"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By integrating structured recovery phases, defined RTO/RPO thresholds, and periodic resilience testing,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strengthens both operational stability and regulatory compliance under DORA and NIS2.</w:t>
      </w:r>
    </w:p>
    <w:p w14:paraId="4F370762" w14:textId="77777777" w:rsidR="007B18E0" w:rsidRPr="00EE53FB" w:rsidRDefault="007B18E0" w:rsidP="009E2DC2">
      <w:pPr>
        <w:pStyle w:val="Heading1"/>
        <w:jc w:val="left"/>
        <w:rPr>
          <w:rFonts w:asciiTheme="minorBidi" w:hAnsiTheme="minorBidi" w:cstheme="minorBidi"/>
          <w:b/>
          <w:bCs/>
          <w:sz w:val="32"/>
          <w:szCs w:val="32"/>
          <w:lang w:val="en-GB"/>
        </w:rPr>
      </w:pPr>
      <w:bookmarkStart w:id="36" w:name="_Toc221787893"/>
      <w:r w:rsidRPr="00EE53FB">
        <w:rPr>
          <w:rFonts w:asciiTheme="minorBidi" w:hAnsiTheme="minorBidi" w:cstheme="minorBidi"/>
          <w:b/>
          <w:bCs/>
          <w:sz w:val="32"/>
          <w:szCs w:val="32"/>
          <w:lang w:val="en-GB"/>
        </w:rPr>
        <w:t>10. Comparative Evaluation of Security Models</w:t>
      </w:r>
      <w:bookmarkEnd w:id="36"/>
    </w:p>
    <w:p w14:paraId="0D231126"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While Zero Trust prioritises identity-centric verification and least privilege enforcement, traditional defence-in-depth strategies rely on layered perimeter controls such as firewalls and network segmentation. Defence-in-depth enhances redundancy but often assumes internal trust once access is granted.</w:t>
      </w:r>
    </w:p>
    <w:p w14:paraId="15558A6A"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lastRenderedPageBreak/>
        <w:t>Secure Access Service Edge (SASE) integrates networking and cloud-delivered security services into a unified architecture. However, SASE primarily optimises secure connectivity rather than governance-level access control.</w:t>
      </w:r>
    </w:p>
    <w:p w14:paraId="0DABD369"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For </w:t>
      </w:r>
      <w:proofErr w:type="spellStart"/>
      <w:r w:rsidRPr="00BB3230">
        <w:rPr>
          <w:rFonts w:asciiTheme="minorBidi" w:hAnsiTheme="minorBidi" w:cstheme="minorBidi"/>
          <w:sz w:val="24"/>
          <w:szCs w:val="24"/>
          <w:lang w:val="en-GB"/>
        </w:rPr>
        <w:t>MediTrust’s</w:t>
      </w:r>
      <w:proofErr w:type="spellEnd"/>
      <w:r w:rsidRPr="00BB3230">
        <w:rPr>
          <w:rFonts w:asciiTheme="minorBidi" w:hAnsiTheme="minorBidi" w:cstheme="minorBidi"/>
          <w:sz w:val="24"/>
          <w:szCs w:val="24"/>
          <w:lang w:val="en-GB"/>
        </w:rPr>
        <w:t xml:space="preserve"> hybrid, AI-driven, and multi-cloud environment, Zero Trust provides stronger containment of lateral movement and identity misuse. Nevertheless, defence-in-depth segmentation remains valuable as a complementary control layer. A hybrid strategy integrating Zero Trust identity enforcement with layered segmentation and cloud-delivered security services offers balanced resilience.</w:t>
      </w:r>
    </w:p>
    <w:p w14:paraId="6E135DBB" w14:textId="0D6A3263" w:rsidR="007B18E0" w:rsidRPr="00F32B98" w:rsidRDefault="007B18E0" w:rsidP="00F32B98">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Therefore, Zero Trust should be implemented as an architectural foundation rather than an exclusive replacement for existing security principles.</w:t>
      </w:r>
    </w:p>
    <w:p w14:paraId="77FFD07B" w14:textId="77777777" w:rsidR="007B18E0" w:rsidRPr="00EE53FB" w:rsidRDefault="007B18E0" w:rsidP="009E2DC2">
      <w:pPr>
        <w:pStyle w:val="Heading1"/>
        <w:jc w:val="left"/>
        <w:rPr>
          <w:rFonts w:asciiTheme="minorBidi" w:hAnsiTheme="minorBidi" w:cstheme="minorBidi"/>
          <w:b/>
          <w:bCs/>
          <w:sz w:val="32"/>
          <w:szCs w:val="32"/>
          <w:lang w:val="en-GB"/>
        </w:rPr>
      </w:pPr>
      <w:bookmarkStart w:id="37" w:name="_Toc221787894"/>
      <w:r w:rsidRPr="00EE53FB">
        <w:rPr>
          <w:rFonts w:asciiTheme="minorBidi" w:hAnsiTheme="minorBidi" w:cstheme="minorBidi"/>
          <w:b/>
          <w:bCs/>
          <w:sz w:val="32"/>
          <w:szCs w:val="32"/>
          <w:lang w:val="en-GB"/>
        </w:rPr>
        <w:t>11. Economic and Strategic Considerations</w:t>
      </w:r>
      <w:bookmarkEnd w:id="37"/>
    </w:p>
    <w:p w14:paraId="42E2FCEA" w14:textId="77777777" w:rsidR="005E0081" w:rsidRPr="007D334C" w:rsidRDefault="005E0081" w:rsidP="007D334C">
      <w:pPr>
        <w:pStyle w:val="BodyText"/>
        <w:spacing w:line="360" w:lineRule="auto"/>
        <w:ind w:firstLine="0"/>
        <w:jc w:val="left"/>
        <w:rPr>
          <w:rFonts w:asciiTheme="minorBidi" w:hAnsiTheme="minorBidi" w:cstheme="minorBidi"/>
          <w:spacing w:val="0"/>
          <w:sz w:val="24"/>
          <w:szCs w:val="24"/>
          <w:lang w:val="en-GB" w:eastAsia="en-US"/>
        </w:rPr>
      </w:pPr>
      <w:bookmarkStart w:id="38" w:name="_Toc221787895"/>
      <w:r w:rsidRPr="007D334C">
        <w:rPr>
          <w:rFonts w:asciiTheme="minorBidi" w:hAnsiTheme="minorBidi" w:cstheme="minorBidi"/>
          <w:spacing w:val="0"/>
          <w:sz w:val="24"/>
          <w:szCs w:val="24"/>
          <w:lang w:val="en-GB" w:eastAsia="en-US"/>
        </w:rPr>
        <w:t>Implementing Zero Trust Architecture requires investment in identity systems, monitoring tools, secure development, and staff training. The initial cost can be high, but it helps avoid breach losses, fines, and reputational damage.</w:t>
      </w:r>
    </w:p>
    <w:p w14:paraId="190D70A1" w14:textId="77777777" w:rsidR="005E0081" w:rsidRPr="007D334C" w:rsidRDefault="005E0081" w:rsidP="007D334C">
      <w:pPr>
        <w:pStyle w:val="BodyText"/>
        <w:spacing w:line="360" w:lineRule="auto"/>
        <w:ind w:firstLine="0"/>
        <w:jc w:val="left"/>
        <w:rPr>
          <w:rFonts w:asciiTheme="minorBidi" w:hAnsiTheme="minorBidi" w:cstheme="minorBidi"/>
          <w:spacing w:val="0"/>
          <w:sz w:val="24"/>
          <w:szCs w:val="24"/>
          <w:lang w:val="en-GB" w:eastAsia="en-US"/>
        </w:rPr>
      </w:pPr>
      <w:r w:rsidRPr="007D334C">
        <w:rPr>
          <w:rFonts w:asciiTheme="minorBidi" w:hAnsiTheme="minorBidi" w:cstheme="minorBidi"/>
          <w:spacing w:val="0"/>
          <w:sz w:val="24"/>
          <w:szCs w:val="24"/>
          <w:lang w:val="en-GB" w:eastAsia="en-US"/>
        </w:rPr>
        <w:t>A phased rollout reduces risk and cost pressure. Focusing first on high-risk data, such as AI systems and patient records, ensures better use of resources. It can also improve investor trust and regulatory compliance in the EU healthcare sector.</w:t>
      </w:r>
    </w:p>
    <w:p w14:paraId="798926DF" w14:textId="5E0B81FD" w:rsidR="007B18E0" w:rsidRPr="00F57888" w:rsidRDefault="007B18E0" w:rsidP="00F57888">
      <w:pPr>
        <w:pStyle w:val="Heading1"/>
        <w:jc w:val="left"/>
      </w:pPr>
      <w:r w:rsidRPr="00F57888">
        <w:t>12. Strategic Integration Framework</w:t>
      </w:r>
      <w:r w:rsidR="009B57EA" w:rsidRPr="00F57888">
        <w:t>:</w:t>
      </w:r>
      <w:bookmarkEnd w:id="38"/>
    </w:p>
    <w:p w14:paraId="1DA5340C"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The proposed programme integrates governance accountability, structured risk assessment, AI lifecycle protection, cloud configuration control, automated detection, and disaster recovery within a unified Zero Trust framework.</w:t>
      </w:r>
    </w:p>
    <w:p w14:paraId="65CA6DB9" w14:textId="77777777" w:rsidR="007B18E0" w:rsidRPr="00BB3230" w:rsidRDefault="007B18E0" w:rsidP="009B57EA">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 xml:space="preserve">By aligning organisational roles, regulatory compliance obligations, and technical controls, </w:t>
      </w:r>
      <w:proofErr w:type="spellStart"/>
      <w:r w:rsidRPr="00BB3230">
        <w:rPr>
          <w:rFonts w:asciiTheme="minorBidi" w:hAnsiTheme="minorBidi" w:cstheme="minorBidi"/>
          <w:sz w:val="24"/>
          <w:szCs w:val="24"/>
          <w:lang w:val="en-GB"/>
        </w:rPr>
        <w:t>MediTrust</w:t>
      </w:r>
      <w:proofErr w:type="spellEnd"/>
      <w:r w:rsidRPr="00BB3230">
        <w:rPr>
          <w:rFonts w:asciiTheme="minorBidi" w:hAnsiTheme="minorBidi" w:cstheme="minorBidi"/>
          <w:sz w:val="24"/>
          <w:szCs w:val="24"/>
          <w:lang w:val="en-GB"/>
        </w:rPr>
        <w:t xml:space="preserve"> establishes a security architecture that reduces breach blast radius, enhances visibility, and strengthens operational resilience.</w:t>
      </w:r>
    </w:p>
    <w:p w14:paraId="346A8777" w14:textId="39BACBB4" w:rsidR="007B18E0" w:rsidRPr="00BB3230" w:rsidRDefault="007B18E0" w:rsidP="009E2DC2">
      <w:pPr>
        <w:spacing w:line="360" w:lineRule="auto"/>
        <w:jc w:val="left"/>
        <w:rPr>
          <w:rFonts w:asciiTheme="minorBidi" w:hAnsiTheme="minorBidi" w:cstheme="minorBidi"/>
          <w:sz w:val="24"/>
          <w:szCs w:val="24"/>
          <w:lang w:val="en-GB"/>
        </w:rPr>
      </w:pPr>
      <w:r w:rsidRPr="00BB3230">
        <w:rPr>
          <w:rFonts w:asciiTheme="minorBidi" w:hAnsiTheme="minorBidi" w:cstheme="minorBidi"/>
          <w:sz w:val="24"/>
          <w:szCs w:val="24"/>
          <w:lang w:val="en-GB"/>
        </w:rPr>
        <w:t>Security governance is therefore embedded into enterprise strategy rather than treated as a technical afterthought</w:t>
      </w:r>
      <w:r w:rsidR="00FC0F40" w:rsidRPr="00BB3230">
        <w:rPr>
          <w:rFonts w:asciiTheme="minorBidi" w:hAnsiTheme="minorBidi" w:cstheme="minorBidi"/>
          <w:sz w:val="24"/>
          <w:szCs w:val="24"/>
          <w:lang w:val="en-GB"/>
        </w:rPr>
        <w:t xml:space="preserve"> [14].</w:t>
      </w:r>
    </w:p>
    <w:p w14:paraId="75DBB98B" w14:textId="698D930A" w:rsidR="007B18E0" w:rsidRPr="00EE53FB" w:rsidRDefault="007B18E0" w:rsidP="009E2DC2">
      <w:pPr>
        <w:pStyle w:val="Heading1"/>
        <w:jc w:val="left"/>
        <w:rPr>
          <w:rFonts w:asciiTheme="minorBidi" w:hAnsiTheme="minorBidi" w:cstheme="minorBidi"/>
          <w:b/>
          <w:bCs/>
          <w:sz w:val="32"/>
          <w:szCs w:val="32"/>
          <w:lang w:val="en-GB"/>
        </w:rPr>
      </w:pPr>
      <w:bookmarkStart w:id="39" w:name="_Toc221787896"/>
      <w:r w:rsidRPr="00EE53FB">
        <w:rPr>
          <w:rFonts w:asciiTheme="minorBidi" w:hAnsiTheme="minorBidi" w:cstheme="minorBidi"/>
          <w:b/>
          <w:bCs/>
          <w:sz w:val="32"/>
          <w:szCs w:val="32"/>
          <w:lang w:val="en-GB"/>
        </w:rPr>
        <w:t>13.</w:t>
      </w:r>
      <w:r w:rsidR="00FC0F40" w:rsidRPr="00EE53FB">
        <w:rPr>
          <w:rFonts w:asciiTheme="minorBidi" w:hAnsiTheme="minorBidi" w:cstheme="minorBidi"/>
          <w:b/>
          <w:bCs/>
          <w:sz w:val="32"/>
          <w:szCs w:val="32"/>
          <w:lang w:val="en-GB"/>
        </w:rPr>
        <w:t xml:space="preserve"> </w:t>
      </w:r>
      <w:r w:rsidRPr="00EE53FB">
        <w:rPr>
          <w:rFonts w:asciiTheme="minorBidi" w:hAnsiTheme="minorBidi" w:cstheme="minorBidi"/>
          <w:b/>
          <w:bCs/>
          <w:sz w:val="32"/>
          <w:szCs w:val="32"/>
          <w:lang w:val="en-GB"/>
        </w:rPr>
        <w:t>Conclusion</w:t>
      </w:r>
      <w:bookmarkEnd w:id="39"/>
    </w:p>
    <w:p w14:paraId="4CBA023D" w14:textId="77777777" w:rsidR="00775562" w:rsidRPr="00775562" w:rsidRDefault="00775562" w:rsidP="00775562">
      <w:pPr>
        <w:spacing w:after="160" w:line="360" w:lineRule="auto"/>
        <w:jc w:val="left"/>
        <w:rPr>
          <w:rFonts w:asciiTheme="minorBidi" w:hAnsiTheme="minorBidi" w:cstheme="minorBidi"/>
          <w:sz w:val="24"/>
          <w:szCs w:val="24"/>
          <w:lang w:val="en-GB"/>
        </w:rPr>
      </w:pPr>
      <w:proofErr w:type="spellStart"/>
      <w:r w:rsidRPr="00775562">
        <w:rPr>
          <w:rFonts w:asciiTheme="minorBidi" w:hAnsiTheme="minorBidi" w:cstheme="minorBidi"/>
          <w:sz w:val="24"/>
          <w:szCs w:val="24"/>
          <w:lang w:val="en-GB"/>
        </w:rPr>
        <w:t>MediTrust’s</w:t>
      </w:r>
      <w:proofErr w:type="spellEnd"/>
      <w:r w:rsidRPr="00775562">
        <w:rPr>
          <w:rFonts w:asciiTheme="minorBidi" w:hAnsiTheme="minorBidi" w:cstheme="minorBidi"/>
          <w:sz w:val="24"/>
          <w:szCs w:val="24"/>
          <w:lang w:val="en-GB"/>
        </w:rPr>
        <w:t xml:space="preserve"> EU expansion requires a governance-led cybersecurity transformation aligned with Zero Trust. By establishing clear roles, quantitative risk prioritisation, AI lifecycle oversight, cloud security controls, automated detection, and structured disaster recovery, the organisation can meet GDPR, DORA, and NIS2 requirements while strengthening operational resilience.</w:t>
      </w:r>
    </w:p>
    <w:p w14:paraId="16F4AE90" w14:textId="77777777" w:rsidR="00775562" w:rsidRPr="00775562" w:rsidRDefault="00775562" w:rsidP="00775562">
      <w:pPr>
        <w:spacing w:after="160" w:line="360" w:lineRule="auto"/>
        <w:jc w:val="left"/>
        <w:rPr>
          <w:rFonts w:asciiTheme="minorBidi" w:hAnsiTheme="minorBidi" w:cstheme="minorBidi"/>
          <w:sz w:val="24"/>
          <w:szCs w:val="24"/>
          <w:lang w:val="en-GB"/>
        </w:rPr>
      </w:pPr>
      <w:r w:rsidRPr="00775562">
        <w:rPr>
          <w:rFonts w:asciiTheme="minorBidi" w:hAnsiTheme="minorBidi" w:cstheme="minorBidi"/>
          <w:sz w:val="24"/>
          <w:szCs w:val="24"/>
          <w:lang w:val="en-GB"/>
        </w:rPr>
        <w:lastRenderedPageBreak/>
        <w:t>Zero Trust is not merely a technical model but a strategic governance framework combining identity-based verification, continuous monitoring, and adaptive response. Its effectiveness depends on governance maturity, calibrated policies, executive accountability, and ongoing risk oversight; without these, technical controls alone cannot ensure resilience or regulatory defensibility.</w:t>
      </w:r>
    </w:p>
    <w:p w14:paraId="1F1D6418" w14:textId="77777777" w:rsidR="00085894" w:rsidRPr="00BB3230" w:rsidRDefault="00085894" w:rsidP="009B57EA">
      <w:pPr>
        <w:spacing w:after="160" w:line="360" w:lineRule="auto"/>
        <w:jc w:val="left"/>
        <w:rPr>
          <w:rFonts w:asciiTheme="minorBidi" w:hAnsiTheme="minorBidi" w:cstheme="minorBidi"/>
          <w:sz w:val="24"/>
          <w:szCs w:val="24"/>
        </w:rPr>
      </w:pPr>
    </w:p>
    <w:p w14:paraId="13AF69CE" w14:textId="693AEE64" w:rsidR="00380DAC" w:rsidRDefault="00380DAC">
      <w:pPr>
        <w:spacing w:after="160" w:line="278" w:lineRule="auto"/>
        <w:jc w:val="left"/>
        <w:rPr>
          <w:rFonts w:asciiTheme="minorBidi" w:hAnsiTheme="minorBidi" w:cstheme="minorBidi"/>
          <w:sz w:val="24"/>
          <w:szCs w:val="24"/>
        </w:rPr>
      </w:pPr>
      <w:r>
        <w:rPr>
          <w:rFonts w:asciiTheme="minorBidi" w:hAnsiTheme="minorBidi" w:cstheme="minorBidi"/>
          <w:sz w:val="24"/>
          <w:szCs w:val="24"/>
        </w:rPr>
        <w:br w:type="page"/>
      </w:r>
    </w:p>
    <w:p w14:paraId="05A6837F" w14:textId="3997CA5D" w:rsidR="007E472C" w:rsidRDefault="007E472C" w:rsidP="00EE53FB">
      <w:pPr>
        <w:pStyle w:val="Heading1"/>
        <w:jc w:val="left"/>
        <w:rPr>
          <w:rFonts w:asciiTheme="minorBidi" w:hAnsiTheme="minorBidi" w:cstheme="minorBidi"/>
          <w:lang w:val="en-GB"/>
        </w:rPr>
      </w:pPr>
      <w:bookmarkStart w:id="40" w:name="_Toc221787897"/>
      <w:r w:rsidRPr="00BB3230">
        <w:rPr>
          <w:rFonts w:asciiTheme="minorBidi" w:hAnsiTheme="minorBidi" w:cstheme="minorBidi"/>
          <w:lang w:val="en-GB"/>
        </w:rPr>
        <w:lastRenderedPageBreak/>
        <w:t>References:</w:t>
      </w:r>
      <w:bookmarkEnd w:id="40"/>
    </w:p>
    <w:p w14:paraId="504CB92C" w14:textId="77777777" w:rsidR="001C52D9" w:rsidRPr="001C52D9" w:rsidRDefault="001C52D9" w:rsidP="001C52D9">
      <w:pPr>
        <w:rPr>
          <w:lang w:val="en-GB"/>
        </w:rPr>
      </w:pPr>
    </w:p>
    <w:p w14:paraId="63753A47" w14:textId="18E65638" w:rsidR="0007329B" w:rsidRDefault="001F1ABC" w:rsidP="001F1ABC">
      <w:pPr>
        <w:spacing w:line="360" w:lineRule="auto"/>
        <w:jc w:val="left"/>
        <w:rPr>
          <w:rFonts w:asciiTheme="minorBidi" w:hAnsiTheme="minorBidi" w:cstheme="minorBidi"/>
          <w:sz w:val="24"/>
          <w:szCs w:val="24"/>
          <w:lang w:val="en-GB"/>
        </w:rPr>
      </w:pPr>
      <w:r>
        <w:rPr>
          <w:rFonts w:asciiTheme="minorBidi" w:hAnsiTheme="minorBidi" w:cstheme="minorBidi"/>
          <w:sz w:val="24"/>
          <w:szCs w:val="24"/>
          <w:lang w:val="en-GB"/>
        </w:rPr>
        <w:t xml:space="preserve">[1] </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NIST, "</w:t>
      </w:r>
      <w:r w:rsidR="0007329B" w:rsidRPr="0007329B">
        <w:rPr>
          <w:rFonts w:asciiTheme="minorBidi" w:hAnsiTheme="minorBidi" w:cstheme="minorBidi"/>
          <w:i/>
          <w:iCs/>
          <w:sz w:val="24"/>
          <w:szCs w:val="24"/>
          <w:lang w:val="en-GB"/>
        </w:rPr>
        <w:t>Zero Trust Architecture</w:t>
      </w:r>
      <w:r w:rsidR="0007329B" w:rsidRPr="0007329B">
        <w:rPr>
          <w:rFonts w:asciiTheme="minorBidi" w:hAnsiTheme="minorBidi" w:cstheme="minorBidi"/>
          <w:sz w:val="24"/>
          <w:szCs w:val="24"/>
          <w:lang w:val="en-GB"/>
        </w:rPr>
        <w:t xml:space="preserve">," NIST Special Publication 800-207, Aug. 2020. </w:t>
      </w:r>
    </w:p>
    <w:p w14:paraId="74DE6D93" w14:textId="77777777" w:rsidR="0007329B" w:rsidRPr="0007329B" w:rsidRDefault="0007329B" w:rsidP="0007329B">
      <w:pPr>
        <w:spacing w:line="360" w:lineRule="auto"/>
        <w:jc w:val="left"/>
        <w:rPr>
          <w:rFonts w:asciiTheme="minorBidi" w:hAnsiTheme="minorBidi" w:cstheme="minorBidi"/>
          <w:sz w:val="24"/>
          <w:szCs w:val="24"/>
          <w:lang w:val="en-GB"/>
        </w:rPr>
      </w:pPr>
    </w:p>
    <w:p w14:paraId="2349AECE" w14:textId="4A32C618"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[2]</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NIST, "</w:t>
      </w:r>
      <w:r w:rsidR="0007329B" w:rsidRPr="0007329B">
        <w:rPr>
          <w:rFonts w:asciiTheme="minorBidi" w:hAnsiTheme="minorBidi" w:cstheme="minorBidi"/>
          <w:i/>
          <w:iCs/>
          <w:sz w:val="24"/>
          <w:szCs w:val="24"/>
          <w:lang w:val="en-GB"/>
        </w:rPr>
        <w:t>The NIST Cybersecurity Framework (CSF) 2.0</w:t>
      </w:r>
      <w:r w:rsidR="0007329B" w:rsidRPr="0007329B">
        <w:rPr>
          <w:rFonts w:asciiTheme="minorBidi" w:hAnsiTheme="minorBidi" w:cstheme="minorBidi"/>
          <w:sz w:val="24"/>
          <w:szCs w:val="24"/>
          <w:lang w:val="en-GB"/>
        </w:rPr>
        <w:t xml:space="preserve">," National Institute of Standards and </w:t>
      </w:r>
      <w:r w:rsidR="0081780D">
        <w:rPr>
          <w:rFonts w:asciiTheme="minorBidi" w:hAnsiTheme="minorBidi" w:cstheme="minorBidi"/>
          <w:sz w:val="24"/>
          <w:szCs w:val="24"/>
          <w:lang w:val="en-GB"/>
        </w:rPr>
        <w:t xml:space="preserve"> </w:t>
      </w:r>
      <w:r w:rsidR="0007329B" w:rsidRPr="0007329B">
        <w:rPr>
          <w:rFonts w:asciiTheme="minorBidi" w:hAnsiTheme="minorBidi" w:cstheme="minorBidi"/>
          <w:sz w:val="24"/>
          <w:szCs w:val="24"/>
          <w:lang w:val="en-GB"/>
        </w:rPr>
        <w:t>Technology, Gaithersburg, MD, USA, Feb. 2024.</w:t>
      </w:r>
    </w:p>
    <w:p w14:paraId="3B69003D" w14:textId="77777777" w:rsidR="0007329B" w:rsidRPr="0007329B" w:rsidRDefault="0007329B" w:rsidP="0007329B">
      <w:pPr>
        <w:spacing w:line="360" w:lineRule="auto"/>
        <w:jc w:val="left"/>
        <w:rPr>
          <w:rFonts w:asciiTheme="minorBidi" w:hAnsiTheme="minorBidi" w:cstheme="minorBidi"/>
          <w:sz w:val="24"/>
          <w:szCs w:val="24"/>
          <w:lang w:val="en-GB"/>
        </w:rPr>
      </w:pPr>
    </w:p>
    <w:p w14:paraId="5CC3D5B9" w14:textId="0DE210E6"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[3]</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M. Conti, D. Denissov, and Q. Liao, "</w:t>
      </w:r>
      <w:r w:rsidR="0007329B" w:rsidRPr="0007329B">
        <w:rPr>
          <w:rFonts w:asciiTheme="minorBidi" w:hAnsiTheme="minorBidi" w:cstheme="minorBidi"/>
          <w:i/>
          <w:iCs/>
          <w:sz w:val="24"/>
          <w:szCs w:val="24"/>
          <w:lang w:val="en-GB"/>
        </w:rPr>
        <w:t>Zero Trust Security: Principles and Challenges</w:t>
      </w:r>
      <w:r w:rsidR="0007329B" w:rsidRPr="0007329B">
        <w:rPr>
          <w:rFonts w:asciiTheme="minorBidi" w:hAnsiTheme="minorBidi" w:cstheme="minorBidi"/>
          <w:sz w:val="24"/>
          <w:szCs w:val="24"/>
          <w:lang w:val="en-GB"/>
        </w:rPr>
        <w:t xml:space="preserve">," </w:t>
      </w:r>
      <w:r w:rsidR="0007329B" w:rsidRPr="0007329B">
        <w:rPr>
          <w:rFonts w:asciiTheme="minorBidi" w:hAnsiTheme="minorBidi" w:cstheme="minorBidi"/>
          <w:i/>
          <w:iCs/>
          <w:sz w:val="24"/>
          <w:szCs w:val="24"/>
          <w:lang w:val="en-GB"/>
        </w:rPr>
        <w:t>Computer Networks</w:t>
      </w:r>
      <w:r w:rsidR="0007329B" w:rsidRPr="0007329B">
        <w:rPr>
          <w:rFonts w:asciiTheme="minorBidi" w:hAnsiTheme="minorBidi" w:cstheme="minorBidi"/>
          <w:sz w:val="24"/>
          <w:szCs w:val="24"/>
          <w:lang w:val="en-GB"/>
        </w:rPr>
        <w:t>, vol. 213,</w:t>
      </w:r>
      <w:r w:rsidR="00833423">
        <w:rPr>
          <w:rFonts w:asciiTheme="minorBidi" w:hAnsiTheme="minorBidi" w:cstheme="minorBidi"/>
          <w:sz w:val="24"/>
          <w:szCs w:val="24"/>
          <w:lang w:val="en-GB"/>
        </w:rPr>
        <w:t xml:space="preserve"> </w:t>
      </w:r>
      <w:r w:rsidR="0007329B" w:rsidRPr="0007329B">
        <w:rPr>
          <w:rFonts w:asciiTheme="minorBidi" w:hAnsiTheme="minorBidi" w:cstheme="minorBidi"/>
          <w:sz w:val="24"/>
          <w:szCs w:val="24"/>
          <w:lang w:val="en-GB"/>
        </w:rPr>
        <w:t>Aug. 2022.</w:t>
      </w:r>
    </w:p>
    <w:p w14:paraId="6EF0B929" w14:textId="77777777" w:rsidR="00833423" w:rsidRPr="0007329B" w:rsidRDefault="00833423" w:rsidP="0007329B">
      <w:pPr>
        <w:spacing w:line="360" w:lineRule="auto"/>
        <w:jc w:val="left"/>
        <w:rPr>
          <w:rFonts w:asciiTheme="minorBidi" w:hAnsiTheme="minorBidi" w:cstheme="minorBidi"/>
          <w:sz w:val="24"/>
          <w:szCs w:val="24"/>
          <w:lang w:val="en-GB"/>
        </w:rPr>
      </w:pPr>
    </w:p>
    <w:p w14:paraId="5FEAFF95" w14:textId="605808A4"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i/>
          <w:iCs/>
          <w:sz w:val="24"/>
          <w:szCs w:val="24"/>
          <w:lang w:val="en-GB"/>
        </w:rPr>
        <w:t>[4]</w:t>
      </w:r>
      <w:r>
        <w:rPr>
          <w:rFonts w:asciiTheme="minorBidi" w:hAnsiTheme="minorBidi" w:cstheme="minorBidi"/>
          <w:i/>
          <w:iCs/>
          <w:sz w:val="24"/>
          <w:szCs w:val="24"/>
          <w:lang w:val="en-GB"/>
        </w:rPr>
        <w:tab/>
      </w:r>
      <w:r w:rsidR="0007329B" w:rsidRPr="0007329B">
        <w:rPr>
          <w:rFonts w:asciiTheme="minorBidi" w:hAnsiTheme="minorBidi" w:cstheme="minorBidi"/>
          <w:i/>
          <w:iCs/>
          <w:sz w:val="24"/>
          <w:szCs w:val="24"/>
          <w:lang w:val="en-GB"/>
        </w:rPr>
        <w:t>Regulation (EU) 2022/2554 of the European Parliament and of the Council of 14 December 2022 on Digital Operational Resilience for the Financial Sector (DORA)</w:t>
      </w:r>
      <w:r w:rsidR="0007329B" w:rsidRPr="0007329B">
        <w:rPr>
          <w:rFonts w:asciiTheme="minorBidi" w:hAnsiTheme="minorBidi" w:cstheme="minorBidi"/>
          <w:sz w:val="24"/>
          <w:szCs w:val="24"/>
          <w:lang w:val="en-GB"/>
        </w:rPr>
        <w:t xml:space="preserve">, 2022. </w:t>
      </w:r>
    </w:p>
    <w:p w14:paraId="06788C62" w14:textId="77777777" w:rsidR="00833423" w:rsidRPr="0007329B" w:rsidRDefault="00833423" w:rsidP="0007329B">
      <w:pPr>
        <w:spacing w:line="360" w:lineRule="auto"/>
        <w:jc w:val="left"/>
        <w:rPr>
          <w:rFonts w:asciiTheme="minorBidi" w:hAnsiTheme="minorBidi" w:cstheme="minorBidi"/>
          <w:sz w:val="24"/>
          <w:szCs w:val="24"/>
          <w:lang w:val="en-GB"/>
        </w:rPr>
      </w:pPr>
    </w:p>
    <w:p w14:paraId="555BEE1D" w14:textId="44BC5BD7"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[5]</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ENISA, "Technical Guidance on the Implementation of NIS2," European Union Agency for Cybersecurity, Athens, Greece, Sep. 2023.</w:t>
      </w:r>
    </w:p>
    <w:p w14:paraId="64018D70" w14:textId="77777777" w:rsidR="0081780D" w:rsidRPr="0007329B" w:rsidRDefault="0081780D" w:rsidP="0007329B">
      <w:pPr>
        <w:spacing w:line="360" w:lineRule="auto"/>
        <w:jc w:val="left"/>
        <w:rPr>
          <w:rFonts w:asciiTheme="minorBidi" w:hAnsiTheme="minorBidi" w:cstheme="minorBidi"/>
          <w:sz w:val="24"/>
          <w:szCs w:val="24"/>
          <w:lang w:val="en-GB"/>
        </w:rPr>
      </w:pPr>
    </w:p>
    <w:p w14:paraId="0CF42B73" w14:textId="3D106A86" w:rsidR="0081780D" w:rsidRDefault="001F1ABC" w:rsidP="00020CB7">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rPr>
        <w:t>[6]</w:t>
      </w:r>
      <w:r>
        <w:rPr>
          <w:rFonts w:asciiTheme="minorBidi" w:hAnsiTheme="minorBidi" w:cstheme="minorBidi"/>
          <w:sz w:val="24"/>
          <w:szCs w:val="24"/>
        </w:rPr>
        <w:tab/>
      </w:r>
      <w:r w:rsidR="00020CB7" w:rsidRPr="00020CB7">
        <w:rPr>
          <w:rFonts w:asciiTheme="minorBidi" w:hAnsiTheme="minorBidi" w:cstheme="minorBidi"/>
          <w:sz w:val="24"/>
          <w:szCs w:val="24"/>
          <w:lang w:val="en-GB"/>
        </w:rPr>
        <w:t xml:space="preserve">A. Basta et al., </w:t>
      </w:r>
      <w:r w:rsidR="00020CB7" w:rsidRPr="00020CB7">
        <w:rPr>
          <w:rFonts w:asciiTheme="minorBidi" w:hAnsiTheme="minorBidi" w:cstheme="minorBidi"/>
          <w:i/>
          <w:iCs/>
          <w:sz w:val="24"/>
          <w:szCs w:val="24"/>
          <w:lang w:val="en-GB"/>
        </w:rPr>
        <w:t>Open-Source Security Operations Center (SOC): A Complete Guide to Establishing, Managing, and Maintaining a Modern SOC, Wiley</w:t>
      </w:r>
      <w:r w:rsidR="00020CB7" w:rsidRPr="00020CB7">
        <w:rPr>
          <w:rFonts w:asciiTheme="minorBidi" w:hAnsiTheme="minorBidi" w:cstheme="minorBidi"/>
          <w:sz w:val="24"/>
          <w:szCs w:val="24"/>
          <w:lang w:val="en-GB"/>
        </w:rPr>
        <w:t>, United Kingdom, 2024</w:t>
      </w:r>
      <w:r w:rsidR="00020CB7">
        <w:rPr>
          <w:rFonts w:asciiTheme="minorBidi" w:hAnsiTheme="minorBidi" w:cstheme="minorBidi"/>
          <w:sz w:val="24"/>
          <w:szCs w:val="24"/>
          <w:lang w:val="en-GB"/>
        </w:rPr>
        <w:t>.</w:t>
      </w:r>
    </w:p>
    <w:p w14:paraId="5F72400F" w14:textId="77777777" w:rsidR="00020CB7" w:rsidRPr="00020CB7" w:rsidRDefault="00020CB7" w:rsidP="00020CB7">
      <w:pPr>
        <w:spacing w:line="360" w:lineRule="auto"/>
        <w:ind w:left="720" w:hanging="720"/>
        <w:jc w:val="left"/>
        <w:rPr>
          <w:rFonts w:asciiTheme="minorBidi" w:hAnsiTheme="minorBidi" w:cstheme="minorBidi"/>
          <w:sz w:val="24"/>
          <w:szCs w:val="24"/>
          <w:lang w:val="en-GB"/>
        </w:rPr>
      </w:pPr>
    </w:p>
    <w:p w14:paraId="210EA813" w14:textId="5DBB3D30" w:rsidR="0081780D"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[7]</w:t>
      </w:r>
      <w:r>
        <w:rPr>
          <w:rFonts w:asciiTheme="minorBidi" w:hAnsiTheme="minorBidi" w:cstheme="minorBidi"/>
          <w:sz w:val="24"/>
          <w:szCs w:val="24"/>
          <w:lang w:val="en-GB"/>
        </w:rPr>
        <w:tab/>
      </w:r>
      <w:r w:rsidR="0081780D" w:rsidRPr="0081780D">
        <w:rPr>
          <w:rFonts w:asciiTheme="minorBidi" w:hAnsiTheme="minorBidi" w:cstheme="minorBidi"/>
          <w:sz w:val="24"/>
          <w:szCs w:val="24"/>
          <w:lang w:val="en-GB"/>
        </w:rPr>
        <w:t xml:space="preserve">A. K. Sood and R. Enbody, </w:t>
      </w:r>
      <w:r w:rsidR="0081780D" w:rsidRPr="00020CB7">
        <w:rPr>
          <w:rFonts w:asciiTheme="minorBidi" w:hAnsiTheme="minorBidi" w:cstheme="minorBidi"/>
          <w:i/>
          <w:iCs/>
          <w:sz w:val="24"/>
          <w:szCs w:val="24"/>
          <w:lang w:val="en-GB"/>
        </w:rPr>
        <w:t>Empirical Cloud Security: Practical Intelligence to Evaluate Risks and Attacks.</w:t>
      </w:r>
      <w:r w:rsidR="0081780D" w:rsidRPr="0081780D">
        <w:rPr>
          <w:rFonts w:asciiTheme="minorBidi" w:hAnsiTheme="minorBidi" w:cstheme="minorBidi"/>
          <w:sz w:val="24"/>
          <w:szCs w:val="24"/>
          <w:lang w:val="en-GB"/>
        </w:rPr>
        <w:t xml:space="preserve"> Dulles, VA, USA: Mercury Learning and Information, 2015.</w:t>
      </w:r>
    </w:p>
    <w:p w14:paraId="61D02855" w14:textId="77777777" w:rsidR="0081780D" w:rsidRDefault="0081780D" w:rsidP="0081780D">
      <w:pPr>
        <w:spacing w:line="360" w:lineRule="auto"/>
        <w:jc w:val="left"/>
        <w:rPr>
          <w:rFonts w:asciiTheme="minorBidi" w:hAnsiTheme="minorBidi" w:cstheme="minorBidi"/>
          <w:sz w:val="24"/>
          <w:szCs w:val="24"/>
          <w:lang w:val="en-GB"/>
        </w:rPr>
      </w:pPr>
    </w:p>
    <w:p w14:paraId="2BBC72A8" w14:textId="77777777" w:rsidR="00020CB7" w:rsidRPr="00020CB7" w:rsidRDefault="001F1ABC" w:rsidP="00020CB7">
      <w:pPr>
        <w:ind w:left="720" w:hanging="720"/>
        <w:jc w:val="both"/>
        <w:rPr>
          <w:rFonts w:asciiTheme="minorBidi" w:hAnsiTheme="minorBidi" w:cstheme="minorBidi"/>
          <w:sz w:val="24"/>
          <w:szCs w:val="24"/>
          <w:lang w:val="en-GB"/>
        </w:rPr>
      </w:pPr>
      <w:r>
        <w:rPr>
          <w:rFonts w:asciiTheme="minorBidi" w:hAnsiTheme="minorBidi" w:cstheme="minorBidi"/>
          <w:sz w:val="24"/>
          <w:szCs w:val="24"/>
          <w:lang w:val="en-GB"/>
        </w:rPr>
        <w:t>[8]</w:t>
      </w:r>
      <w:r>
        <w:rPr>
          <w:rFonts w:asciiTheme="minorBidi" w:hAnsiTheme="minorBidi" w:cstheme="minorBidi"/>
          <w:sz w:val="24"/>
          <w:szCs w:val="24"/>
          <w:lang w:val="en-GB"/>
        </w:rPr>
        <w:tab/>
      </w:r>
      <w:r w:rsidR="00020CB7" w:rsidRPr="00020CB7">
        <w:rPr>
          <w:rFonts w:asciiTheme="minorBidi" w:hAnsiTheme="minorBidi" w:cstheme="minorBidi"/>
          <w:sz w:val="24"/>
          <w:szCs w:val="24"/>
          <w:lang w:val="en-GB"/>
        </w:rPr>
        <w:t xml:space="preserve">L. J. Fennelly and S. J. Davies, </w:t>
      </w:r>
      <w:r w:rsidR="00020CB7" w:rsidRPr="00020CB7">
        <w:rPr>
          <w:rFonts w:asciiTheme="minorBidi" w:hAnsiTheme="minorBidi" w:cstheme="minorBidi"/>
          <w:i/>
          <w:iCs/>
          <w:sz w:val="24"/>
          <w:szCs w:val="24"/>
          <w:lang w:val="en-GB"/>
        </w:rPr>
        <w:t xml:space="preserve">The Professional Protection Officer: Practical Security Strategies and Emerging Trends, </w:t>
      </w:r>
      <w:r w:rsidR="00020CB7" w:rsidRPr="00020CB7">
        <w:rPr>
          <w:rFonts w:asciiTheme="minorBidi" w:hAnsiTheme="minorBidi" w:cstheme="minorBidi"/>
          <w:sz w:val="24"/>
          <w:szCs w:val="24"/>
          <w:lang w:val="en-GB"/>
        </w:rPr>
        <w:t>Elsevier Science, Netherlands, 2019.</w:t>
      </w:r>
    </w:p>
    <w:p w14:paraId="15751F11" w14:textId="77875D03" w:rsidR="0081780D" w:rsidRPr="0007329B" w:rsidRDefault="0081780D" w:rsidP="00020CB7">
      <w:pPr>
        <w:spacing w:line="360" w:lineRule="auto"/>
        <w:ind w:left="720" w:hanging="720"/>
        <w:jc w:val="left"/>
        <w:rPr>
          <w:rFonts w:asciiTheme="minorBidi" w:hAnsiTheme="minorBidi" w:cstheme="minorBidi"/>
          <w:sz w:val="24"/>
          <w:szCs w:val="24"/>
          <w:lang w:val="en-GB"/>
        </w:rPr>
      </w:pPr>
    </w:p>
    <w:p w14:paraId="2446D953" w14:textId="73FE5BAF" w:rsidR="0081780D" w:rsidRPr="00020CB7" w:rsidRDefault="001F1ABC" w:rsidP="00020CB7">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[9]</w:t>
      </w:r>
      <w:r>
        <w:rPr>
          <w:rFonts w:asciiTheme="minorBidi" w:hAnsiTheme="minorBidi" w:cstheme="minorBidi"/>
          <w:sz w:val="24"/>
          <w:szCs w:val="24"/>
          <w:lang w:val="en-GB"/>
        </w:rPr>
        <w:tab/>
      </w:r>
      <w:r w:rsidR="00020CB7" w:rsidRPr="00020CB7">
        <w:rPr>
          <w:rFonts w:asciiTheme="minorBidi" w:hAnsiTheme="minorBidi" w:cstheme="minorBidi"/>
          <w:sz w:val="24"/>
          <w:szCs w:val="24"/>
          <w:lang w:val="en-GB"/>
        </w:rPr>
        <w:t xml:space="preserve">D. J. Landoll, </w:t>
      </w:r>
      <w:r w:rsidR="00020CB7" w:rsidRPr="00020CB7">
        <w:rPr>
          <w:rFonts w:asciiTheme="minorBidi" w:hAnsiTheme="minorBidi" w:cstheme="minorBidi"/>
          <w:i/>
          <w:iCs/>
          <w:sz w:val="24"/>
          <w:szCs w:val="24"/>
          <w:lang w:val="en-GB"/>
        </w:rPr>
        <w:t>Information Security Policies, Procedures, and Standards: A Practitioner's Reference</w:t>
      </w:r>
      <w:r w:rsidR="00020CB7" w:rsidRPr="00020CB7">
        <w:rPr>
          <w:rFonts w:asciiTheme="minorBidi" w:hAnsiTheme="minorBidi" w:cstheme="minorBidi"/>
          <w:sz w:val="24"/>
          <w:szCs w:val="24"/>
          <w:lang w:val="en-GB"/>
        </w:rPr>
        <w:t>, Taylor &amp; Francis Limited, United Kingdom, 2020.</w:t>
      </w:r>
    </w:p>
    <w:p w14:paraId="026F78A8" w14:textId="77777777" w:rsidR="00020CB7" w:rsidRPr="0007329B" w:rsidRDefault="00020CB7" w:rsidP="00020CB7">
      <w:pPr>
        <w:spacing w:line="360" w:lineRule="auto"/>
        <w:ind w:left="720" w:hanging="720"/>
        <w:jc w:val="left"/>
        <w:rPr>
          <w:rFonts w:asciiTheme="minorBidi" w:hAnsiTheme="minorBidi" w:cstheme="minorBidi"/>
          <w:sz w:val="24"/>
          <w:szCs w:val="24"/>
          <w:lang w:val="en-GB"/>
        </w:rPr>
      </w:pPr>
    </w:p>
    <w:p w14:paraId="08D815C7" w14:textId="313E08C3"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[10]</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 xml:space="preserve">V. </w:t>
      </w:r>
      <w:proofErr w:type="spellStart"/>
      <w:r w:rsidR="0007329B" w:rsidRPr="0007329B">
        <w:rPr>
          <w:rFonts w:asciiTheme="minorBidi" w:hAnsiTheme="minorBidi" w:cstheme="minorBidi"/>
          <w:sz w:val="24"/>
          <w:szCs w:val="24"/>
          <w:lang w:val="en-GB"/>
        </w:rPr>
        <w:t>Piuri</w:t>
      </w:r>
      <w:proofErr w:type="spellEnd"/>
      <w:r w:rsidR="0007329B" w:rsidRPr="0007329B">
        <w:rPr>
          <w:rFonts w:asciiTheme="minorBidi" w:hAnsiTheme="minorBidi" w:cstheme="minorBidi"/>
          <w:sz w:val="24"/>
          <w:szCs w:val="24"/>
          <w:lang w:val="en-GB"/>
        </w:rPr>
        <w:t xml:space="preserve">, W. Meng, and Z. Yan, Eds., </w:t>
      </w:r>
      <w:r w:rsidR="0007329B" w:rsidRPr="0007329B">
        <w:rPr>
          <w:rFonts w:asciiTheme="minorBidi" w:hAnsiTheme="minorBidi" w:cstheme="minorBidi"/>
          <w:i/>
          <w:iCs/>
          <w:sz w:val="24"/>
          <w:szCs w:val="24"/>
          <w:lang w:val="en-GB"/>
        </w:rPr>
        <w:t>Information Security Practice and Experience: 18th International Conference, ISPEC 2023, Copenhagen, Denmark, August 24–25, 2023, Proceedings</w:t>
      </w:r>
      <w:r w:rsidR="0007329B" w:rsidRPr="0007329B">
        <w:rPr>
          <w:rFonts w:asciiTheme="minorBidi" w:hAnsiTheme="minorBidi" w:cstheme="minorBidi"/>
          <w:sz w:val="24"/>
          <w:szCs w:val="24"/>
          <w:lang w:val="en-GB"/>
        </w:rPr>
        <w:t>. Singapore: Springer Nature, 2023.</w:t>
      </w:r>
    </w:p>
    <w:p w14:paraId="63D755E9" w14:textId="77777777" w:rsidR="0081780D" w:rsidRPr="0007329B" w:rsidRDefault="0081780D" w:rsidP="0007329B">
      <w:pPr>
        <w:spacing w:line="360" w:lineRule="auto"/>
        <w:jc w:val="left"/>
        <w:rPr>
          <w:rFonts w:asciiTheme="minorBidi" w:hAnsiTheme="minorBidi" w:cstheme="minorBidi"/>
          <w:sz w:val="24"/>
          <w:szCs w:val="24"/>
          <w:lang w:val="en-GB"/>
        </w:rPr>
      </w:pPr>
    </w:p>
    <w:p w14:paraId="64C81CCD" w14:textId="154AA6B2"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lastRenderedPageBreak/>
        <w:t>[11]</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 xml:space="preserve">R. Martinez, </w:t>
      </w:r>
      <w:r w:rsidR="0007329B" w:rsidRPr="0007329B">
        <w:rPr>
          <w:rFonts w:asciiTheme="minorBidi" w:hAnsiTheme="minorBidi" w:cstheme="minorBidi"/>
          <w:i/>
          <w:iCs/>
          <w:sz w:val="24"/>
          <w:szCs w:val="24"/>
          <w:lang w:val="en-GB"/>
        </w:rPr>
        <w:t>Incident Response with Threat Intelligence: Practical Insights Into Developing an Incident Response Capability Through Intelligence-based Threat Hunting</w:t>
      </w:r>
      <w:r w:rsidR="0007329B" w:rsidRPr="0007329B">
        <w:rPr>
          <w:rFonts w:asciiTheme="minorBidi" w:hAnsiTheme="minorBidi" w:cstheme="minorBidi"/>
          <w:sz w:val="24"/>
          <w:szCs w:val="24"/>
          <w:lang w:val="en-GB"/>
        </w:rPr>
        <w:t xml:space="preserve">. Birmingham, UK: </w:t>
      </w:r>
      <w:proofErr w:type="spellStart"/>
      <w:r w:rsidR="0007329B" w:rsidRPr="0007329B">
        <w:rPr>
          <w:rFonts w:asciiTheme="minorBidi" w:hAnsiTheme="minorBidi" w:cstheme="minorBidi"/>
          <w:sz w:val="24"/>
          <w:szCs w:val="24"/>
          <w:lang w:val="en-GB"/>
        </w:rPr>
        <w:t>Packt</w:t>
      </w:r>
      <w:proofErr w:type="spellEnd"/>
      <w:r w:rsidR="0007329B" w:rsidRPr="0007329B">
        <w:rPr>
          <w:rFonts w:asciiTheme="minorBidi" w:hAnsiTheme="minorBidi" w:cstheme="minorBidi"/>
          <w:sz w:val="24"/>
          <w:szCs w:val="24"/>
          <w:lang w:val="en-GB"/>
        </w:rPr>
        <w:t xml:space="preserve"> Publishing, 2022.</w:t>
      </w:r>
    </w:p>
    <w:p w14:paraId="5EC870A9" w14:textId="77777777" w:rsidR="0081780D" w:rsidRPr="0007329B" w:rsidRDefault="0081780D" w:rsidP="0007329B">
      <w:pPr>
        <w:spacing w:line="360" w:lineRule="auto"/>
        <w:jc w:val="left"/>
        <w:rPr>
          <w:rFonts w:asciiTheme="minorBidi" w:hAnsiTheme="minorBidi" w:cstheme="minorBidi"/>
          <w:sz w:val="24"/>
          <w:szCs w:val="24"/>
          <w:lang w:val="en-GB"/>
        </w:rPr>
      </w:pPr>
    </w:p>
    <w:p w14:paraId="6C05D670" w14:textId="0437DDE5"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[12]</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 xml:space="preserve">P. Ackerman, </w:t>
      </w:r>
      <w:r w:rsidR="0007329B" w:rsidRPr="0007329B">
        <w:rPr>
          <w:rFonts w:asciiTheme="minorBidi" w:hAnsiTheme="minorBidi" w:cstheme="minorBidi"/>
          <w:i/>
          <w:iCs/>
          <w:sz w:val="24"/>
          <w:szCs w:val="24"/>
          <w:lang w:val="en-GB"/>
        </w:rPr>
        <w:t>Modern Cybersecurity Practices: Exploring and Implementing Agile Cybersecurity Frameworks and Strategies for Your Organization</w:t>
      </w:r>
      <w:r w:rsidR="0007329B" w:rsidRPr="0007329B">
        <w:rPr>
          <w:rFonts w:asciiTheme="minorBidi" w:hAnsiTheme="minorBidi" w:cstheme="minorBidi"/>
          <w:sz w:val="24"/>
          <w:szCs w:val="24"/>
          <w:lang w:val="en-GB"/>
        </w:rPr>
        <w:t>. New Delhi, India: BPB Publications, 2020.</w:t>
      </w:r>
    </w:p>
    <w:p w14:paraId="1BD6F443" w14:textId="77777777" w:rsidR="0081780D" w:rsidRPr="0007329B" w:rsidRDefault="0081780D" w:rsidP="0007329B">
      <w:pPr>
        <w:spacing w:line="360" w:lineRule="auto"/>
        <w:jc w:val="left"/>
        <w:rPr>
          <w:rFonts w:asciiTheme="minorBidi" w:hAnsiTheme="minorBidi" w:cstheme="minorBidi"/>
          <w:sz w:val="24"/>
          <w:szCs w:val="24"/>
          <w:lang w:val="en-GB"/>
        </w:rPr>
      </w:pPr>
    </w:p>
    <w:p w14:paraId="37006B18" w14:textId="7300808F" w:rsid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[13]</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 xml:space="preserve">M. Chapple, </w:t>
      </w:r>
      <w:r w:rsidR="0007329B" w:rsidRPr="0007329B">
        <w:rPr>
          <w:rFonts w:asciiTheme="minorBidi" w:hAnsiTheme="minorBidi" w:cstheme="minorBidi"/>
          <w:i/>
          <w:iCs/>
          <w:sz w:val="24"/>
          <w:szCs w:val="24"/>
          <w:lang w:val="en-GB"/>
        </w:rPr>
        <w:t>Access Control and Identity Management</w:t>
      </w:r>
      <w:r w:rsidR="0007329B" w:rsidRPr="0007329B">
        <w:rPr>
          <w:rFonts w:asciiTheme="minorBidi" w:hAnsiTheme="minorBidi" w:cstheme="minorBidi"/>
          <w:sz w:val="24"/>
          <w:szCs w:val="24"/>
          <w:lang w:val="en-GB"/>
        </w:rPr>
        <w:t>, 3rd ed. Burlington, MA, USA: Jones &amp; Bartlett Learning, 2020.</w:t>
      </w:r>
    </w:p>
    <w:p w14:paraId="6BE2268B" w14:textId="77777777" w:rsidR="0081780D" w:rsidRPr="0007329B" w:rsidRDefault="0081780D" w:rsidP="0007329B">
      <w:pPr>
        <w:spacing w:line="360" w:lineRule="auto"/>
        <w:jc w:val="left"/>
        <w:rPr>
          <w:rFonts w:asciiTheme="minorBidi" w:hAnsiTheme="minorBidi" w:cstheme="minorBidi"/>
          <w:sz w:val="24"/>
          <w:szCs w:val="24"/>
          <w:lang w:val="en-GB"/>
        </w:rPr>
      </w:pPr>
    </w:p>
    <w:p w14:paraId="26193A7B" w14:textId="09D0B233" w:rsidR="0007329B" w:rsidRPr="0007329B" w:rsidRDefault="001F1ABC" w:rsidP="001F1ABC">
      <w:pPr>
        <w:spacing w:line="360" w:lineRule="auto"/>
        <w:ind w:left="720" w:hanging="720"/>
        <w:jc w:val="left"/>
        <w:rPr>
          <w:rFonts w:asciiTheme="minorBidi" w:hAnsiTheme="minorBidi" w:cstheme="minorBidi"/>
          <w:sz w:val="24"/>
          <w:szCs w:val="24"/>
          <w:lang w:val="en-GB"/>
        </w:rPr>
      </w:pPr>
      <w:r>
        <w:rPr>
          <w:rFonts w:asciiTheme="minorBidi" w:hAnsiTheme="minorBidi" w:cstheme="minorBidi"/>
          <w:sz w:val="24"/>
          <w:szCs w:val="24"/>
          <w:lang w:val="en-GB"/>
        </w:rPr>
        <w:t>[14]</w:t>
      </w:r>
      <w:r>
        <w:rPr>
          <w:rFonts w:asciiTheme="minorBidi" w:hAnsiTheme="minorBidi" w:cstheme="minorBidi"/>
          <w:sz w:val="24"/>
          <w:szCs w:val="24"/>
          <w:lang w:val="en-GB"/>
        </w:rPr>
        <w:tab/>
      </w:r>
      <w:r w:rsidR="0007329B" w:rsidRPr="0007329B">
        <w:rPr>
          <w:rFonts w:asciiTheme="minorBidi" w:hAnsiTheme="minorBidi" w:cstheme="minorBidi"/>
          <w:sz w:val="24"/>
          <w:szCs w:val="24"/>
          <w:lang w:val="en-GB"/>
        </w:rPr>
        <w:t xml:space="preserve">E. Estrin, </w:t>
      </w:r>
      <w:r w:rsidR="0007329B" w:rsidRPr="0007329B">
        <w:rPr>
          <w:rFonts w:asciiTheme="minorBidi" w:hAnsiTheme="minorBidi" w:cstheme="minorBidi"/>
          <w:i/>
          <w:iCs/>
          <w:sz w:val="24"/>
          <w:szCs w:val="24"/>
          <w:lang w:val="en-GB"/>
        </w:rPr>
        <w:t>Security for Cloud Native Applications: The Practical Guide for Securing Modern Applications Using AWS, Azure, and GCP. Sebastopol</w:t>
      </w:r>
      <w:r w:rsidR="0007329B" w:rsidRPr="0007329B">
        <w:rPr>
          <w:rFonts w:asciiTheme="minorBidi" w:hAnsiTheme="minorBidi" w:cstheme="minorBidi"/>
          <w:sz w:val="24"/>
          <w:szCs w:val="24"/>
          <w:lang w:val="en-GB"/>
        </w:rPr>
        <w:t>, CA, USA: O'Reilly Media, 2021.</w:t>
      </w:r>
    </w:p>
    <w:p w14:paraId="687F465C" w14:textId="77777777" w:rsidR="0007329B" w:rsidRPr="0007329B" w:rsidRDefault="0007329B" w:rsidP="0007329B">
      <w:pPr>
        <w:spacing w:line="360" w:lineRule="auto"/>
        <w:jc w:val="left"/>
        <w:rPr>
          <w:rFonts w:asciiTheme="minorBidi" w:hAnsiTheme="minorBidi" w:cstheme="minorBidi"/>
          <w:sz w:val="24"/>
          <w:szCs w:val="24"/>
          <w:lang w:val="en-GB"/>
        </w:rPr>
      </w:pPr>
    </w:p>
    <w:p w14:paraId="22C02AC1" w14:textId="16981548" w:rsidR="005D26C3" w:rsidRDefault="005D26C3" w:rsidP="0007329B">
      <w:pPr>
        <w:spacing w:line="360" w:lineRule="auto"/>
        <w:jc w:val="left"/>
        <w:rPr>
          <w:rFonts w:asciiTheme="minorBidi" w:hAnsiTheme="minorBidi" w:cstheme="minorBidi"/>
          <w:sz w:val="24"/>
          <w:szCs w:val="24"/>
          <w:lang w:val="en-GB"/>
        </w:rPr>
      </w:pPr>
    </w:p>
    <w:p w14:paraId="571AAB0F" w14:textId="77777777" w:rsidR="00B24766" w:rsidRPr="00B24766" w:rsidRDefault="00B24766" w:rsidP="00B24766">
      <w:pPr>
        <w:rPr>
          <w:rFonts w:asciiTheme="minorBidi" w:hAnsiTheme="minorBidi" w:cstheme="minorBidi"/>
          <w:sz w:val="24"/>
          <w:szCs w:val="24"/>
          <w:lang w:val="en-GB"/>
        </w:rPr>
      </w:pPr>
    </w:p>
    <w:p w14:paraId="577ED4C9" w14:textId="77777777" w:rsidR="00B24766" w:rsidRPr="00B24766" w:rsidRDefault="00B24766" w:rsidP="00B24766">
      <w:pPr>
        <w:rPr>
          <w:rFonts w:asciiTheme="minorBidi" w:hAnsiTheme="minorBidi" w:cstheme="minorBidi"/>
          <w:sz w:val="24"/>
          <w:szCs w:val="24"/>
          <w:lang w:val="en-GB"/>
        </w:rPr>
      </w:pPr>
    </w:p>
    <w:p w14:paraId="5CEBA77F" w14:textId="77777777" w:rsidR="00B24766" w:rsidRPr="00B24766" w:rsidRDefault="00B24766" w:rsidP="00B24766">
      <w:pPr>
        <w:rPr>
          <w:rFonts w:asciiTheme="minorBidi" w:hAnsiTheme="minorBidi" w:cstheme="minorBidi"/>
          <w:sz w:val="24"/>
          <w:szCs w:val="24"/>
          <w:lang w:val="en-GB"/>
        </w:rPr>
      </w:pPr>
    </w:p>
    <w:p w14:paraId="3B193200" w14:textId="77777777" w:rsidR="00B24766" w:rsidRPr="00B24766" w:rsidRDefault="00B24766" w:rsidP="00B24766">
      <w:pPr>
        <w:rPr>
          <w:rFonts w:asciiTheme="minorBidi" w:hAnsiTheme="minorBidi" w:cstheme="minorBidi"/>
          <w:sz w:val="24"/>
          <w:szCs w:val="24"/>
          <w:lang w:val="en-GB"/>
        </w:rPr>
      </w:pPr>
    </w:p>
    <w:p w14:paraId="239B197B" w14:textId="77777777" w:rsidR="00B24766" w:rsidRPr="00B24766" w:rsidRDefault="00B24766" w:rsidP="00B24766">
      <w:pPr>
        <w:rPr>
          <w:rFonts w:asciiTheme="minorBidi" w:hAnsiTheme="minorBidi" w:cstheme="minorBidi"/>
          <w:sz w:val="24"/>
          <w:szCs w:val="24"/>
          <w:lang w:val="en-GB"/>
        </w:rPr>
      </w:pPr>
    </w:p>
    <w:p w14:paraId="34927012" w14:textId="77777777" w:rsidR="00B24766" w:rsidRPr="00B24766" w:rsidRDefault="00B24766" w:rsidP="00B24766">
      <w:pPr>
        <w:rPr>
          <w:rFonts w:asciiTheme="minorBidi" w:hAnsiTheme="minorBidi" w:cstheme="minorBidi"/>
          <w:sz w:val="24"/>
          <w:szCs w:val="24"/>
          <w:lang w:val="en-GB"/>
        </w:rPr>
      </w:pPr>
    </w:p>
    <w:p w14:paraId="33277BEB" w14:textId="77777777" w:rsidR="00B24766" w:rsidRDefault="00B24766" w:rsidP="00B24766">
      <w:pPr>
        <w:rPr>
          <w:rFonts w:asciiTheme="minorBidi" w:hAnsiTheme="minorBidi" w:cstheme="minorBidi"/>
          <w:sz w:val="24"/>
          <w:szCs w:val="24"/>
          <w:lang w:val="en-GB"/>
        </w:rPr>
      </w:pPr>
    </w:p>
    <w:p w14:paraId="3210B29A" w14:textId="5B3BBDBB" w:rsidR="00B24766" w:rsidRPr="00B24766" w:rsidRDefault="00B24766" w:rsidP="00B24766">
      <w:pPr>
        <w:tabs>
          <w:tab w:val="left" w:pos="3204"/>
          <w:tab w:val="center" w:pos="5060"/>
        </w:tabs>
        <w:jc w:val="left"/>
        <w:rPr>
          <w:rFonts w:asciiTheme="minorBidi" w:hAnsiTheme="minorBidi" w:cstheme="minorBidi"/>
          <w:sz w:val="24"/>
          <w:szCs w:val="24"/>
          <w:lang w:val="en-GB"/>
        </w:rPr>
      </w:pPr>
      <w:r>
        <w:rPr>
          <w:rFonts w:asciiTheme="minorBidi" w:hAnsiTheme="minorBidi" w:cstheme="minorBidi"/>
          <w:sz w:val="24"/>
          <w:szCs w:val="24"/>
          <w:lang w:val="en-GB"/>
        </w:rPr>
        <w:tab/>
      </w:r>
      <w:r>
        <w:rPr>
          <w:rFonts w:asciiTheme="minorBidi" w:hAnsiTheme="minorBidi" w:cstheme="minorBidi"/>
          <w:sz w:val="24"/>
          <w:szCs w:val="24"/>
          <w:lang w:val="en-GB"/>
        </w:rPr>
        <w:tab/>
      </w:r>
      <w:r>
        <w:rPr>
          <w:rFonts w:asciiTheme="minorBidi" w:hAnsiTheme="minorBidi" w:cstheme="minorBidi"/>
          <w:sz w:val="24"/>
          <w:szCs w:val="24"/>
          <w:lang w:val="en-GB"/>
        </w:rPr>
        <w:tab/>
      </w:r>
      <w:r>
        <w:rPr>
          <w:rFonts w:asciiTheme="minorBidi" w:hAnsiTheme="minorBidi" w:cstheme="minorBidi"/>
          <w:sz w:val="24"/>
          <w:szCs w:val="24"/>
          <w:lang w:val="en-GB"/>
        </w:rPr>
        <w:tab/>
      </w:r>
    </w:p>
    <w:sectPr w:rsidR="00B24766" w:rsidRPr="00B24766" w:rsidSect="00E93AD5">
      <w:type w:val="continuous"/>
      <w:pgSz w:w="11906" w:h="16838" w:code="9"/>
      <w:pgMar w:top="450" w:right="893" w:bottom="1440" w:left="893" w:header="720" w:footer="720" w:gutter="0"/>
      <w:pgBorders w:offsetFrom="page">
        <w:top w:val="dashDotStroked" w:sz="24" w:space="24" w:color="074F6A" w:themeColor="accent4" w:themeShade="80"/>
        <w:left w:val="dashDotStroked" w:sz="24" w:space="24" w:color="074F6A" w:themeColor="accent4" w:themeShade="80"/>
        <w:bottom w:val="dashDotStroked" w:sz="24" w:space="24" w:color="074F6A" w:themeColor="accent4" w:themeShade="80"/>
        <w:right w:val="dashDotStroked" w:sz="24" w:space="24" w:color="074F6A" w:themeColor="accent4" w:themeShade="80"/>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A2D83E" w14:textId="77777777" w:rsidR="00BC0CDE" w:rsidRDefault="00BC0CDE" w:rsidP="004D5888">
      <w:r>
        <w:separator/>
      </w:r>
    </w:p>
  </w:endnote>
  <w:endnote w:type="continuationSeparator" w:id="0">
    <w:p w14:paraId="230E4D46" w14:textId="77777777" w:rsidR="00BC0CDE" w:rsidRDefault="00BC0CDE" w:rsidP="004D58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2453974"/>
      <w:docPartObj>
        <w:docPartGallery w:val="Page Numbers (Bottom of Page)"/>
        <w:docPartUnique/>
      </w:docPartObj>
    </w:sdtPr>
    <w:sdtEndPr>
      <w:rPr>
        <w:noProof/>
      </w:rPr>
    </w:sdtEndPr>
    <w:sdtContent>
      <w:p w14:paraId="35C2E4C8" w14:textId="77777777" w:rsidR="004D5888" w:rsidRDefault="004D5888">
        <w:pPr>
          <w:pStyle w:val="Footer"/>
        </w:pPr>
        <w:r>
          <w:fldChar w:fldCharType="begin"/>
        </w:r>
        <w:r>
          <w:instrText xml:space="preserve"> PAGE   \* MERGEFORMAT </w:instrText>
        </w:r>
        <w:r>
          <w:fldChar w:fldCharType="separate"/>
        </w:r>
        <w:r>
          <w:rPr>
            <w:noProof/>
          </w:rPr>
          <w:t>2</w:t>
        </w:r>
        <w:r>
          <w:rPr>
            <w:noProof/>
          </w:rPr>
          <w:fldChar w:fldCharType="end"/>
        </w:r>
      </w:p>
    </w:sdtContent>
  </w:sdt>
  <w:p w14:paraId="10CF9BB5" w14:textId="77777777" w:rsidR="004D5888" w:rsidRDefault="004D58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EA21F" w14:textId="77777777" w:rsidR="00BC0CDE" w:rsidRDefault="00BC0CDE" w:rsidP="004D5888">
      <w:r>
        <w:separator/>
      </w:r>
    </w:p>
  </w:footnote>
  <w:footnote w:type="continuationSeparator" w:id="0">
    <w:p w14:paraId="17C170F1" w14:textId="77777777" w:rsidR="00BC0CDE" w:rsidRDefault="00BC0CDE" w:rsidP="004D58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436E32" w14:textId="43434DC7" w:rsidR="004D5888" w:rsidRDefault="009931AE">
    <w:pPr>
      <w:pStyle w:val="Header"/>
    </w:pPr>
    <w:r>
      <w:t xml:space="preserve"> </w:t>
    </w:r>
  </w:p>
  <w:p w14:paraId="232F67F5" w14:textId="080BA1CD" w:rsidR="004D5888" w:rsidRDefault="009931AE">
    <w:pPr>
      <w:pStyle w:val="Header"/>
    </w:pP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FB58BF" w14:textId="2F0D6185" w:rsidR="004D5888" w:rsidRDefault="004D5888" w:rsidP="004D5888">
    <w:pPr>
      <w:pStyle w:val="Header"/>
      <w:jc w:val="left"/>
    </w:pPr>
    <w:r>
      <w:t xml:space="preserve">Student Name: Nasira Perveen </w:t>
    </w:r>
    <w:r>
      <w:tab/>
    </w:r>
    <w:r>
      <w:tab/>
      <w:t>Id: 2331267</w:t>
    </w:r>
  </w:p>
  <w:p w14:paraId="628880BC" w14:textId="77777777" w:rsidR="004D5888" w:rsidRDefault="004D588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9C1484"/>
    <w:multiLevelType w:val="multilevel"/>
    <w:tmpl w:val="898A00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1766A5"/>
    <w:multiLevelType w:val="multilevel"/>
    <w:tmpl w:val="3DDC9D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C337D0F"/>
    <w:multiLevelType w:val="multilevel"/>
    <w:tmpl w:val="EF8C98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0C13F2"/>
    <w:multiLevelType w:val="multilevel"/>
    <w:tmpl w:val="BDB0C4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5"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F802154"/>
    <w:multiLevelType w:val="multilevel"/>
    <w:tmpl w:val="AD4834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DA5DCC"/>
    <w:multiLevelType w:val="multilevel"/>
    <w:tmpl w:val="3D403B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0" w15:restartNumberingAfterBreak="0">
    <w:nsid w:val="534C5EFB"/>
    <w:multiLevelType w:val="multilevel"/>
    <w:tmpl w:val="31168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05E3454"/>
    <w:multiLevelType w:val="multilevel"/>
    <w:tmpl w:val="573AB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F11B9F"/>
    <w:multiLevelType w:val="multilevel"/>
    <w:tmpl w:val="A26446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4A31C16"/>
    <w:multiLevelType w:val="multilevel"/>
    <w:tmpl w:val="7AC44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986C86"/>
    <w:multiLevelType w:val="multilevel"/>
    <w:tmpl w:val="34D0981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BDA46D8"/>
    <w:multiLevelType w:val="multilevel"/>
    <w:tmpl w:val="FAE86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7"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8" w15:restartNumberingAfterBreak="0">
    <w:nsid w:val="70F07863"/>
    <w:multiLevelType w:val="multilevel"/>
    <w:tmpl w:val="83DAB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4703BD5"/>
    <w:multiLevelType w:val="multilevel"/>
    <w:tmpl w:val="5686B4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69F111C"/>
    <w:multiLevelType w:val="multilevel"/>
    <w:tmpl w:val="1C707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F9E182D"/>
    <w:multiLevelType w:val="multilevel"/>
    <w:tmpl w:val="314A6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69909383">
    <w:abstractNumId w:val="5"/>
  </w:num>
  <w:num w:numId="2" w16cid:durableId="568543031">
    <w:abstractNumId w:val="16"/>
  </w:num>
  <w:num w:numId="3" w16cid:durableId="1207790780">
    <w:abstractNumId w:val="4"/>
  </w:num>
  <w:num w:numId="4" w16cid:durableId="2088458160">
    <w:abstractNumId w:val="9"/>
  </w:num>
  <w:num w:numId="5" w16cid:durableId="231694775">
    <w:abstractNumId w:val="17"/>
  </w:num>
  <w:num w:numId="6" w16cid:durableId="276639338">
    <w:abstractNumId w:val="6"/>
  </w:num>
  <w:num w:numId="7" w16cid:durableId="1601722923">
    <w:abstractNumId w:val="15"/>
  </w:num>
  <w:num w:numId="8" w16cid:durableId="826365580">
    <w:abstractNumId w:val="12"/>
  </w:num>
  <w:num w:numId="9" w16cid:durableId="1478372905">
    <w:abstractNumId w:val="21"/>
  </w:num>
  <w:num w:numId="10" w16cid:durableId="1810515814">
    <w:abstractNumId w:val="13"/>
  </w:num>
  <w:num w:numId="11" w16cid:durableId="1378118359">
    <w:abstractNumId w:val="14"/>
  </w:num>
  <w:num w:numId="12" w16cid:durableId="989673679">
    <w:abstractNumId w:val="1"/>
  </w:num>
  <w:num w:numId="13" w16cid:durableId="137961937">
    <w:abstractNumId w:val="2"/>
  </w:num>
  <w:num w:numId="14" w16cid:durableId="967201209">
    <w:abstractNumId w:val="10"/>
  </w:num>
  <w:num w:numId="15" w16cid:durableId="692146662">
    <w:abstractNumId w:val="19"/>
  </w:num>
  <w:num w:numId="16" w16cid:durableId="1764182145">
    <w:abstractNumId w:val="8"/>
  </w:num>
  <w:num w:numId="17" w16cid:durableId="391195143">
    <w:abstractNumId w:val="7"/>
  </w:num>
  <w:num w:numId="18" w16cid:durableId="947084270">
    <w:abstractNumId w:val="0"/>
  </w:num>
  <w:num w:numId="19" w16cid:durableId="609582127">
    <w:abstractNumId w:val="18"/>
  </w:num>
  <w:num w:numId="20" w16cid:durableId="1853448764">
    <w:abstractNumId w:val="11"/>
  </w:num>
  <w:num w:numId="21" w16cid:durableId="1730880804">
    <w:abstractNumId w:val="20"/>
  </w:num>
  <w:num w:numId="22" w16cid:durableId="2033411770">
    <w:abstractNumId w:val="3"/>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888"/>
    <w:rsid w:val="00002BF4"/>
    <w:rsid w:val="00017994"/>
    <w:rsid w:val="00020CB7"/>
    <w:rsid w:val="00047219"/>
    <w:rsid w:val="0007329B"/>
    <w:rsid w:val="00085894"/>
    <w:rsid w:val="000A2AFD"/>
    <w:rsid w:val="000B261A"/>
    <w:rsid w:val="000B56C6"/>
    <w:rsid w:val="000C71F3"/>
    <w:rsid w:val="000C74D7"/>
    <w:rsid w:val="000D41F1"/>
    <w:rsid w:val="0010312D"/>
    <w:rsid w:val="00127E51"/>
    <w:rsid w:val="0016321C"/>
    <w:rsid w:val="00171A25"/>
    <w:rsid w:val="001B08FD"/>
    <w:rsid w:val="001C2A4F"/>
    <w:rsid w:val="001C52D9"/>
    <w:rsid w:val="001E06C1"/>
    <w:rsid w:val="001E3372"/>
    <w:rsid w:val="001F1ABC"/>
    <w:rsid w:val="001F2ED2"/>
    <w:rsid w:val="002160F8"/>
    <w:rsid w:val="00245CAF"/>
    <w:rsid w:val="00256547"/>
    <w:rsid w:val="002B15C2"/>
    <w:rsid w:val="002C5BF2"/>
    <w:rsid w:val="002E21F9"/>
    <w:rsid w:val="002F1459"/>
    <w:rsid w:val="00346AA3"/>
    <w:rsid w:val="0035259A"/>
    <w:rsid w:val="00352900"/>
    <w:rsid w:val="003741F5"/>
    <w:rsid w:val="00380418"/>
    <w:rsid w:val="00380DAC"/>
    <w:rsid w:val="00387372"/>
    <w:rsid w:val="003A1F32"/>
    <w:rsid w:val="003B169F"/>
    <w:rsid w:val="003D7E97"/>
    <w:rsid w:val="003E2A90"/>
    <w:rsid w:val="003F72E2"/>
    <w:rsid w:val="00400989"/>
    <w:rsid w:val="00411FCF"/>
    <w:rsid w:val="004228DA"/>
    <w:rsid w:val="00433292"/>
    <w:rsid w:val="00455538"/>
    <w:rsid w:val="00463B1C"/>
    <w:rsid w:val="00464C0B"/>
    <w:rsid w:val="004C1147"/>
    <w:rsid w:val="004D133D"/>
    <w:rsid w:val="004D5888"/>
    <w:rsid w:val="004F1D36"/>
    <w:rsid w:val="00530375"/>
    <w:rsid w:val="00534E0B"/>
    <w:rsid w:val="00540908"/>
    <w:rsid w:val="00545A34"/>
    <w:rsid w:val="00562106"/>
    <w:rsid w:val="00586CAB"/>
    <w:rsid w:val="005903C1"/>
    <w:rsid w:val="00594980"/>
    <w:rsid w:val="005C4806"/>
    <w:rsid w:val="005D24FC"/>
    <w:rsid w:val="005D26C3"/>
    <w:rsid w:val="005D66BB"/>
    <w:rsid w:val="005E0081"/>
    <w:rsid w:val="005F58F2"/>
    <w:rsid w:val="00602952"/>
    <w:rsid w:val="0061728A"/>
    <w:rsid w:val="00627A46"/>
    <w:rsid w:val="006346DB"/>
    <w:rsid w:val="0064550E"/>
    <w:rsid w:val="006A66BC"/>
    <w:rsid w:val="006B7220"/>
    <w:rsid w:val="006C11E3"/>
    <w:rsid w:val="006C3729"/>
    <w:rsid w:val="006D6DF6"/>
    <w:rsid w:val="007028A8"/>
    <w:rsid w:val="00717E73"/>
    <w:rsid w:val="00756337"/>
    <w:rsid w:val="00757623"/>
    <w:rsid w:val="007663D0"/>
    <w:rsid w:val="00773661"/>
    <w:rsid w:val="00775562"/>
    <w:rsid w:val="007B18E0"/>
    <w:rsid w:val="007B1DE7"/>
    <w:rsid w:val="007C29EB"/>
    <w:rsid w:val="007C6FCE"/>
    <w:rsid w:val="007D334C"/>
    <w:rsid w:val="007E472C"/>
    <w:rsid w:val="007F452A"/>
    <w:rsid w:val="00815A58"/>
    <w:rsid w:val="0081780D"/>
    <w:rsid w:val="0082506C"/>
    <w:rsid w:val="00833423"/>
    <w:rsid w:val="00847D7A"/>
    <w:rsid w:val="0088519D"/>
    <w:rsid w:val="00894EEF"/>
    <w:rsid w:val="008A61AB"/>
    <w:rsid w:val="008B4C7C"/>
    <w:rsid w:val="008C7018"/>
    <w:rsid w:val="008E25C5"/>
    <w:rsid w:val="00921B6F"/>
    <w:rsid w:val="009364D1"/>
    <w:rsid w:val="00943692"/>
    <w:rsid w:val="00947B34"/>
    <w:rsid w:val="00954C27"/>
    <w:rsid w:val="00960625"/>
    <w:rsid w:val="009931AE"/>
    <w:rsid w:val="009B57EA"/>
    <w:rsid w:val="009E2DC2"/>
    <w:rsid w:val="009E3CCB"/>
    <w:rsid w:val="009F5CAD"/>
    <w:rsid w:val="00A30C47"/>
    <w:rsid w:val="00A34459"/>
    <w:rsid w:val="00A7766A"/>
    <w:rsid w:val="00AA776B"/>
    <w:rsid w:val="00AB1872"/>
    <w:rsid w:val="00AC11D8"/>
    <w:rsid w:val="00AF22B6"/>
    <w:rsid w:val="00AF67C4"/>
    <w:rsid w:val="00B10B78"/>
    <w:rsid w:val="00B23D64"/>
    <w:rsid w:val="00B24766"/>
    <w:rsid w:val="00B75A36"/>
    <w:rsid w:val="00BB3230"/>
    <w:rsid w:val="00BC0CDE"/>
    <w:rsid w:val="00BD5F1D"/>
    <w:rsid w:val="00BD795C"/>
    <w:rsid w:val="00BE1B20"/>
    <w:rsid w:val="00BF2C7B"/>
    <w:rsid w:val="00C378D5"/>
    <w:rsid w:val="00CA4EC6"/>
    <w:rsid w:val="00CA5B49"/>
    <w:rsid w:val="00CB09B0"/>
    <w:rsid w:val="00D06AFC"/>
    <w:rsid w:val="00D84BDC"/>
    <w:rsid w:val="00DA79DB"/>
    <w:rsid w:val="00DA7B31"/>
    <w:rsid w:val="00DC6C9E"/>
    <w:rsid w:val="00E07735"/>
    <w:rsid w:val="00E55532"/>
    <w:rsid w:val="00E71D5E"/>
    <w:rsid w:val="00E91BF0"/>
    <w:rsid w:val="00E93AD5"/>
    <w:rsid w:val="00EA1F6C"/>
    <w:rsid w:val="00EA5EF2"/>
    <w:rsid w:val="00EE53FB"/>
    <w:rsid w:val="00EF4C5A"/>
    <w:rsid w:val="00F001EB"/>
    <w:rsid w:val="00F32B98"/>
    <w:rsid w:val="00F57888"/>
    <w:rsid w:val="00F70513"/>
    <w:rsid w:val="00FA0385"/>
    <w:rsid w:val="00FB67E9"/>
    <w:rsid w:val="00FC0F40"/>
    <w:rsid w:val="00FC5627"/>
    <w:rsid w:val="00FD572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4440C"/>
  <w15:chartTrackingRefBased/>
  <w15:docId w15:val="{0518DE9E-009D-494B-A05D-F4F8DFC7B4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0"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888"/>
    <w:pPr>
      <w:spacing w:after="0" w:line="240" w:lineRule="auto"/>
      <w:jc w:val="center"/>
    </w:pPr>
    <w:rPr>
      <w:rFonts w:ascii="Times New Roman" w:eastAsia="SimSun" w:hAnsi="Times New Roman" w:cs="Times New Roman"/>
      <w:kern w:val="0"/>
      <w:sz w:val="20"/>
      <w:szCs w:val="20"/>
      <w:lang w:val="en-US"/>
      <w14:ligatures w14:val="none"/>
    </w:rPr>
  </w:style>
  <w:style w:type="paragraph" w:styleId="Heading1">
    <w:name w:val="heading 1"/>
    <w:basedOn w:val="Normal"/>
    <w:next w:val="Normal"/>
    <w:link w:val="Heading1Char"/>
    <w:qFormat/>
    <w:rsid w:val="004D58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4D58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4D58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4D58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nhideWhenUsed/>
    <w:qFormat/>
    <w:rsid w:val="004D58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588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588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588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588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8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58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58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58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58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58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58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58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5888"/>
    <w:rPr>
      <w:rFonts w:eastAsiaTheme="majorEastAsia" w:cstheme="majorBidi"/>
      <w:color w:val="272727" w:themeColor="text1" w:themeTint="D8"/>
    </w:rPr>
  </w:style>
  <w:style w:type="paragraph" w:styleId="Title">
    <w:name w:val="Title"/>
    <w:basedOn w:val="Normal"/>
    <w:next w:val="Normal"/>
    <w:link w:val="TitleChar"/>
    <w:uiPriority w:val="10"/>
    <w:qFormat/>
    <w:rsid w:val="004D588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58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58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58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5888"/>
    <w:pPr>
      <w:spacing w:before="160"/>
    </w:pPr>
    <w:rPr>
      <w:i/>
      <w:iCs/>
      <w:color w:val="404040" w:themeColor="text1" w:themeTint="BF"/>
    </w:rPr>
  </w:style>
  <w:style w:type="character" w:customStyle="1" w:styleId="QuoteChar">
    <w:name w:val="Quote Char"/>
    <w:basedOn w:val="DefaultParagraphFont"/>
    <w:link w:val="Quote"/>
    <w:uiPriority w:val="29"/>
    <w:rsid w:val="004D5888"/>
    <w:rPr>
      <w:i/>
      <w:iCs/>
      <w:color w:val="404040" w:themeColor="text1" w:themeTint="BF"/>
    </w:rPr>
  </w:style>
  <w:style w:type="paragraph" w:styleId="ListParagraph">
    <w:name w:val="List Paragraph"/>
    <w:basedOn w:val="Normal"/>
    <w:uiPriority w:val="34"/>
    <w:qFormat/>
    <w:rsid w:val="004D5888"/>
    <w:pPr>
      <w:ind w:left="720"/>
      <w:contextualSpacing/>
    </w:pPr>
  </w:style>
  <w:style w:type="character" w:styleId="IntenseEmphasis">
    <w:name w:val="Intense Emphasis"/>
    <w:basedOn w:val="DefaultParagraphFont"/>
    <w:uiPriority w:val="21"/>
    <w:qFormat/>
    <w:rsid w:val="004D5888"/>
    <w:rPr>
      <w:i/>
      <w:iCs/>
      <w:color w:val="0F4761" w:themeColor="accent1" w:themeShade="BF"/>
    </w:rPr>
  </w:style>
  <w:style w:type="paragraph" w:styleId="IntenseQuote">
    <w:name w:val="Intense Quote"/>
    <w:basedOn w:val="Normal"/>
    <w:next w:val="Normal"/>
    <w:link w:val="IntenseQuoteChar"/>
    <w:uiPriority w:val="30"/>
    <w:qFormat/>
    <w:rsid w:val="004D5888"/>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4D5888"/>
    <w:rPr>
      <w:i/>
      <w:iCs/>
      <w:color w:val="0F4761" w:themeColor="accent1" w:themeShade="BF"/>
    </w:rPr>
  </w:style>
  <w:style w:type="character" w:styleId="IntenseReference">
    <w:name w:val="Intense Reference"/>
    <w:basedOn w:val="DefaultParagraphFont"/>
    <w:uiPriority w:val="32"/>
    <w:qFormat/>
    <w:rsid w:val="004D5888"/>
    <w:rPr>
      <w:b/>
      <w:bCs/>
      <w:smallCaps/>
      <w:color w:val="0F4761" w:themeColor="accent1" w:themeShade="BF"/>
      <w:spacing w:val="5"/>
    </w:rPr>
  </w:style>
  <w:style w:type="paragraph" w:customStyle="1" w:styleId="Abstract">
    <w:name w:val="Abstract"/>
    <w:rsid w:val="004D5888"/>
    <w:pPr>
      <w:spacing w:after="200" w:line="240" w:lineRule="auto"/>
      <w:ind w:firstLine="272"/>
      <w:jc w:val="both"/>
    </w:pPr>
    <w:rPr>
      <w:rFonts w:ascii="Times New Roman" w:eastAsia="SimSun" w:hAnsi="Times New Roman" w:cs="Times New Roman"/>
      <w:b/>
      <w:bCs/>
      <w:kern w:val="0"/>
      <w:sz w:val="18"/>
      <w:szCs w:val="18"/>
      <w:lang w:val="en-US"/>
      <w14:ligatures w14:val="none"/>
    </w:rPr>
  </w:style>
  <w:style w:type="paragraph" w:customStyle="1" w:styleId="Affiliation">
    <w:name w:val="Affiliation"/>
    <w:rsid w:val="004D5888"/>
    <w:pPr>
      <w:spacing w:after="0" w:line="240" w:lineRule="auto"/>
      <w:jc w:val="center"/>
    </w:pPr>
    <w:rPr>
      <w:rFonts w:ascii="Times New Roman" w:eastAsia="SimSun" w:hAnsi="Times New Roman" w:cs="Times New Roman"/>
      <w:kern w:val="0"/>
      <w:sz w:val="20"/>
      <w:szCs w:val="20"/>
      <w:lang w:val="en-US"/>
      <w14:ligatures w14:val="none"/>
    </w:rPr>
  </w:style>
  <w:style w:type="paragraph" w:customStyle="1" w:styleId="Author">
    <w:name w:val="Author"/>
    <w:rsid w:val="004D5888"/>
    <w:pPr>
      <w:spacing w:before="360" w:after="40" w:line="240" w:lineRule="auto"/>
      <w:jc w:val="center"/>
    </w:pPr>
    <w:rPr>
      <w:rFonts w:ascii="Times New Roman" w:eastAsia="SimSun" w:hAnsi="Times New Roman" w:cs="Times New Roman"/>
      <w:noProof/>
      <w:kern w:val="0"/>
      <w:sz w:val="22"/>
      <w:szCs w:val="22"/>
      <w:lang w:val="en-US"/>
      <w14:ligatures w14:val="none"/>
    </w:rPr>
  </w:style>
  <w:style w:type="paragraph" w:styleId="BodyText">
    <w:name w:val="Body Text"/>
    <w:basedOn w:val="Normal"/>
    <w:link w:val="BodyTextChar"/>
    <w:rsid w:val="004D5888"/>
    <w:pPr>
      <w:tabs>
        <w:tab w:val="left" w:pos="288"/>
      </w:tabs>
      <w:spacing w:after="120" w:line="228" w:lineRule="auto"/>
      <w:ind w:firstLine="288"/>
      <w:jc w:val="both"/>
    </w:pPr>
    <w:rPr>
      <w:spacing w:val="-1"/>
      <w:lang w:val="x-none" w:eastAsia="x-none"/>
    </w:rPr>
  </w:style>
  <w:style w:type="character" w:customStyle="1" w:styleId="BodyTextChar">
    <w:name w:val="Body Text Char"/>
    <w:basedOn w:val="DefaultParagraphFont"/>
    <w:link w:val="BodyText"/>
    <w:rsid w:val="004D5888"/>
    <w:rPr>
      <w:rFonts w:ascii="Times New Roman" w:eastAsia="SimSun" w:hAnsi="Times New Roman" w:cs="Times New Roman"/>
      <w:spacing w:val="-1"/>
      <w:kern w:val="0"/>
      <w:sz w:val="20"/>
      <w:szCs w:val="20"/>
      <w:lang w:val="x-none" w:eastAsia="x-none"/>
      <w14:ligatures w14:val="none"/>
    </w:rPr>
  </w:style>
  <w:style w:type="paragraph" w:customStyle="1" w:styleId="bulletlist">
    <w:name w:val="bullet list"/>
    <w:basedOn w:val="BodyText"/>
    <w:rsid w:val="004D5888"/>
    <w:pPr>
      <w:numPr>
        <w:numId w:val="1"/>
      </w:numPr>
      <w:tabs>
        <w:tab w:val="clear" w:pos="648"/>
      </w:tabs>
      <w:ind w:left="576" w:hanging="288"/>
    </w:pPr>
  </w:style>
  <w:style w:type="paragraph" w:customStyle="1" w:styleId="equation">
    <w:name w:val="equation"/>
    <w:basedOn w:val="Normal"/>
    <w:rsid w:val="004D5888"/>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4D5888"/>
    <w:pPr>
      <w:numPr>
        <w:numId w:val="2"/>
      </w:numPr>
      <w:tabs>
        <w:tab w:val="left" w:pos="533"/>
      </w:tabs>
      <w:spacing w:before="80" w:after="200" w:line="240" w:lineRule="auto"/>
      <w:ind w:left="0" w:firstLine="0"/>
      <w:jc w:val="both"/>
    </w:pPr>
    <w:rPr>
      <w:rFonts w:ascii="Times New Roman" w:eastAsia="SimSun" w:hAnsi="Times New Roman" w:cs="Times New Roman"/>
      <w:noProof/>
      <w:kern w:val="0"/>
      <w:sz w:val="16"/>
      <w:szCs w:val="16"/>
      <w:lang w:val="en-US"/>
      <w14:ligatures w14:val="none"/>
    </w:rPr>
  </w:style>
  <w:style w:type="paragraph" w:customStyle="1" w:styleId="footnote">
    <w:name w:val="footnote"/>
    <w:rsid w:val="004D5888"/>
    <w:pPr>
      <w:framePr w:hSpace="187" w:vSpace="187" w:wrap="notBeside" w:vAnchor="text" w:hAnchor="page" w:x="6121" w:y="577"/>
      <w:numPr>
        <w:numId w:val="3"/>
      </w:numPr>
      <w:spacing w:after="40" w:line="240" w:lineRule="auto"/>
    </w:pPr>
    <w:rPr>
      <w:rFonts w:ascii="Times New Roman" w:eastAsia="SimSun" w:hAnsi="Times New Roman" w:cs="Times New Roman"/>
      <w:kern w:val="0"/>
      <w:sz w:val="16"/>
      <w:szCs w:val="16"/>
      <w:lang w:val="en-US"/>
      <w14:ligatures w14:val="none"/>
    </w:rPr>
  </w:style>
  <w:style w:type="paragraph" w:customStyle="1" w:styleId="papersubtitle">
    <w:name w:val="paper subtitle"/>
    <w:rsid w:val="004D5888"/>
    <w:pPr>
      <w:spacing w:after="120" w:line="240" w:lineRule="auto"/>
      <w:jc w:val="center"/>
    </w:pPr>
    <w:rPr>
      <w:rFonts w:ascii="Times New Roman" w:eastAsia="MS Mincho" w:hAnsi="Times New Roman" w:cs="Times New Roman"/>
      <w:noProof/>
      <w:kern w:val="0"/>
      <w:sz w:val="28"/>
      <w:szCs w:val="28"/>
      <w:lang w:val="en-US"/>
      <w14:ligatures w14:val="none"/>
    </w:rPr>
  </w:style>
  <w:style w:type="paragraph" w:customStyle="1" w:styleId="papertitle">
    <w:name w:val="paper title"/>
    <w:rsid w:val="004D5888"/>
    <w:pPr>
      <w:spacing w:after="120" w:line="240" w:lineRule="auto"/>
      <w:jc w:val="center"/>
    </w:pPr>
    <w:rPr>
      <w:rFonts w:ascii="Times New Roman" w:eastAsia="MS Mincho" w:hAnsi="Times New Roman" w:cs="Times New Roman"/>
      <w:noProof/>
      <w:kern w:val="0"/>
      <w:sz w:val="48"/>
      <w:szCs w:val="48"/>
      <w:lang w:val="en-US"/>
      <w14:ligatures w14:val="none"/>
    </w:rPr>
  </w:style>
  <w:style w:type="paragraph" w:customStyle="1" w:styleId="references">
    <w:name w:val="references"/>
    <w:rsid w:val="004D5888"/>
    <w:pPr>
      <w:numPr>
        <w:numId w:val="4"/>
      </w:numPr>
      <w:spacing w:after="50" w:line="180" w:lineRule="exact"/>
      <w:jc w:val="both"/>
    </w:pPr>
    <w:rPr>
      <w:rFonts w:ascii="Times New Roman" w:eastAsia="MS Mincho" w:hAnsi="Times New Roman" w:cs="Times New Roman"/>
      <w:noProof/>
      <w:kern w:val="0"/>
      <w:sz w:val="16"/>
      <w:szCs w:val="16"/>
      <w:lang w:val="en-US"/>
      <w14:ligatures w14:val="none"/>
    </w:rPr>
  </w:style>
  <w:style w:type="paragraph" w:customStyle="1" w:styleId="sponsors">
    <w:name w:val="sponsors"/>
    <w:rsid w:val="004D5888"/>
    <w:pPr>
      <w:framePr w:wrap="auto" w:hAnchor="text" w:x="615" w:y="2239"/>
      <w:pBdr>
        <w:top w:val="single" w:sz="4" w:space="2" w:color="auto"/>
      </w:pBdr>
      <w:spacing w:after="0" w:line="240" w:lineRule="auto"/>
      <w:ind w:firstLine="288"/>
    </w:pPr>
    <w:rPr>
      <w:rFonts w:ascii="Times New Roman" w:eastAsia="SimSun" w:hAnsi="Times New Roman" w:cs="Times New Roman"/>
      <w:kern w:val="0"/>
      <w:sz w:val="16"/>
      <w:szCs w:val="16"/>
      <w:lang w:val="en-US"/>
      <w14:ligatures w14:val="none"/>
    </w:rPr>
  </w:style>
  <w:style w:type="paragraph" w:customStyle="1" w:styleId="tablecolhead">
    <w:name w:val="table col head"/>
    <w:basedOn w:val="Normal"/>
    <w:rsid w:val="004D5888"/>
    <w:rPr>
      <w:b/>
      <w:bCs/>
      <w:sz w:val="16"/>
      <w:szCs w:val="16"/>
    </w:rPr>
  </w:style>
  <w:style w:type="paragraph" w:customStyle="1" w:styleId="tablecolsubhead">
    <w:name w:val="table col subhead"/>
    <w:basedOn w:val="tablecolhead"/>
    <w:rsid w:val="004D5888"/>
    <w:rPr>
      <w:i/>
      <w:iCs/>
      <w:sz w:val="15"/>
      <w:szCs w:val="15"/>
    </w:rPr>
  </w:style>
  <w:style w:type="paragraph" w:customStyle="1" w:styleId="tablecopy">
    <w:name w:val="table copy"/>
    <w:rsid w:val="004D5888"/>
    <w:pPr>
      <w:spacing w:after="0" w:line="240" w:lineRule="auto"/>
      <w:jc w:val="both"/>
    </w:pPr>
    <w:rPr>
      <w:rFonts w:ascii="Times New Roman" w:eastAsia="SimSun" w:hAnsi="Times New Roman" w:cs="Times New Roman"/>
      <w:noProof/>
      <w:kern w:val="0"/>
      <w:sz w:val="16"/>
      <w:szCs w:val="16"/>
      <w:lang w:val="en-US"/>
      <w14:ligatures w14:val="none"/>
    </w:rPr>
  </w:style>
  <w:style w:type="paragraph" w:customStyle="1" w:styleId="tablefootnote">
    <w:name w:val="table footnote"/>
    <w:rsid w:val="004D5888"/>
    <w:pPr>
      <w:numPr>
        <w:numId w:val="6"/>
      </w:numPr>
      <w:spacing w:before="60" w:after="30" w:line="240" w:lineRule="auto"/>
      <w:ind w:left="58" w:hanging="29"/>
      <w:jc w:val="right"/>
    </w:pPr>
    <w:rPr>
      <w:rFonts w:ascii="Times New Roman" w:eastAsia="SimSun" w:hAnsi="Times New Roman" w:cs="Times New Roman"/>
      <w:kern w:val="0"/>
      <w:sz w:val="12"/>
      <w:szCs w:val="12"/>
      <w:lang w:val="en-US"/>
      <w14:ligatures w14:val="none"/>
    </w:rPr>
  </w:style>
  <w:style w:type="paragraph" w:customStyle="1" w:styleId="tablehead">
    <w:name w:val="table head"/>
    <w:rsid w:val="004D5888"/>
    <w:pPr>
      <w:numPr>
        <w:numId w:val="5"/>
      </w:numPr>
      <w:spacing w:before="240" w:after="120" w:line="216" w:lineRule="auto"/>
      <w:jc w:val="center"/>
    </w:pPr>
    <w:rPr>
      <w:rFonts w:ascii="Times New Roman" w:eastAsia="SimSun" w:hAnsi="Times New Roman" w:cs="Times New Roman"/>
      <w:smallCaps/>
      <w:noProof/>
      <w:kern w:val="0"/>
      <w:sz w:val="16"/>
      <w:szCs w:val="16"/>
      <w:lang w:val="en-US"/>
      <w14:ligatures w14:val="none"/>
    </w:rPr>
  </w:style>
  <w:style w:type="paragraph" w:customStyle="1" w:styleId="Keywords">
    <w:name w:val="Keywords"/>
    <w:basedOn w:val="Abstract"/>
    <w:qFormat/>
    <w:rsid w:val="004D5888"/>
    <w:pPr>
      <w:spacing w:after="120"/>
      <w:ind w:firstLine="274"/>
    </w:pPr>
    <w:rPr>
      <w:i/>
    </w:rPr>
  </w:style>
  <w:style w:type="paragraph" w:styleId="Header">
    <w:name w:val="header"/>
    <w:basedOn w:val="Normal"/>
    <w:link w:val="HeaderChar"/>
    <w:uiPriority w:val="99"/>
    <w:rsid w:val="004D5888"/>
    <w:pPr>
      <w:tabs>
        <w:tab w:val="center" w:pos="4680"/>
        <w:tab w:val="right" w:pos="9360"/>
      </w:tabs>
    </w:pPr>
  </w:style>
  <w:style w:type="character" w:customStyle="1" w:styleId="HeaderChar">
    <w:name w:val="Header Char"/>
    <w:basedOn w:val="DefaultParagraphFont"/>
    <w:link w:val="Header"/>
    <w:uiPriority w:val="99"/>
    <w:rsid w:val="004D5888"/>
    <w:rPr>
      <w:rFonts w:ascii="Times New Roman" w:eastAsia="SimSun" w:hAnsi="Times New Roman" w:cs="Times New Roman"/>
      <w:kern w:val="0"/>
      <w:sz w:val="20"/>
      <w:szCs w:val="20"/>
      <w:lang w:val="en-US"/>
      <w14:ligatures w14:val="none"/>
    </w:rPr>
  </w:style>
  <w:style w:type="paragraph" w:styleId="Footer">
    <w:name w:val="footer"/>
    <w:basedOn w:val="Normal"/>
    <w:link w:val="FooterChar"/>
    <w:uiPriority w:val="99"/>
    <w:rsid w:val="004D5888"/>
    <w:pPr>
      <w:tabs>
        <w:tab w:val="center" w:pos="4680"/>
        <w:tab w:val="right" w:pos="9360"/>
      </w:tabs>
    </w:pPr>
  </w:style>
  <w:style w:type="character" w:customStyle="1" w:styleId="FooterChar">
    <w:name w:val="Footer Char"/>
    <w:basedOn w:val="DefaultParagraphFont"/>
    <w:link w:val="Footer"/>
    <w:uiPriority w:val="99"/>
    <w:rsid w:val="004D5888"/>
    <w:rPr>
      <w:rFonts w:ascii="Times New Roman" w:eastAsia="SimSun" w:hAnsi="Times New Roman" w:cs="Times New Roman"/>
      <w:kern w:val="0"/>
      <w:sz w:val="20"/>
      <w:szCs w:val="20"/>
      <w:lang w:val="en-US"/>
      <w14:ligatures w14:val="none"/>
    </w:rPr>
  </w:style>
  <w:style w:type="paragraph" w:styleId="Caption">
    <w:name w:val="caption"/>
    <w:basedOn w:val="Normal"/>
    <w:next w:val="Normal"/>
    <w:unhideWhenUsed/>
    <w:qFormat/>
    <w:rsid w:val="004D5888"/>
    <w:pPr>
      <w:spacing w:after="200"/>
    </w:pPr>
    <w:rPr>
      <w:i/>
      <w:iCs/>
      <w:color w:val="0E2841" w:themeColor="text2"/>
      <w:sz w:val="18"/>
      <w:szCs w:val="18"/>
    </w:rPr>
  </w:style>
  <w:style w:type="character" w:styleId="Hyperlink">
    <w:name w:val="Hyperlink"/>
    <w:basedOn w:val="DefaultParagraphFont"/>
    <w:uiPriority w:val="99"/>
    <w:rsid w:val="004D5888"/>
    <w:rPr>
      <w:color w:val="467886" w:themeColor="hyperlink"/>
      <w:u w:val="single"/>
    </w:rPr>
  </w:style>
  <w:style w:type="character" w:styleId="UnresolvedMention">
    <w:name w:val="Unresolved Mention"/>
    <w:basedOn w:val="DefaultParagraphFont"/>
    <w:uiPriority w:val="99"/>
    <w:semiHidden/>
    <w:unhideWhenUsed/>
    <w:rsid w:val="004D5888"/>
    <w:rPr>
      <w:color w:val="605E5C"/>
      <w:shd w:val="clear" w:color="auto" w:fill="E1DFDD"/>
    </w:rPr>
  </w:style>
  <w:style w:type="paragraph" w:styleId="HTMLPreformatted">
    <w:name w:val="HTML Preformatted"/>
    <w:basedOn w:val="Normal"/>
    <w:link w:val="HTMLPreformattedChar"/>
    <w:rsid w:val="004D5888"/>
    <w:rPr>
      <w:rFonts w:ascii="Consolas" w:hAnsi="Consolas"/>
    </w:rPr>
  </w:style>
  <w:style w:type="character" w:customStyle="1" w:styleId="HTMLPreformattedChar">
    <w:name w:val="HTML Preformatted Char"/>
    <w:basedOn w:val="DefaultParagraphFont"/>
    <w:link w:val="HTMLPreformatted"/>
    <w:rsid w:val="004D5888"/>
    <w:rPr>
      <w:rFonts w:ascii="Consolas" w:eastAsia="SimSun" w:hAnsi="Consolas" w:cs="Times New Roman"/>
      <w:kern w:val="0"/>
      <w:sz w:val="20"/>
      <w:szCs w:val="20"/>
      <w:lang w:val="en-US"/>
      <w14:ligatures w14:val="none"/>
    </w:rPr>
  </w:style>
  <w:style w:type="paragraph" w:styleId="NoSpacing">
    <w:name w:val="No Spacing"/>
    <w:link w:val="NoSpacingChar"/>
    <w:uiPriority w:val="1"/>
    <w:qFormat/>
    <w:rsid w:val="004D588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D5888"/>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4D5888"/>
    <w:pPr>
      <w:spacing w:before="240" w:after="0" w:line="259" w:lineRule="auto"/>
      <w:outlineLvl w:val="9"/>
    </w:pPr>
    <w:rPr>
      <w:sz w:val="32"/>
      <w:szCs w:val="32"/>
    </w:rPr>
  </w:style>
  <w:style w:type="paragraph" w:styleId="TOC2">
    <w:name w:val="toc 2"/>
    <w:basedOn w:val="Normal"/>
    <w:next w:val="Normal"/>
    <w:autoRedefine/>
    <w:uiPriority w:val="39"/>
    <w:rsid w:val="004D5888"/>
    <w:pPr>
      <w:spacing w:after="100"/>
      <w:ind w:left="200"/>
    </w:pPr>
  </w:style>
  <w:style w:type="paragraph" w:styleId="TOC1">
    <w:name w:val="toc 1"/>
    <w:basedOn w:val="Normal"/>
    <w:next w:val="Normal"/>
    <w:autoRedefine/>
    <w:uiPriority w:val="39"/>
    <w:rsid w:val="004D5888"/>
    <w:pPr>
      <w:spacing w:after="100"/>
    </w:pPr>
  </w:style>
  <w:style w:type="character" w:styleId="CommentReference">
    <w:name w:val="annotation reference"/>
    <w:basedOn w:val="DefaultParagraphFont"/>
    <w:uiPriority w:val="99"/>
    <w:semiHidden/>
    <w:unhideWhenUsed/>
    <w:rsid w:val="009E3CCB"/>
    <w:rPr>
      <w:sz w:val="16"/>
      <w:szCs w:val="16"/>
    </w:rPr>
  </w:style>
  <w:style w:type="paragraph" w:styleId="CommentText">
    <w:name w:val="annotation text"/>
    <w:basedOn w:val="Normal"/>
    <w:link w:val="CommentTextChar"/>
    <w:uiPriority w:val="99"/>
    <w:unhideWhenUsed/>
    <w:rsid w:val="009E3CCB"/>
  </w:style>
  <w:style w:type="character" w:customStyle="1" w:styleId="CommentTextChar">
    <w:name w:val="Comment Text Char"/>
    <w:basedOn w:val="DefaultParagraphFont"/>
    <w:link w:val="CommentText"/>
    <w:uiPriority w:val="99"/>
    <w:rsid w:val="009E3CCB"/>
    <w:rPr>
      <w:rFonts w:ascii="Times New Roman" w:eastAsia="SimSun" w:hAnsi="Times New Roman" w:cs="Times New Roman"/>
      <w:kern w:val="0"/>
      <w:sz w:val="20"/>
      <w:szCs w:val="20"/>
      <w:lang w:val="en-US"/>
      <w14:ligatures w14:val="none"/>
    </w:rPr>
  </w:style>
  <w:style w:type="paragraph" w:styleId="CommentSubject">
    <w:name w:val="annotation subject"/>
    <w:basedOn w:val="CommentText"/>
    <w:next w:val="CommentText"/>
    <w:link w:val="CommentSubjectChar"/>
    <w:uiPriority w:val="99"/>
    <w:semiHidden/>
    <w:unhideWhenUsed/>
    <w:rsid w:val="009E3CCB"/>
    <w:rPr>
      <w:b/>
      <w:bCs/>
    </w:rPr>
  </w:style>
  <w:style w:type="character" w:customStyle="1" w:styleId="CommentSubjectChar">
    <w:name w:val="Comment Subject Char"/>
    <w:basedOn w:val="CommentTextChar"/>
    <w:link w:val="CommentSubject"/>
    <w:uiPriority w:val="99"/>
    <w:semiHidden/>
    <w:rsid w:val="009E3CCB"/>
    <w:rPr>
      <w:rFonts w:ascii="Times New Roman" w:eastAsia="SimSun" w:hAnsi="Times New Roman" w:cs="Times New Roman"/>
      <w:b/>
      <w:bCs/>
      <w:kern w:val="0"/>
      <w:sz w:val="20"/>
      <w:szCs w:val="20"/>
      <w:lang w:val="en-US"/>
      <w14:ligatures w14:val="none"/>
    </w:rPr>
  </w:style>
  <w:style w:type="paragraph" w:styleId="NormalWeb">
    <w:name w:val="Normal (Web)"/>
    <w:basedOn w:val="Normal"/>
    <w:uiPriority w:val="99"/>
    <w:semiHidden/>
    <w:unhideWhenUsed/>
    <w:rsid w:val="00BF2C7B"/>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g"/><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1.png"/><Relationship Id="rId17" Type="http://schemas.openxmlformats.org/officeDocument/2006/relationships/image" Target="media/image6.jpg"/><Relationship Id="rId2" Type="http://schemas.openxmlformats.org/officeDocument/2006/relationships/customXml" Target="../customXml/item2.xml"/><Relationship Id="rId1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image" Target="media/image4.png"/><Relationship Id="rId10" Type="http://schemas.openxmlformats.org/officeDocument/2006/relationships/header" Target="header2.xm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image" Target="media/image3.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Module Code: ACCA503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E840D26-291B-4D02-970E-CE78B3F6BB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6736</Words>
  <Characters>38396</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Name:  Nasira Perveen Student Id:        2331267                         Module Code:   ACCA5034   Assignment Title:                    Research and case scenario in Data Security and Compliance         Lecturer. Dr Mohammed Ben Farah Submission Date: 31st March 2026 (2 pm)</dc:title>
  <dc:subject/>
  <dc:creator>Nasira Perveen (2331267)</dc:creator>
  <cp:keywords/>
  <dc:description/>
  <cp:lastModifiedBy>Nasira Perveen (2331267)</cp:lastModifiedBy>
  <cp:revision>105</cp:revision>
  <dcterms:created xsi:type="dcterms:W3CDTF">2026-02-12T10:20:00Z</dcterms:created>
  <dcterms:modified xsi:type="dcterms:W3CDTF">2026-03-05T14:32:00Z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86e19fb5-72ac-4a51-8615-1db9e30cba7f</vt:lpwstr>
  </property>
</Properties>
</file>