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C84DE3" w14:textId="77777777" w:rsidR="009A61A7" w:rsidRPr="00294464" w:rsidRDefault="009A61A7" w:rsidP="009A61A7">
      <w:pPr>
        <w:shd w:val="clear" w:color="auto" w:fill="FFFFFF"/>
        <w:spacing w:line="540" w:lineRule="atLeast"/>
        <w:textAlignment w:val="top"/>
        <w:rPr>
          <w:rFonts w:cstheme="minorHAnsi"/>
          <w:color w:val="7030A0"/>
        </w:rPr>
      </w:pPr>
      <w:r w:rsidRPr="00294464">
        <w:rPr>
          <w:rFonts w:cstheme="minorHAnsi"/>
          <w:color w:val="7030A0"/>
        </w:rPr>
        <w:t>It has been called in recent years to reform the section surrounding 18</w:t>
      </w:r>
      <w:r w:rsidRPr="00294464">
        <w:rPr>
          <w:rFonts w:cstheme="minorHAnsi"/>
          <w:color w:val="7030A0"/>
          <w:spacing w:val="-2"/>
          <w:shd w:val="clear" w:color="auto" w:fill="FFFFFF"/>
        </w:rPr>
        <w:t>, 20 and 47 of the Offences Against the Person Act 1861</w:t>
      </w:r>
      <w:r w:rsidRPr="00294464">
        <w:rPr>
          <w:rFonts w:cstheme="minorHAnsi"/>
          <w:color w:val="7030A0"/>
        </w:rPr>
        <w:t xml:space="preserve"> as 150 years have passed since the establishment of the legislation therefore making it inadequate, unjust, and </w:t>
      </w:r>
      <w:r w:rsidRPr="00294464">
        <w:rPr>
          <w:rFonts w:eastAsia="Times New Roman" w:cstheme="minorHAnsi"/>
          <w:color w:val="7030A0"/>
          <w:lang w:eastAsia="en-GB"/>
        </w:rPr>
        <w:t>deficient and it is being argued that since</w:t>
      </w:r>
      <w:r w:rsidRPr="00294464">
        <w:rPr>
          <w:rFonts w:cstheme="minorHAnsi"/>
          <w:color w:val="7030A0"/>
        </w:rPr>
        <w:t xml:space="preserve"> times have changed and  so should the law surrounding it  , it should be reformed to mould around the modern era as opposed to the Victorian era of its establishment. Reasons for this is that when it was created the people living in that time did not have knowledge or understanding of mental health issues that we have today. Thus, making the Act only refer to ‘bodily’ harm in the offences and did not raise the issue of mental harm. Insuring that for a period of time, it wasn’t clear whether those offences could include those where the victim had suffered mental harm. To fill this crack in the law, the courts in Chan Fook (1994) and Burstow (1997) held that the meaning of ‘bodily’ harm did include injury to mental health. Following this, defendants causing injury can be convicted of offences under the 1861 Act. Another act which has raised quite a few problems is whether inflicting bodily harm could shield the situation of injecting people with disease. In 1861 there had been restricted understanding of how diseases were transmitted from one person to another. The thought of a criminal offence being committed by infecting someone with diseases was not considered in that time. Again, the courts filled this gap by ruling in </w:t>
      </w:r>
      <w:proofErr w:type="spellStart"/>
      <w:r w:rsidRPr="00294464">
        <w:rPr>
          <w:rFonts w:cstheme="minorHAnsi"/>
          <w:color w:val="7030A0"/>
        </w:rPr>
        <w:t>Dica</w:t>
      </w:r>
      <w:proofErr w:type="spellEnd"/>
      <w:r w:rsidRPr="00294464">
        <w:rPr>
          <w:rFonts w:cstheme="minorHAnsi"/>
          <w:color w:val="7030A0"/>
        </w:rPr>
        <w:t xml:space="preserve"> (2004) that infecting someone with HIV did come within the phrasing of inflicting grievous bodily harm. </w:t>
      </w:r>
    </w:p>
    <w:p w14:paraId="5A610469" w14:textId="77777777" w:rsidR="009A61A7" w:rsidRPr="00294464" w:rsidRDefault="009A61A7" w:rsidP="009A61A7">
      <w:pPr>
        <w:shd w:val="clear" w:color="auto" w:fill="FFFFFF"/>
        <w:spacing w:line="540" w:lineRule="atLeast"/>
        <w:textAlignment w:val="top"/>
        <w:rPr>
          <w:rFonts w:cstheme="minorHAnsi"/>
          <w:color w:val="7030A0"/>
        </w:rPr>
      </w:pPr>
      <w:r w:rsidRPr="00294464">
        <w:rPr>
          <w:rFonts w:cstheme="minorHAnsi"/>
          <w:color w:val="7030A0"/>
        </w:rPr>
        <w:t xml:space="preserve">Other inconsistences in the Act, specifically with regard to the mens rea required for each offence. Quite particularly in, s47 as it has the same mens rea as for an assault or battery. It is not necessary for the defendant to intend or to even comprehend that there is a risk of any injury. This serves as unfair as s 47 carries a maximum sentence of five years imprisonment while assault and battery only carry a maximum sentence of six months imprisonment. It is also inequitable that a person who results in giving another person a small cut can be charged with the more serious offence of s20 instead of the offence ‘occasioning actual bodily harm’ under s 47. This is due to the fact that s 20 </w:t>
      </w:r>
      <w:r w:rsidRPr="00294464">
        <w:rPr>
          <w:rFonts w:cstheme="minorHAnsi"/>
          <w:color w:val="7030A0"/>
        </w:rPr>
        <w:lastRenderedPageBreak/>
        <w:t xml:space="preserve">refers to ‘wound or grievous bodily harm’. Even though there are clearly different levels of wound, and vast majority of them do not equate with grievous bodily harm. </w:t>
      </w:r>
    </w:p>
    <w:p w14:paraId="56F30F3A" w14:textId="77777777" w:rsidR="009A61A7" w:rsidRPr="00294464" w:rsidRDefault="009A61A7" w:rsidP="009A61A7">
      <w:pPr>
        <w:shd w:val="clear" w:color="auto" w:fill="FFFFFF"/>
        <w:spacing w:line="540" w:lineRule="atLeast"/>
        <w:textAlignment w:val="top"/>
        <w:rPr>
          <w:rFonts w:cstheme="minorHAnsi"/>
          <w:color w:val="7030A0"/>
        </w:rPr>
      </w:pPr>
      <w:r w:rsidRPr="00294464">
        <w:rPr>
          <w:rFonts w:cstheme="minorHAnsi"/>
          <w:color w:val="7030A0"/>
        </w:rPr>
        <w:t xml:space="preserve"> Yet another lack of consistency is that the maximum sentence for s 47 and s20 is one and the same resulting in five years imprisonment. Even though s20 of the offence is distinctly more serious than s47 as it requires more serious injury. It also requires that D intends or is reckless as to causing V some harm whereas for was s 47 it is not necessary to prove that D was intended or reckless as to whether he would cause some harm to V. it seems unjustified that these two offences carry the same maximum penalty when the levels of blameworthiness are not similar.</w:t>
      </w:r>
    </w:p>
    <w:p w14:paraId="459C112A" w14:textId="77777777" w:rsidR="009A61A7" w:rsidRPr="00294464" w:rsidRDefault="009A61A7" w:rsidP="009A61A7">
      <w:pPr>
        <w:shd w:val="clear" w:color="auto" w:fill="FFFFFF"/>
        <w:spacing w:line="540" w:lineRule="atLeast"/>
        <w:textAlignment w:val="top"/>
        <w:rPr>
          <w:rFonts w:cstheme="minorHAnsi"/>
          <w:color w:val="7030A0"/>
        </w:rPr>
      </w:pPr>
    </w:p>
    <w:p w14:paraId="0F4B6415" w14:textId="77777777" w:rsidR="009A61A7" w:rsidRPr="00294464" w:rsidRDefault="009A61A7" w:rsidP="009A61A7">
      <w:pPr>
        <w:shd w:val="clear" w:color="auto" w:fill="FFFFFF"/>
        <w:spacing w:line="540" w:lineRule="atLeast"/>
        <w:textAlignment w:val="top"/>
        <w:rPr>
          <w:rFonts w:cstheme="minorHAnsi"/>
          <w:color w:val="7030A0"/>
        </w:rPr>
      </w:pPr>
      <w:r w:rsidRPr="00294464">
        <w:rPr>
          <w:rFonts w:cstheme="minorHAnsi"/>
          <w:color w:val="7030A0"/>
        </w:rPr>
        <w:t xml:space="preserve">The 2015 Report highlights that the problems stated make it so that there is no clear hierarchy of offences. Other inconsistencies shown in the 1861 Act is that the defendant who intends or foresees the risk of minor injury, has the possibility of being convicted of the very serious offence of s 18 if serious injury occurs when he intends to resist arrest. This is the effect of the decision in R v Morrison (1989). Therefore, being unjust that by intending to resist arrest, the defendant becomes liable for the same offence as someone who intended to cause serious harm. </w:t>
      </w:r>
    </w:p>
    <w:p w14:paraId="5A4B3BB7" w14:textId="77777777" w:rsidR="009A61A7" w:rsidRPr="00294464" w:rsidRDefault="009A61A7" w:rsidP="009A61A7">
      <w:pPr>
        <w:shd w:val="clear" w:color="auto" w:fill="FFFFFF"/>
        <w:spacing w:line="540" w:lineRule="atLeast"/>
        <w:textAlignment w:val="top"/>
        <w:rPr>
          <w:rFonts w:cstheme="minorHAnsi"/>
          <w:color w:val="7030A0"/>
        </w:rPr>
      </w:pPr>
      <w:r w:rsidRPr="00294464">
        <w:rPr>
          <w:rFonts w:cstheme="minorHAnsi"/>
          <w:color w:val="7030A0"/>
        </w:rPr>
        <w:t xml:space="preserve">The 2015 report points out that the offences in the Act do not conform to the ‘correspondence principle’ Under the 1861 Act a defendant can be guilty of a s 20 offence without intending or being reckless as to causing serious harm. Equally a defendant can be guilty of a s 47 offence without intending or being reckless as to causing any harm. Both these are clear breaches of the correspondence principle. </w:t>
      </w:r>
    </w:p>
    <w:p w14:paraId="133EBD44" w14:textId="77777777" w:rsidR="009A61A7" w:rsidRPr="00294464" w:rsidRDefault="009A61A7" w:rsidP="009A61A7">
      <w:pPr>
        <w:shd w:val="clear" w:color="auto" w:fill="FFFFFF"/>
        <w:spacing w:line="540" w:lineRule="atLeast"/>
        <w:textAlignment w:val="top"/>
        <w:rPr>
          <w:rFonts w:cstheme="minorHAnsi"/>
          <w:color w:val="7030A0"/>
        </w:rPr>
      </w:pPr>
    </w:p>
    <w:p w14:paraId="68EF8EC0" w14:textId="77777777" w:rsidR="009A61A7" w:rsidRPr="00294464" w:rsidRDefault="009A61A7" w:rsidP="009A61A7">
      <w:pPr>
        <w:shd w:val="clear" w:color="auto" w:fill="FFFFFF"/>
        <w:spacing w:line="540" w:lineRule="atLeast"/>
        <w:textAlignment w:val="top"/>
        <w:rPr>
          <w:rFonts w:cstheme="minorHAnsi"/>
          <w:color w:val="7030A0"/>
        </w:rPr>
      </w:pPr>
      <w:r w:rsidRPr="00294464">
        <w:rPr>
          <w:rFonts w:cstheme="minorHAnsi"/>
          <w:color w:val="7030A0"/>
        </w:rPr>
        <w:t xml:space="preserve">Section 20 uses the word ‘maliciously’, in today’s language, ‘maliciously’ suggests acting purposely and with ill-will to the victim. But the meaning in the 1861 Act has held to be that D either intended </w:t>
      </w:r>
      <w:r w:rsidRPr="00294464">
        <w:rPr>
          <w:rFonts w:cstheme="minorHAnsi"/>
          <w:color w:val="7030A0"/>
        </w:rPr>
        <w:lastRenderedPageBreak/>
        <w:t xml:space="preserve">to do the class of harm that concluded or was reckless as to whether that the type of harm occurred (Cunningham 1957) The law commission recommended that the word ‘reckless’ must be used. </w:t>
      </w:r>
    </w:p>
    <w:p w14:paraId="49444CAB" w14:textId="77777777" w:rsidR="009A61A7" w:rsidRPr="00294464" w:rsidRDefault="009A61A7" w:rsidP="009A61A7">
      <w:pPr>
        <w:shd w:val="clear" w:color="auto" w:fill="FFFFFF"/>
        <w:spacing w:line="540" w:lineRule="atLeast"/>
        <w:textAlignment w:val="top"/>
        <w:rPr>
          <w:rFonts w:cstheme="minorHAnsi"/>
          <w:color w:val="7030A0"/>
        </w:rPr>
      </w:pPr>
      <w:r w:rsidRPr="00294464">
        <w:rPr>
          <w:rFonts w:cstheme="minorHAnsi"/>
          <w:color w:val="7030A0"/>
        </w:rPr>
        <w:t xml:space="preserve">The Act is not consistent as s 20 the word ‘inflict’ is used, yet in s 18 the word </w:t>
      </w:r>
      <w:proofErr w:type="spellStart"/>
      <w:r w:rsidRPr="00294464">
        <w:rPr>
          <w:rFonts w:cstheme="minorHAnsi"/>
          <w:color w:val="7030A0"/>
        </w:rPr>
        <w:t>‘cause</w:t>
      </w:r>
      <w:proofErr w:type="spellEnd"/>
      <w:r w:rsidRPr="00294464">
        <w:rPr>
          <w:rFonts w:cstheme="minorHAnsi"/>
          <w:color w:val="7030A0"/>
        </w:rPr>
        <w:t>’ is used. This led to debate on if the word ‘</w:t>
      </w:r>
      <w:proofErr w:type="gramStart"/>
      <w:r w:rsidRPr="00294464">
        <w:rPr>
          <w:rFonts w:cstheme="minorHAnsi"/>
          <w:color w:val="7030A0"/>
        </w:rPr>
        <w:t>inflict</w:t>
      </w:r>
      <w:proofErr w:type="gramEnd"/>
      <w:r w:rsidRPr="00294464">
        <w:rPr>
          <w:rFonts w:cstheme="minorHAnsi"/>
          <w:color w:val="7030A0"/>
        </w:rPr>
        <w:t xml:space="preserve">’ in s 20 meant that a technical assault had to have happened. It was eventually resolved from the case of Ireland v Burstow (1997) as the House of Lords ruled that it did not. </w:t>
      </w:r>
    </w:p>
    <w:p w14:paraId="5C3E0BB2" w14:textId="77777777" w:rsidR="009A61A7" w:rsidRPr="00294464" w:rsidRDefault="009A61A7" w:rsidP="009A61A7">
      <w:pPr>
        <w:shd w:val="clear" w:color="auto" w:fill="FFFFFF"/>
        <w:spacing w:line="540" w:lineRule="atLeast"/>
        <w:textAlignment w:val="top"/>
        <w:rPr>
          <w:rFonts w:cstheme="minorHAnsi"/>
          <w:color w:val="7030A0"/>
        </w:rPr>
      </w:pPr>
      <w:r w:rsidRPr="00294464">
        <w:rPr>
          <w:rFonts w:cstheme="minorHAnsi"/>
          <w:color w:val="7030A0"/>
        </w:rPr>
        <w:t>The Home Office issued a Consultation Document titled 'Violence: Reforming the Offences Against the Person Act 1861' in 1998. This engaged a draught bill that included four major offences that were intended to replace sections 18, 20, 47, and assault and battery. The draught Bill's clauses are listed in alphabetical order, commencing with the most severe:</w:t>
      </w:r>
    </w:p>
    <w:p w14:paraId="535381C1" w14:textId="77777777" w:rsidR="009A61A7" w:rsidRPr="00294464" w:rsidRDefault="009A61A7" w:rsidP="009A61A7">
      <w:pPr>
        <w:shd w:val="clear" w:color="auto" w:fill="FFFFFF"/>
        <w:spacing w:line="540" w:lineRule="atLeast"/>
        <w:textAlignment w:val="top"/>
        <w:rPr>
          <w:rFonts w:cstheme="minorHAnsi"/>
          <w:color w:val="7030A0"/>
        </w:rPr>
      </w:pPr>
    </w:p>
    <w:p w14:paraId="45A5BE00" w14:textId="77777777" w:rsidR="009A61A7" w:rsidRPr="00294464" w:rsidRDefault="009A61A7" w:rsidP="009A61A7">
      <w:pPr>
        <w:shd w:val="clear" w:color="auto" w:fill="FFFFFF"/>
        <w:spacing w:line="540" w:lineRule="atLeast"/>
        <w:textAlignment w:val="top"/>
        <w:rPr>
          <w:rFonts w:cstheme="minorHAnsi"/>
          <w:color w:val="7030A0"/>
        </w:rPr>
      </w:pPr>
      <w:r w:rsidRPr="00294464">
        <w:rPr>
          <w:rFonts w:cstheme="minorHAnsi"/>
          <w:color w:val="7030A0"/>
        </w:rPr>
        <w:t>Clause 1 - Intentional Serious Injury: A person is guilty if he intentionally causes serious injury to another.</w:t>
      </w:r>
    </w:p>
    <w:p w14:paraId="0276EDA1" w14:textId="77777777" w:rsidR="009A61A7" w:rsidRPr="00294464" w:rsidRDefault="009A61A7" w:rsidP="009A61A7">
      <w:pPr>
        <w:shd w:val="clear" w:color="auto" w:fill="FFFFFF"/>
        <w:spacing w:line="540" w:lineRule="atLeast"/>
        <w:textAlignment w:val="top"/>
        <w:rPr>
          <w:rFonts w:cstheme="minorHAnsi"/>
          <w:color w:val="7030A0"/>
        </w:rPr>
      </w:pPr>
      <w:r w:rsidRPr="00294464">
        <w:rPr>
          <w:rFonts w:cstheme="minorHAnsi"/>
          <w:color w:val="7030A0"/>
        </w:rPr>
        <w:t>Clause 2 - Reckless substantial harm: a person is liable if he causes significant injury to another person recklessly.</w:t>
      </w:r>
    </w:p>
    <w:p w14:paraId="2786F4FC" w14:textId="77777777" w:rsidR="009A61A7" w:rsidRPr="00294464" w:rsidRDefault="009A61A7" w:rsidP="009A61A7">
      <w:pPr>
        <w:shd w:val="clear" w:color="auto" w:fill="FFFFFF"/>
        <w:spacing w:line="540" w:lineRule="atLeast"/>
        <w:textAlignment w:val="top"/>
        <w:rPr>
          <w:rFonts w:cstheme="minorHAnsi"/>
          <w:color w:val="7030A0"/>
        </w:rPr>
      </w:pPr>
      <w:r w:rsidRPr="00294464">
        <w:rPr>
          <w:rFonts w:cstheme="minorHAnsi"/>
          <w:color w:val="7030A0"/>
        </w:rPr>
        <w:t>Clause 3: Intentional or reckless injury: A person is guilty if he causes injury to another intentionally or recklessly.</w:t>
      </w:r>
    </w:p>
    <w:p w14:paraId="7F712390" w14:textId="77777777" w:rsidR="009A61A7" w:rsidRPr="00294464" w:rsidRDefault="009A61A7" w:rsidP="009A61A7">
      <w:pPr>
        <w:shd w:val="clear" w:color="auto" w:fill="FFFFFF"/>
        <w:spacing w:line="540" w:lineRule="atLeast"/>
        <w:textAlignment w:val="top"/>
        <w:rPr>
          <w:rFonts w:cstheme="minorHAnsi"/>
          <w:color w:val="7030A0"/>
        </w:rPr>
      </w:pPr>
      <w:r w:rsidRPr="00294464">
        <w:rPr>
          <w:rFonts w:cstheme="minorHAnsi"/>
          <w:color w:val="7030A0"/>
        </w:rPr>
        <w:t>Clause 4- Assault: a person guilty of assault if he intentionally or negligently:</w:t>
      </w:r>
    </w:p>
    <w:p w14:paraId="326E4F1D" w14:textId="77777777" w:rsidR="009A61A7" w:rsidRPr="00294464" w:rsidRDefault="009A61A7" w:rsidP="009A61A7">
      <w:pPr>
        <w:shd w:val="clear" w:color="auto" w:fill="FFFFFF"/>
        <w:spacing w:line="540" w:lineRule="atLeast"/>
        <w:textAlignment w:val="top"/>
        <w:rPr>
          <w:rFonts w:cstheme="minorHAnsi"/>
          <w:color w:val="7030A0"/>
        </w:rPr>
      </w:pPr>
      <w:r w:rsidRPr="00294464">
        <w:rPr>
          <w:rFonts w:cstheme="minorHAnsi"/>
          <w:color w:val="7030A0"/>
        </w:rPr>
        <w:t>A- Attributed force to R influenced an impact on another's body, or B- Made the other think that any force or impact is foreseeable.</w:t>
      </w:r>
    </w:p>
    <w:p w14:paraId="4CDDD27E" w14:textId="77777777" w:rsidR="009A61A7" w:rsidRPr="00294464" w:rsidRDefault="009A61A7" w:rsidP="009A61A7">
      <w:pPr>
        <w:shd w:val="clear" w:color="auto" w:fill="FFFFFF"/>
        <w:spacing w:line="540" w:lineRule="atLeast"/>
        <w:textAlignment w:val="top"/>
        <w:rPr>
          <w:rFonts w:cstheme="minorHAnsi"/>
          <w:color w:val="7030A0"/>
        </w:rPr>
      </w:pPr>
      <w:r w:rsidRPr="00294464">
        <w:rPr>
          <w:rFonts w:cstheme="minorHAnsi"/>
          <w:color w:val="7030A0"/>
        </w:rPr>
        <w:t>The wording in each of these makes clear the level of injury and the required mens rea. Furthermore, the draught bill defined the term "injury," making it clear that both physical and mental injury were covered.</w:t>
      </w:r>
    </w:p>
    <w:p w14:paraId="74E10622" w14:textId="77777777" w:rsidR="009A61A7" w:rsidRPr="00294464" w:rsidRDefault="009A61A7" w:rsidP="009A61A7">
      <w:pPr>
        <w:shd w:val="clear" w:color="auto" w:fill="FFFFFF"/>
        <w:spacing w:line="540" w:lineRule="atLeast"/>
        <w:textAlignment w:val="top"/>
        <w:rPr>
          <w:rFonts w:cstheme="minorHAnsi"/>
          <w:color w:val="7030A0"/>
        </w:rPr>
      </w:pPr>
    </w:p>
    <w:p w14:paraId="77B548CC" w14:textId="77777777" w:rsidR="009A61A7" w:rsidRPr="00294464" w:rsidRDefault="009A61A7" w:rsidP="009A61A7">
      <w:pPr>
        <w:shd w:val="clear" w:color="auto" w:fill="FFFFFF"/>
        <w:spacing w:line="540" w:lineRule="atLeast"/>
        <w:textAlignment w:val="top"/>
        <w:rPr>
          <w:rFonts w:cstheme="minorHAnsi"/>
          <w:color w:val="7030A0"/>
        </w:rPr>
      </w:pPr>
      <w:r w:rsidRPr="00294464">
        <w:rPr>
          <w:rFonts w:cstheme="minorHAnsi"/>
          <w:color w:val="7030A0"/>
        </w:rPr>
        <w:t>The Law Commission report gave out recommendations. The first one being OAPA 1861 must be replaced by ‘comprehensive modern statue’.</w:t>
      </w:r>
    </w:p>
    <w:p w14:paraId="00B6C375" w14:textId="77777777" w:rsidR="009A61A7" w:rsidRPr="00294464" w:rsidRDefault="009A61A7" w:rsidP="009A61A7">
      <w:pPr>
        <w:pStyle w:val="ListParagraph"/>
        <w:shd w:val="clear" w:color="auto" w:fill="FFFFFF"/>
        <w:spacing w:line="540" w:lineRule="atLeast"/>
        <w:textAlignment w:val="top"/>
        <w:rPr>
          <w:rFonts w:cstheme="minorHAnsi"/>
          <w:color w:val="7030A0"/>
        </w:rPr>
      </w:pPr>
      <w:r w:rsidRPr="00294464">
        <w:rPr>
          <w:rFonts w:cstheme="minorHAnsi"/>
          <w:color w:val="7030A0"/>
        </w:rPr>
        <w:t xml:space="preserve">New statues should base around the following principles </w:t>
      </w:r>
    </w:p>
    <w:p w14:paraId="7E751107" w14:textId="77777777" w:rsidR="009A61A7" w:rsidRPr="00294464" w:rsidRDefault="009A61A7" w:rsidP="009A61A7">
      <w:pPr>
        <w:pStyle w:val="ListParagraph"/>
        <w:shd w:val="clear" w:color="auto" w:fill="FFFFFF"/>
        <w:spacing w:line="540" w:lineRule="atLeast"/>
        <w:ind w:left="1080"/>
        <w:textAlignment w:val="top"/>
        <w:rPr>
          <w:rFonts w:cstheme="minorHAnsi"/>
          <w:color w:val="7030A0"/>
        </w:rPr>
      </w:pPr>
      <w:r w:rsidRPr="00294464">
        <w:rPr>
          <w:rFonts w:cstheme="minorHAnsi"/>
          <w:color w:val="7030A0"/>
        </w:rPr>
        <w:t>It must issue a direct and understandable hierarchy of offences from the most severe to the least. The site of each offence in the hierarchy should consider:</w:t>
      </w:r>
    </w:p>
    <w:p w14:paraId="6C1B3C37" w14:textId="77777777" w:rsidR="009A61A7" w:rsidRPr="00294464" w:rsidRDefault="009A61A7" w:rsidP="009A61A7">
      <w:pPr>
        <w:pStyle w:val="ListParagraph"/>
        <w:numPr>
          <w:ilvl w:val="0"/>
          <w:numId w:val="1"/>
        </w:numPr>
        <w:shd w:val="clear" w:color="auto" w:fill="FFFFFF"/>
        <w:spacing w:line="540" w:lineRule="atLeast"/>
        <w:textAlignment w:val="top"/>
        <w:rPr>
          <w:rFonts w:cstheme="minorHAnsi"/>
          <w:color w:val="7030A0"/>
        </w:rPr>
      </w:pPr>
      <w:r w:rsidRPr="00294464">
        <w:rPr>
          <w:rFonts w:cstheme="minorHAnsi"/>
          <w:color w:val="7030A0"/>
        </w:rPr>
        <w:t xml:space="preserve">The harm caused </w:t>
      </w:r>
    </w:p>
    <w:p w14:paraId="6BE20D54" w14:textId="77777777" w:rsidR="009A61A7" w:rsidRPr="00294464" w:rsidRDefault="009A61A7" w:rsidP="009A61A7">
      <w:pPr>
        <w:pStyle w:val="ListParagraph"/>
        <w:numPr>
          <w:ilvl w:val="0"/>
          <w:numId w:val="1"/>
        </w:numPr>
        <w:shd w:val="clear" w:color="auto" w:fill="FFFFFF"/>
        <w:spacing w:line="540" w:lineRule="atLeast"/>
        <w:textAlignment w:val="top"/>
        <w:rPr>
          <w:rFonts w:cstheme="minorHAnsi"/>
          <w:color w:val="7030A0"/>
        </w:rPr>
      </w:pPr>
      <w:r w:rsidRPr="00294464">
        <w:rPr>
          <w:rFonts w:cstheme="minorHAnsi"/>
          <w:color w:val="7030A0"/>
        </w:rPr>
        <w:t xml:space="preserve">The culpability of the defendant and </w:t>
      </w:r>
    </w:p>
    <w:p w14:paraId="5A263963" w14:textId="77777777" w:rsidR="009A61A7" w:rsidRPr="00294464" w:rsidRDefault="009A61A7" w:rsidP="009A61A7">
      <w:pPr>
        <w:pStyle w:val="ListParagraph"/>
        <w:numPr>
          <w:ilvl w:val="0"/>
          <w:numId w:val="1"/>
        </w:numPr>
        <w:shd w:val="clear" w:color="auto" w:fill="FFFFFF"/>
        <w:spacing w:line="540" w:lineRule="atLeast"/>
        <w:textAlignment w:val="top"/>
        <w:rPr>
          <w:rFonts w:cstheme="minorHAnsi"/>
          <w:color w:val="7030A0"/>
        </w:rPr>
      </w:pPr>
      <w:r w:rsidRPr="00294464">
        <w:rPr>
          <w:rFonts w:cstheme="minorHAnsi"/>
          <w:color w:val="7030A0"/>
        </w:rPr>
        <w:t xml:space="preserve">The maximum penalty must be in amount </w:t>
      </w:r>
    </w:p>
    <w:p w14:paraId="07747E22" w14:textId="77777777" w:rsidR="009A61A7" w:rsidRPr="00294464" w:rsidRDefault="009A61A7" w:rsidP="009A61A7">
      <w:pPr>
        <w:pStyle w:val="ListParagraph"/>
        <w:shd w:val="clear" w:color="auto" w:fill="FFFFFF"/>
        <w:spacing w:line="540" w:lineRule="atLeast"/>
        <w:ind w:left="1080"/>
        <w:textAlignment w:val="top"/>
        <w:rPr>
          <w:rFonts w:cstheme="minorHAnsi"/>
          <w:color w:val="7030A0"/>
        </w:rPr>
      </w:pPr>
      <w:r w:rsidRPr="00294464">
        <w:rPr>
          <w:rFonts w:cstheme="minorHAnsi"/>
          <w:color w:val="7030A0"/>
        </w:rPr>
        <w:t>. each offence should deliver a clear and accurate label for the conduct inquiry and must be defined in language that is uncomplicated to recognize.</w:t>
      </w:r>
    </w:p>
    <w:p w14:paraId="1B1798CC" w14:textId="77777777" w:rsidR="009A61A7" w:rsidRPr="00294464" w:rsidRDefault="009A61A7" w:rsidP="009A61A7">
      <w:pPr>
        <w:pStyle w:val="ListParagraph"/>
        <w:shd w:val="clear" w:color="auto" w:fill="FFFFFF"/>
        <w:spacing w:line="540" w:lineRule="atLeast"/>
        <w:ind w:left="1080"/>
        <w:textAlignment w:val="top"/>
        <w:rPr>
          <w:rFonts w:cstheme="minorHAnsi"/>
          <w:color w:val="7030A0"/>
        </w:rPr>
      </w:pPr>
      <w:r w:rsidRPr="00294464">
        <w:rPr>
          <w:rFonts w:cstheme="minorHAnsi"/>
          <w:color w:val="7030A0"/>
        </w:rPr>
        <w:t xml:space="preserve">. each ingredient of an offence, whether an outside element or a mental element must be displayed unequivocally </w:t>
      </w:r>
    </w:p>
    <w:p w14:paraId="734D97A8" w14:textId="77777777" w:rsidR="009A61A7" w:rsidRPr="00294464" w:rsidRDefault="009A61A7" w:rsidP="009A61A7">
      <w:pPr>
        <w:pStyle w:val="ListParagraph"/>
        <w:shd w:val="clear" w:color="auto" w:fill="FFFFFF"/>
        <w:spacing w:line="540" w:lineRule="atLeast"/>
        <w:ind w:left="1080"/>
        <w:textAlignment w:val="top"/>
        <w:rPr>
          <w:rFonts w:cstheme="minorHAnsi"/>
          <w:color w:val="7030A0"/>
        </w:rPr>
      </w:pPr>
      <w:r w:rsidRPr="00294464">
        <w:rPr>
          <w:rFonts w:cstheme="minorHAnsi"/>
          <w:color w:val="7030A0"/>
        </w:rPr>
        <w:t xml:space="preserve">The report recommended that new statute on crimes of violence must pursue the strategy of the 1998 draft Bill, it also recommended additions and adjustment. </w:t>
      </w:r>
    </w:p>
    <w:p w14:paraId="02C0082A" w14:textId="77777777" w:rsidR="009A61A7" w:rsidRPr="00294464" w:rsidRDefault="009A61A7" w:rsidP="009A61A7">
      <w:pPr>
        <w:shd w:val="clear" w:color="auto" w:fill="FFFFFF"/>
        <w:spacing w:line="540" w:lineRule="atLeast"/>
        <w:textAlignment w:val="top"/>
        <w:rPr>
          <w:rFonts w:cstheme="minorHAnsi"/>
          <w:color w:val="7030A0"/>
        </w:rPr>
      </w:pPr>
      <w:r w:rsidRPr="00294464">
        <w:rPr>
          <w:rFonts w:cstheme="minorHAnsi"/>
          <w:color w:val="7030A0"/>
        </w:rPr>
        <w:t xml:space="preserve">As per 2015 report, there should be additional offences where lower-level injuries are involved. It would be considered </w:t>
      </w:r>
      <w:proofErr w:type="gramStart"/>
      <w:r w:rsidRPr="00294464">
        <w:rPr>
          <w:rFonts w:cstheme="minorHAnsi"/>
          <w:color w:val="7030A0"/>
        </w:rPr>
        <w:t>a</w:t>
      </w:r>
      <w:proofErr w:type="gramEnd"/>
      <w:r w:rsidRPr="00294464">
        <w:rPr>
          <w:rFonts w:cstheme="minorHAnsi"/>
          <w:color w:val="7030A0"/>
        </w:rPr>
        <w:t xml:space="preserve"> 'aggravated assault.' It is intended to protect against injuries such as surface level cuts, scratches, minor bruising, grazes, and swellings. As these are technically 'actual bodily harm' under current law, the Crown Prosecution Service charging standards recommend that they be charged as simple </w:t>
      </w:r>
      <w:proofErr w:type="gramStart"/>
      <w:r w:rsidRPr="00294464">
        <w:rPr>
          <w:rFonts w:cstheme="minorHAnsi"/>
          <w:color w:val="7030A0"/>
        </w:rPr>
        <w:t>assault .</w:t>
      </w:r>
      <w:proofErr w:type="gramEnd"/>
      <w:r w:rsidRPr="00294464">
        <w:rPr>
          <w:rFonts w:cstheme="minorHAnsi"/>
          <w:color w:val="7030A0"/>
        </w:rPr>
        <w:t xml:space="preserve"> The proposed new offences acknowledge that victims who've already suffered minor injuries may feel aggrieved once their case is only charged as a simple </w:t>
      </w:r>
      <w:proofErr w:type="spellStart"/>
      <w:proofErr w:type="gramStart"/>
      <w:r w:rsidRPr="00294464">
        <w:rPr>
          <w:rFonts w:cstheme="minorHAnsi"/>
          <w:color w:val="7030A0"/>
        </w:rPr>
        <w:t>assault.The</w:t>
      </w:r>
      <w:proofErr w:type="spellEnd"/>
      <w:proofErr w:type="gramEnd"/>
      <w:r w:rsidRPr="00294464">
        <w:rPr>
          <w:rFonts w:cstheme="minorHAnsi"/>
          <w:color w:val="7030A0"/>
        </w:rPr>
        <w:t xml:space="preserve"> mens rea ought to be the same as in the existing common assault: D must aim or be careless as to whether V is put in fear of unlawful violence or is made subject to unlawful violence. According to the Report, the maximum punishment for this offence must be 12 months in prison.</w:t>
      </w:r>
    </w:p>
    <w:p w14:paraId="1C05D7C0" w14:textId="77777777" w:rsidR="009A61A7" w:rsidRPr="00294464" w:rsidRDefault="009A61A7" w:rsidP="009A61A7">
      <w:pPr>
        <w:shd w:val="clear" w:color="auto" w:fill="FFFFFF"/>
        <w:spacing w:line="540" w:lineRule="atLeast"/>
        <w:textAlignment w:val="top"/>
        <w:rPr>
          <w:rFonts w:cstheme="minorHAnsi"/>
          <w:color w:val="00B0F0"/>
        </w:rPr>
      </w:pPr>
    </w:p>
    <w:p w14:paraId="2732A5D7" w14:textId="77777777" w:rsidR="009A61A7" w:rsidRPr="009A61A7" w:rsidRDefault="009A61A7" w:rsidP="009A61A7">
      <w:pPr>
        <w:shd w:val="clear" w:color="auto" w:fill="FFFFFF"/>
        <w:spacing w:line="540" w:lineRule="atLeast"/>
        <w:textAlignment w:val="top"/>
        <w:rPr>
          <w:rFonts w:cstheme="minorHAnsi"/>
          <w:color w:val="7030A0"/>
        </w:rPr>
      </w:pPr>
    </w:p>
    <w:p w14:paraId="5D10DF5A" w14:textId="77777777" w:rsidR="009A61A7" w:rsidRPr="009A61A7" w:rsidRDefault="009A61A7" w:rsidP="009A61A7">
      <w:pPr>
        <w:shd w:val="clear" w:color="auto" w:fill="FFFFFF"/>
        <w:spacing w:line="540" w:lineRule="atLeast"/>
        <w:textAlignment w:val="top"/>
        <w:rPr>
          <w:rFonts w:cstheme="minorHAnsi"/>
          <w:color w:val="7030A0"/>
        </w:rPr>
      </w:pPr>
      <w:r w:rsidRPr="009A61A7">
        <w:rPr>
          <w:rFonts w:cstheme="minorHAnsi"/>
          <w:color w:val="7030A0"/>
        </w:rPr>
        <w:t>Another recommendation from the 2015</w:t>
      </w:r>
      <w:r w:rsidRPr="009A61A7">
        <w:rPr>
          <w:rFonts w:eastAsia="Times New Roman" w:cstheme="minorHAnsi"/>
          <w:color w:val="7030A0"/>
          <w:lang w:eastAsia="en-GB"/>
        </w:rPr>
        <w:t xml:space="preserve"> </w:t>
      </w:r>
      <w:r w:rsidRPr="003D2EB9">
        <w:rPr>
          <w:rFonts w:eastAsia="Times New Roman" w:cstheme="minorHAnsi"/>
          <w:color w:val="7030A0"/>
          <w:lang w:eastAsia="en-GB"/>
        </w:rPr>
        <w:t xml:space="preserve">report is to replace battery by a new offence of physical assault. This would not apply to low-level injuries, as at present. These would be classified beneath aggravated </w:t>
      </w:r>
      <w:r w:rsidRPr="009A61A7">
        <w:rPr>
          <w:rFonts w:eastAsia="Times New Roman" w:cstheme="minorHAnsi"/>
          <w:color w:val="7030A0"/>
          <w:lang w:eastAsia="en-GB"/>
        </w:rPr>
        <w:t>assault. It would be where t</w:t>
      </w:r>
      <w:r w:rsidRPr="00841EE6">
        <w:rPr>
          <w:rFonts w:eastAsia="Times New Roman" w:cstheme="minorHAnsi"/>
          <w:color w:val="7030A0"/>
          <w:lang w:eastAsia="en-GB"/>
        </w:rPr>
        <w:t>he victim is touched in an unwanted and unjust manner, either by D directly touching the victim, or by D sending objects to the victim like throwing stones or setting traps.</w:t>
      </w:r>
      <w:r w:rsidRPr="009A61A7">
        <w:rPr>
          <w:rFonts w:cstheme="minorHAnsi"/>
          <w:color w:val="7030A0"/>
        </w:rPr>
        <w:t xml:space="preserve"> </w:t>
      </w:r>
      <w:r w:rsidRPr="009A61A7">
        <w:rPr>
          <w:rFonts w:eastAsia="Times New Roman" w:cstheme="minorHAnsi"/>
          <w:color w:val="7030A0"/>
          <w:lang w:eastAsia="en-GB"/>
        </w:rPr>
        <w:t>According to its recommendations, the maximum imprisonment period would be six months for this offense and the means rea would be the same as for the current common assault offense: that is, D must have intended or be reckless as to whether V is put in terror of unlawful force or is subjected to unlawful force.</w:t>
      </w:r>
    </w:p>
    <w:p w14:paraId="6B556D03" w14:textId="77777777" w:rsidR="009A61A7" w:rsidRPr="009A61A7" w:rsidRDefault="009A61A7" w:rsidP="009A61A7">
      <w:pPr>
        <w:shd w:val="clear" w:color="auto" w:fill="FFFFFF"/>
        <w:spacing w:line="540" w:lineRule="atLeast"/>
        <w:textAlignment w:val="top"/>
        <w:rPr>
          <w:rFonts w:cstheme="minorHAnsi"/>
          <w:color w:val="7030A0"/>
        </w:rPr>
      </w:pPr>
    </w:p>
    <w:p w14:paraId="47440CD1" w14:textId="77777777" w:rsidR="009A61A7" w:rsidRPr="009A61A7" w:rsidRDefault="009A61A7" w:rsidP="009A61A7">
      <w:pPr>
        <w:shd w:val="clear" w:color="auto" w:fill="FFFFFF"/>
        <w:spacing w:line="540" w:lineRule="atLeast"/>
        <w:textAlignment w:val="top"/>
        <w:rPr>
          <w:rFonts w:cstheme="minorHAnsi"/>
          <w:color w:val="7030A0"/>
        </w:rPr>
      </w:pPr>
      <w:r w:rsidRPr="009A61A7">
        <w:rPr>
          <w:rFonts w:cstheme="minorHAnsi"/>
          <w:color w:val="7030A0"/>
        </w:rPr>
        <w:t>According to the 2015 report, an offence of threatened assault should be introduced to replace the common law offence of assault. It would contain the same conduct as the existing assault offence. This would cover the same conduct as the current assault offence and would carry the same consequence of up to six months in prison. The mens rea needed will be the same as the present offence of common assault: D must aspire or be reckless as to whether V is put in terror of or exposed to unlawful force.</w:t>
      </w:r>
    </w:p>
    <w:p w14:paraId="18AC8A2A" w14:textId="77777777" w:rsidR="009A61A7" w:rsidRPr="00294464" w:rsidRDefault="009A61A7" w:rsidP="009A61A7">
      <w:pPr>
        <w:shd w:val="clear" w:color="auto" w:fill="FFFFFF"/>
        <w:spacing w:line="540" w:lineRule="atLeast"/>
        <w:textAlignment w:val="top"/>
        <w:rPr>
          <w:rFonts w:cstheme="minorHAnsi"/>
          <w:color w:val="7030A0"/>
        </w:rPr>
      </w:pPr>
      <w:r w:rsidRPr="00294464">
        <w:rPr>
          <w:rFonts w:cstheme="minorHAnsi"/>
          <w:color w:val="7030A0"/>
        </w:rPr>
        <w:t>Serious harm caused while trying to resist arrest is in s 18 meaning that it can go up to a maximum sentence of life imprisonment whether D did not foresee or intend serious injury. The 1998 draft bill presented a separate offence where D caused serious harm intending to resist arrest, prevent or terminate the lawful or detention of himself or a third party. It was though that the maximum penalty should be lowered. This would acknowledge the fact the mens rea needed is lower than for s 18.</w:t>
      </w:r>
    </w:p>
    <w:p w14:paraId="2E3D37BD" w14:textId="77777777" w:rsidR="009A61A7" w:rsidRPr="00294464" w:rsidRDefault="009A61A7" w:rsidP="009A61A7">
      <w:pPr>
        <w:pStyle w:val="ListParagraph"/>
        <w:shd w:val="clear" w:color="auto" w:fill="FFFFFF"/>
        <w:spacing w:line="540" w:lineRule="atLeast"/>
        <w:ind w:left="1080"/>
        <w:textAlignment w:val="top"/>
        <w:rPr>
          <w:rFonts w:cstheme="minorHAnsi"/>
          <w:color w:val="7030A0"/>
        </w:rPr>
      </w:pPr>
    </w:p>
    <w:p w14:paraId="7D901643" w14:textId="77777777" w:rsidR="009A61A7" w:rsidRPr="00294464" w:rsidRDefault="009A61A7" w:rsidP="009A61A7">
      <w:pPr>
        <w:pStyle w:val="ListParagraph"/>
        <w:shd w:val="clear" w:color="auto" w:fill="FFFFFF"/>
        <w:spacing w:line="540" w:lineRule="atLeast"/>
        <w:ind w:left="1080"/>
        <w:textAlignment w:val="top"/>
        <w:rPr>
          <w:rFonts w:cstheme="minorHAnsi"/>
          <w:color w:val="7030A0"/>
        </w:rPr>
      </w:pPr>
      <w:r w:rsidRPr="00294464">
        <w:rPr>
          <w:rFonts w:cstheme="minorHAnsi"/>
          <w:color w:val="7030A0"/>
        </w:rPr>
        <w:t>The draft bill incorporated a lower level of assault where D aims to resist arrest, prevent, or terminate the lawful arrest. This would be charged if no serious harm were caused, and it was submitted that the maximum penalty should be two years imprisonment. The 2015 report backed this proposal.</w:t>
      </w:r>
    </w:p>
    <w:p w14:paraId="1BB308EB" w14:textId="77777777" w:rsidR="009A61A7" w:rsidRDefault="009A61A7" w:rsidP="009A61A7">
      <w:pPr>
        <w:shd w:val="clear" w:color="auto" w:fill="FFFFFF"/>
        <w:spacing w:line="540" w:lineRule="atLeast"/>
        <w:textAlignment w:val="top"/>
        <w:rPr>
          <w:rFonts w:cstheme="minorHAnsi"/>
          <w:color w:val="7030A0"/>
        </w:rPr>
      </w:pPr>
      <w:r w:rsidRPr="00294464">
        <w:rPr>
          <w:rFonts w:cstheme="minorHAnsi"/>
          <w:color w:val="7030A0"/>
        </w:rPr>
        <w:t>The report's recommendations would provide a clearer set of offences than currently exist. There would be no overlapping or inconsistent offences. Each proposed new offence's actus reus and mens rea are clearly stated. The offences follow the 'correspondence principle,' and defendants would only be held liable for a specific type and level of harm if they either intended to do it or knowingly put themselves in danger of doing it. If the recommendation for a higher maximum penalty of seven years in prison for clause 2 is implemented, the law will be strengthened. Furthermore, the proposed new offence of aggravated assault would have a harsher maximum penalty than common assault. Victims would be better protected as a result of this.</w:t>
      </w:r>
    </w:p>
    <w:p w14:paraId="3E69ED86" w14:textId="77777777" w:rsidR="009A61A7" w:rsidRDefault="009A61A7" w:rsidP="009A61A7">
      <w:pPr>
        <w:shd w:val="clear" w:color="auto" w:fill="FFFFFF"/>
        <w:spacing w:line="540" w:lineRule="atLeast"/>
        <w:textAlignment w:val="top"/>
        <w:rPr>
          <w:rFonts w:cstheme="minorHAnsi"/>
          <w:color w:val="7030A0"/>
        </w:rPr>
      </w:pPr>
    </w:p>
    <w:p w14:paraId="00C9F278" w14:textId="77777777" w:rsidR="009A61A7" w:rsidRDefault="009A61A7" w:rsidP="009A61A7">
      <w:pPr>
        <w:shd w:val="clear" w:color="auto" w:fill="FFFFFF"/>
        <w:spacing w:line="540" w:lineRule="atLeast"/>
        <w:textAlignment w:val="top"/>
        <w:rPr>
          <w:rFonts w:cstheme="minorHAnsi"/>
          <w:color w:val="7030A0"/>
        </w:rPr>
      </w:pPr>
    </w:p>
    <w:p w14:paraId="5E678F54" w14:textId="77777777" w:rsidR="009A61A7" w:rsidRDefault="009A61A7" w:rsidP="009A61A7">
      <w:pPr>
        <w:shd w:val="clear" w:color="auto" w:fill="FFFFFF"/>
        <w:spacing w:line="540" w:lineRule="atLeast"/>
        <w:textAlignment w:val="top"/>
        <w:rPr>
          <w:rFonts w:cstheme="minorHAnsi"/>
          <w:color w:val="7030A0"/>
        </w:rPr>
      </w:pPr>
    </w:p>
    <w:p w14:paraId="45F26A06" w14:textId="77777777" w:rsidR="009A61A7" w:rsidRPr="00294464" w:rsidRDefault="009A61A7" w:rsidP="009A61A7">
      <w:pPr>
        <w:shd w:val="clear" w:color="auto" w:fill="FFFFFF"/>
        <w:spacing w:line="540" w:lineRule="atLeast"/>
        <w:textAlignment w:val="top"/>
        <w:rPr>
          <w:rFonts w:cstheme="minorHAnsi"/>
          <w:b/>
          <w:color w:val="000000" w:themeColor="text1"/>
          <w14:shadow w14:blurRad="12700" w14:dist="38100" w14:dir="2700000" w14:sx="100000" w14:sy="100000" w14:kx="0" w14:ky="0" w14:algn="tl">
            <w14:schemeClr w14:val="bg1">
              <w14:lumMod w14:val="50000"/>
            </w14:schemeClr>
          </w14:shadow>
          <w14:textOutline w14:w="9525" w14:cap="flat" w14:cmpd="sng" w14:algn="ctr">
            <w14:noFill/>
            <w14:prstDash w14:val="solid"/>
            <w14:round/>
          </w14:textOutline>
        </w:rPr>
      </w:pPr>
      <w:r>
        <w:rPr>
          <w:rFonts w:cstheme="minorHAnsi"/>
          <w:b/>
          <w:color w:val="000000" w:themeColor="text1"/>
          <w14:shadow w14:blurRad="12700" w14:dist="38100" w14:dir="2700000" w14:sx="100000" w14:sy="100000" w14:kx="0" w14:ky="0" w14:algn="tl">
            <w14:schemeClr w14:val="bg1">
              <w14:lumMod w14:val="50000"/>
            </w14:schemeClr>
          </w14:shadow>
          <w14:textOutline w14:w="9525" w14:cap="flat" w14:cmpd="sng" w14:algn="ctr">
            <w14:noFill/>
            <w14:prstDash w14:val="solid"/>
            <w14:round/>
          </w14:textOutline>
        </w:rPr>
        <w:t xml:space="preserve">Over word count also </w:t>
      </w:r>
      <w:r w:rsidRPr="00294464">
        <w:rPr>
          <w:rFonts w:cstheme="minorHAnsi"/>
          <w:b/>
          <w:color w:val="000000" w:themeColor="text1"/>
          <w14:shadow w14:blurRad="12700" w14:dist="38100" w14:dir="2700000" w14:sx="100000" w14:sy="100000" w14:kx="0" w14:ky="0" w14:algn="tl">
            <w14:schemeClr w14:val="bg1">
              <w14:lumMod w14:val="50000"/>
            </w14:schemeClr>
          </w14:shadow>
          <w14:textOutline w14:w="9525" w14:cap="flat" w14:cmpd="sng" w14:algn="ctr">
            <w14:noFill/>
            <w14:prstDash w14:val="solid"/>
            <w14:round/>
          </w14:textOutline>
        </w:rPr>
        <w:t>just handing in draft to check plagiarism score as Turnitin has the best checker</w:t>
      </w:r>
    </w:p>
    <w:p w14:paraId="4A39CBCF" w14:textId="77777777" w:rsidR="001F56E0" w:rsidRDefault="001F56E0"/>
    <w:sectPr w:rsidR="001F56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3A6F68"/>
    <w:multiLevelType w:val="hybridMultilevel"/>
    <w:tmpl w:val="456227DE"/>
    <w:lvl w:ilvl="0" w:tplc="EC0AC07E">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61A7"/>
    <w:rsid w:val="001F56E0"/>
    <w:rsid w:val="004D436B"/>
    <w:rsid w:val="007C21E0"/>
    <w:rsid w:val="009A61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778164"/>
  <w15:chartTrackingRefBased/>
  <w15:docId w15:val="{84F416D7-EB6B-44DB-AF14-B3F8810993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61A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A61A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1860</Words>
  <Characters>8654</Characters>
  <Application>Microsoft Office Word</Application>
  <DocSecurity>0</DocSecurity>
  <Lines>149</Lines>
  <Paragraphs>24</Paragraphs>
  <ScaleCrop>false</ScaleCrop>
  <Company/>
  <LinksUpToDate>false</LinksUpToDate>
  <CharactersWithSpaces>10490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hermela tecleab</dc:creator>
  <cp:keywords/>
  <dc:description/>
  <cp:lastModifiedBy>hermela tecleab</cp:lastModifiedBy>
  <cp:revision>1</cp:revision>
  <dcterms:created xsi:type="dcterms:W3CDTF">2022-04-01T18:46:00Z</dcterms:created>
  <dcterms:modified xsi:type="dcterms:W3CDTF">2022-04-01T18:47:00Z</dcterms:modified>
</cp:coreProperties>
</file>