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9BCF4" w14:textId="77777777" w:rsidR="00B93033" w:rsidRPr="00DE0B02" w:rsidRDefault="00B93033" w:rsidP="00531A65">
      <w:pPr>
        <w:spacing w:line="360" w:lineRule="auto"/>
        <w:jc w:val="center"/>
        <w:rPr>
          <w:rFonts w:ascii="Times New Roman" w:eastAsia="Times New Roman" w:hAnsi="Times New Roman" w:cs="Times New Roman"/>
          <w:b/>
          <w:color w:val="000000" w:themeColor="text1"/>
          <w:sz w:val="32"/>
          <w:szCs w:val="32"/>
        </w:rPr>
      </w:pPr>
    </w:p>
    <w:p w14:paraId="6BEFCA41" w14:textId="77777777" w:rsidR="00B93033" w:rsidRPr="00DE0B02" w:rsidRDefault="00B93033" w:rsidP="00531A65">
      <w:pPr>
        <w:spacing w:line="360" w:lineRule="auto"/>
        <w:jc w:val="center"/>
        <w:rPr>
          <w:rFonts w:ascii="Times New Roman" w:eastAsia="Times New Roman" w:hAnsi="Times New Roman" w:cs="Times New Roman"/>
          <w:b/>
          <w:color w:val="000000" w:themeColor="text1"/>
          <w:sz w:val="32"/>
          <w:szCs w:val="32"/>
        </w:rPr>
      </w:pPr>
    </w:p>
    <w:p w14:paraId="4C860D78" w14:textId="77777777" w:rsidR="00B93033" w:rsidRPr="00DE0B02" w:rsidRDefault="00B93033" w:rsidP="00531A65">
      <w:pPr>
        <w:spacing w:line="360" w:lineRule="auto"/>
        <w:jc w:val="center"/>
        <w:rPr>
          <w:rFonts w:ascii="Times New Roman" w:eastAsia="Times New Roman" w:hAnsi="Times New Roman" w:cs="Times New Roman"/>
          <w:b/>
          <w:color w:val="000000" w:themeColor="text1"/>
          <w:sz w:val="32"/>
          <w:szCs w:val="32"/>
        </w:rPr>
      </w:pPr>
    </w:p>
    <w:p w14:paraId="4E886450" w14:textId="77777777" w:rsidR="001C1FA2" w:rsidRPr="00DE0B02" w:rsidRDefault="001C1FA2" w:rsidP="00531A65">
      <w:pPr>
        <w:spacing w:line="360" w:lineRule="auto"/>
        <w:jc w:val="center"/>
        <w:rPr>
          <w:rFonts w:ascii="Times New Roman" w:eastAsia="Times New Roman" w:hAnsi="Times New Roman" w:cs="Times New Roman"/>
          <w:b/>
          <w:color w:val="000000" w:themeColor="text1"/>
          <w:sz w:val="32"/>
          <w:szCs w:val="32"/>
        </w:rPr>
      </w:pPr>
    </w:p>
    <w:p w14:paraId="4B0F8FBE" w14:textId="77777777" w:rsidR="00B93033" w:rsidRPr="00DE0B02" w:rsidRDefault="00B93033" w:rsidP="00531A65">
      <w:pPr>
        <w:spacing w:line="360" w:lineRule="auto"/>
        <w:jc w:val="center"/>
        <w:rPr>
          <w:rFonts w:ascii="Times New Roman" w:eastAsia="Times New Roman" w:hAnsi="Times New Roman" w:cs="Times New Roman"/>
          <w:b/>
          <w:color w:val="000000" w:themeColor="text1"/>
          <w:sz w:val="32"/>
          <w:szCs w:val="32"/>
        </w:rPr>
      </w:pPr>
    </w:p>
    <w:p w14:paraId="326ADED6" w14:textId="4DBF9DA5" w:rsidR="00B93033" w:rsidRPr="00DE0B02" w:rsidRDefault="00B93033" w:rsidP="00531A65">
      <w:pPr>
        <w:spacing w:line="360" w:lineRule="auto"/>
        <w:jc w:val="center"/>
        <w:rPr>
          <w:rFonts w:ascii="Times New Roman" w:eastAsia="Times New Roman" w:hAnsi="Times New Roman" w:cs="Times New Roman"/>
          <w:b/>
          <w:color w:val="000000" w:themeColor="text1"/>
          <w:sz w:val="32"/>
          <w:szCs w:val="32"/>
        </w:rPr>
      </w:pPr>
      <w:r w:rsidRPr="00DE0B02">
        <w:rPr>
          <w:rFonts w:ascii="Times New Roman" w:eastAsia="Times New Roman" w:hAnsi="Times New Roman" w:cs="Times New Roman"/>
          <w:b/>
          <w:color w:val="000000" w:themeColor="text1"/>
          <w:sz w:val="32"/>
          <w:szCs w:val="32"/>
        </w:rPr>
        <w:t>MODULE: INTERNATIONAL BUSINESS COMMUNICATIONS</w:t>
      </w:r>
    </w:p>
    <w:p w14:paraId="06C7A436" w14:textId="6B447F78" w:rsidR="00B93033" w:rsidRPr="00DE0B02" w:rsidRDefault="00B93033" w:rsidP="00531A65">
      <w:pPr>
        <w:spacing w:line="360" w:lineRule="auto"/>
        <w:jc w:val="center"/>
        <w:rPr>
          <w:rFonts w:ascii="Times New Roman" w:eastAsia="Times New Roman" w:hAnsi="Times New Roman" w:cs="Times New Roman"/>
          <w:b/>
          <w:color w:val="000000" w:themeColor="text1"/>
          <w:sz w:val="32"/>
          <w:szCs w:val="32"/>
        </w:rPr>
      </w:pPr>
      <w:r w:rsidRPr="00DE0B02">
        <w:rPr>
          <w:rFonts w:ascii="Times New Roman" w:eastAsia="Times New Roman" w:hAnsi="Times New Roman" w:cs="Times New Roman"/>
          <w:b/>
          <w:color w:val="000000" w:themeColor="text1"/>
          <w:sz w:val="32"/>
          <w:szCs w:val="32"/>
        </w:rPr>
        <w:t>MODULE CODE: LCBB6023</w:t>
      </w:r>
    </w:p>
    <w:p w14:paraId="00000001" w14:textId="1698D38E" w:rsidR="00A7269A" w:rsidRPr="00DE0B02" w:rsidRDefault="00B93033" w:rsidP="00531A65">
      <w:pPr>
        <w:spacing w:line="360" w:lineRule="auto"/>
        <w:jc w:val="center"/>
        <w:rPr>
          <w:rFonts w:ascii="Times New Roman" w:eastAsia="Times New Roman" w:hAnsi="Times New Roman" w:cs="Times New Roman"/>
          <w:b/>
          <w:color w:val="000000" w:themeColor="text1"/>
          <w:sz w:val="32"/>
          <w:szCs w:val="32"/>
        </w:rPr>
      </w:pPr>
      <w:r w:rsidRPr="00DE0B02">
        <w:rPr>
          <w:rFonts w:ascii="Times New Roman" w:eastAsia="Times New Roman" w:hAnsi="Times New Roman" w:cs="Times New Roman"/>
          <w:b/>
          <w:color w:val="000000" w:themeColor="text1"/>
          <w:sz w:val="32"/>
          <w:szCs w:val="32"/>
        </w:rPr>
        <w:t>ASSIGNMENT TITLE: COMPONENT 2: COURSEWORK: ESSAY</w:t>
      </w:r>
    </w:p>
    <w:p w14:paraId="00000002" w14:textId="74618070" w:rsidR="00A7269A" w:rsidRDefault="00B93033" w:rsidP="00531A65">
      <w:pPr>
        <w:spacing w:line="360" w:lineRule="auto"/>
        <w:jc w:val="center"/>
        <w:rPr>
          <w:rFonts w:ascii="Times New Roman" w:eastAsia="Times New Roman" w:hAnsi="Times New Roman" w:cs="Times New Roman"/>
          <w:b/>
          <w:color w:val="000000" w:themeColor="text1"/>
          <w:sz w:val="32"/>
          <w:szCs w:val="32"/>
        </w:rPr>
      </w:pPr>
      <w:r w:rsidRPr="00DE0B02">
        <w:rPr>
          <w:rFonts w:ascii="Times New Roman" w:eastAsia="Times New Roman" w:hAnsi="Times New Roman" w:cs="Times New Roman"/>
          <w:b/>
          <w:color w:val="000000" w:themeColor="text1"/>
          <w:sz w:val="32"/>
          <w:szCs w:val="32"/>
        </w:rPr>
        <w:t>CHOSEN THEME/ISSUE: NEGOTIATION</w:t>
      </w:r>
    </w:p>
    <w:p w14:paraId="0DEFF889" w14:textId="539C6D8D" w:rsidR="008F5003" w:rsidRDefault="008F5003" w:rsidP="00531A65">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NAME: MIHAELA HERMENEANU</w:t>
      </w:r>
    </w:p>
    <w:p w14:paraId="796C5F08" w14:textId="72585490" w:rsidR="008F5003" w:rsidRPr="00DE0B02" w:rsidRDefault="008F5003" w:rsidP="00531A65">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NUMBER:2310013</w:t>
      </w:r>
    </w:p>
    <w:p w14:paraId="00000003" w14:textId="77777777" w:rsidR="00A7269A" w:rsidRPr="00DE0B02" w:rsidRDefault="00A7269A" w:rsidP="00531A65">
      <w:pPr>
        <w:spacing w:line="360" w:lineRule="auto"/>
        <w:jc w:val="both"/>
        <w:rPr>
          <w:rFonts w:ascii="Times New Roman" w:eastAsia="Times New Roman" w:hAnsi="Times New Roman" w:cs="Times New Roman"/>
          <w:b/>
          <w:color w:val="000000" w:themeColor="text1"/>
          <w:sz w:val="24"/>
          <w:szCs w:val="24"/>
        </w:rPr>
      </w:pPr>
    </w:p>
    <w:p w14:paraId="79C715CD" w14:textId="77777777" w:rsidR="00E25860" w:rsidRPr="00DE0B02" w:rsidRDefault="00E25860" w:rsidP="00531A65">
      <w:pPr>
        <w:spacing w:line="360" w:lineRule="auto"/>
        <w:jc w:val="both"/>
        <w:rPr>
          <w:rFonts w:ascii="Times New Roman" w:eastAsia="Times New Roman" w:hAnsi="Times New Roman" w:cs="Times New Roman"/>
          <w:b/>
          <w:color w:val="000000" w:themeColor="text1"/>
          <w:sz w:val="24"/>
          <w:szCs w:val="24"/>
        </w:rPr>
      </w:pPr>
      <w:r w:rsidRPr="00DE0B02">
        <w:rPr>
          <w:rFonts w:ascii="Times New Roman" w:eastAsia="Times New Roman" w:hAnsi="Times New Roman" w:cs="Times New Roman"/>
          <w:b/>
          <w:color w:val="000000" w:themeColor="text1"/>
          <w:sz w:val="24"/>
          <w:szCs w:val="24"/>
        </w:rPr>
        <w:br w:type="page"/>
      </w:r>
    </w:p>
    <w:p w14:paraId="00000004" w14:textId="15305204" w:rsidR="00A7269A" w:rsidRPr="00DE0B02" w:rsidRDefault="00DE0B02" w:rsidP="00531A65">
      <w:pPr>
        <w:pStyle w:val="Heading1"/>
        <w:spacing w:before="0" w:after="0"/>
        <w:rPr>
          <w:rFonts w:cs="Times New Roman"/>
          <w:color w:val="000000" w:themeColor="text1"/>
        </w:rPr>
      </w:pPr>
      <w:r w:rsidRPr="00DE0B02">
        <w:rPr>
          <w:rFonts w:cs="Times New Roman"/>
          <w:color w:val="000000" w:themeColor="text1"/>
        </w:rPr>
        <w:lastRenderedPageBreak/>
        <w:t>Introduction</w:t>
      </w:r>
    </w:p>
    <w:p w14:paraId="00000005" w14:textId="3ED3A1FD"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The </w:t>
      </w:r>
      <w:r w:rsidRPr="00DE0B02">
        <w:rPr>
          <w:rFonts w:ascii="Times New Roman" w:eastAsia="Times New Roman" w:hAnsi="Times New Roman" w:cs="Times New Roman"/>
          <w:b/>
          <w:i/>
          <w:color w:val="000000" w:themeColor="text1"/>
          <w:sz w:val="24"/>
          <w:szCs w:val="24"/>
        </w:rPr>
        <w:t>negotiation</w:t>
      </w:r>
      <w:r w:rsidRPr="00DE0B02">
        <w:rPr>
          <w:rFonts w:ascii="Times New Roman" w:eastAsia="Times New Roman" w:hAnsi="Times New Roman" w:cs="Times New Roman"/>
          <w:color w:val="000000" w:themeColor="text1"/>
          <w:sz w:val="24"/>
          <w:szCs w:val="24"/>
        </w:rPr>
        <w:t xml:space="preserve"> process is a key part of doing business internationally, and it's closely related to how people talk to each other across cultures. Cultural conventions that vary affect everything from how offers are created to how people say they agree or disagree (Thomas, 2021). In cultures with a lot of </w:t>
      </w:r>
      <w:r w:rsidR="00E25860" w:rsidRPr="00DE0B02">
        <w:rPr>
          <w:rFonts w:ascii="Times New Roman" w:eastAsia="Times New Roman" w:hAnsi="Times New Roman" w:cs="Times New Roman"/>
          <w:color w:val="000000" w:themeColor="text1"/>
          <w:sz w:val="24"/>
          <w:szCs w:val="24"/>
        </w:rPr>
        <w:t>contexts</w:t>
      </w:r>
      <w:r w:rsidRPr="00DE0B02">
        <w:rPr>
          <w:rFonts w:ascii="Times New Roman" w:eastAsia="Times New Roman" w:hAnsi="Times New Roman" w:cs="Times New Roman"/>
          <w:color w:val="000000" w:themeColor="text1"/>
          <w:sz w:val="24"/>
          <w:szCs w:val="24"/>
        </w:rPr>
        <w:t xml:space="preserve">, like Japan, people often don't say what they mean directly. Silence or small gestures can mean a lot. Not comprehension of these cues can cause confusion, make decisions take longer, or even cause deals to fall through (Takahashi, 2023). Inconsistencies regarding communication aren't just little annoyances; they can have a big impact on the results of substantial company deals and long-term partnerships. </w:t>
      </w:r>
    </w:p>
    <w:p w14:paraId="00000006"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This essay seeks to critically examine negotiation practices within Japanese business, emphasising the influence of cultural factors on communication and decision-making. It will also look at ways that global executives can get around these problems so that they can work better with their Japanese counterparts. The goal is to connect theories of intercultural communication with real-life situations to show how culture affects negotiation on both a strategic and a day-to-day level.</w:t>
      </w:r>
    </w:p>
    <w:p w14:paraId="6D482F4E" w14:textId="5A896768" w:rsidR="008421D8"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There are three primary subsections to the essay. The literature review will initially examine essential theories and concepts, encompassing the cultural aspects outlined by Hofstede, high- and low-contextual interaction, and frameworks proposed by Samovar and Jandt. The primary analysis will subsequently utilise these theories to examine Japanese negotiation practices, employing case histories and practical examples to elucidate problems and approaches. Lastly, the conclusion will break up the most important points and give international managers some tips on how to handle negotiations between people from different cultures. </w:t>
      </w:r>
    </w:p>
    <w:p w14:paraId="7F6F9E47" w14:textId="70DD1A55" w:rsidR="008421D8" w:rsidRPr="00DE0B02" w:rsidRDefault="008421D8" w:rsidP="00531A65">
      <w:pPr>
        <w:pStyle w:val="Heading1"/>
        <w:spacing w:before="0" w:after="0"/>
        <w:rPr>
          <w:rFonts w:cs="Times New Roman"/>
          <w:color w:val="000000" w:themeColor="text1"/>
        </w:rPr>
      </w:pPr>
      <w:r w:rsidRPr="00DE0B02">
        <w:rPr>
          <w:rFonts w:cs="Times New Roman"/>
          <w:color w:val="000000" w:themeColor="text1"/>
        </w:rPr>
        <w:t>Main Body</w:t>
      </w:r>
    </w:p>
    <w:p w14:paraId="00000009" w14:textId="196BD02E" w:rsidR="00A7269A" w:rsidRPr="00DE0B02" w:rsidRDefault="00DE0B02" w:rsidP="00531A65">
      <w:pPr>
        <w:spacing w:line="360" w:lineRule="auto"/>
        <w:jc w:val="both"/>
        <w:rPr>
          <w:rFonts w:ascii="Times New Roman" w:hAnsi="Times New Roman" w:cs="Times New Roman"/>
          <w:color w:val="000000" w:themeColor="text1"/>
          <w:sz w:val="24"/>
          <w:szCs w:val="24"/>
        </w:rPr>
      </w:pPr>
      <w:r w:rsidRPr="00DE0B02">
        <w:rPr>
          <w:rFonts w:ascii="Times New Roman" w:hAnsi="Times New Roman" w:cs="Times New Roman"/>
          <w:b/>
          <w:bCs/>
          <w:color w:val="000000" w:themeColor="text1"/>
          <w:sz w:val="24"/>
          <w:szCs w:val="24"/>
        </w:rPr>
        <w:t>Literature Review</w:t>
      </w:r>
      <w:r w:rsidR="00A6218B" w:rsidRPr="00DE0B02">
        <w:rPr>
          <w:rFonts w:ascii="Times New Roman" w:hAnsi="Times New Roman" w:cs="Times New Roman"/>
          <w:b/>
          <w:bCs/>
          <w:color w:val="000000" w:themeColor="text1"/>
          <w:sz w:val="24"/>
          <w:szCs w:val="24"/>
        </w:rPr>
        <w:t>:</w:t>
      </w:r>
      <w:r w:rsidR="00A6218B" w:rsidRPr="00DE0B02">
        <w:rPr>
          <w:rFonts w:ascii="Times New Roman" w:hAnsi="Times New Roman" w:cs="Times New Roman"/>
          <w:color w:val="000000" w:themeColor="text1"/>
          <w:sz w:val="24"/>
          <w:szCs w:val="24"/>
        </w:rPr>
        <w:t xml:space="preserve"> </w:t>
      </w:r>
      <w:r w:rsidRPr="00DE0B02">
        <w:rPr>
          <w:rFonts w:ascii="Times New Roman" w:eastAsia="Times New Roman" w:hAnsi="Times New Roman" w:cs="Times New Roman"/>
          <w:color w:val="000000" w:themeColor="text1"/>
          <w:sz w:val="24"/>
          <w:szCs w:val="24"/>
        </w:rPr>
        <w:t xml:space="preserve">According to Alqarni (2022), </w:t>
      </w:r>
      <w:r w:rsidRPr="00DE0B02">
        <w:rPr>
          <w:rFonts w:ascii="Times New Roman" w:eastAsia="Times New Roman" w:hAnsi="Times New Roman" w:cs="Times New Roman"/>
          <w:i/>
          <w:color w:val="000000" w:themeColor="text1"/>
          <w:sz w:val="24"/>
          <w:szCs w:val="24"/>
        </w:rPr>
        <w:t xml:space="preserve">"Hofstede's cultural dimensions" </w:t>
      </w:r>
      <w:r w:rsidRPr="00DE0B02">
        <w:rPr>
          <w:rFonts w:ascii="Times New Roman" w:eastAsia="Times New Roman" w:hAnsi="Times New Roman" w:cs="Times New Roman"/>
          <w:color w:val="000000" w:themeColor="text1"/>
          <w:sz w:val="24"/>
          <w:szCs w:val="24"/>
        </w:rPr>
        <w:t xml:space="preserve">has been a good way to learn about how a country's culture affects how people act and talk at work. Because of the </w:t>
      </w:r>
      <w:r w:rsidR="00A6218B" w:rsidRPr="00DE0B02">
        <w:rPr>
          <w:rFonts w:ascii="Times New Roman" w:eastAsia="Times New Roman" w:hAnsi="Times New Roman" w:cs="Times New Roman"/>
          <w:color w:val="000000" w:themeColor="text1"/>
          <w:sz w:val="24"/>
          <w:szCs w:val="24"/>
        </w:rPr>
        <w:t>high-power</w:t>
      </w:r>
      <w:r w:rsidRPr="00DE0B02">
        <w:rPr>
          <w:rFonts w:ascii="Times New Roman" w:eastAsia="Times New Roman" w:hAnsi="Times New Roman" w:cs="Times New Roman"/>
          <w:color w:val="000000" w:themeColor="text1"/>
          <w:sz w:val="24"/>
          <w:szCs w:val="24"/>
        </w:rPr>
        <w:t xml:space="preserve"> distance in Japan, hierarchy is very substantial, so juniors don't often openly question seniors during negotiations. Collectivism puts the goals of the group ahead of the goals of individuals, which changes how decisions are made and settlements are reached. People who avoid uncertainty tend to plan carefully and follow structured processes. People who have a long-term orientation, on the other hand, focus on building lasting relationships instead of looking for quick wins. These factors help us understand why Japanese negotiations are usually patient, careful, and focused on keeping the peace instead of fighting.</w:t>
      </w:r>
    </w:p>
    <w:p w14:paraId="0000000A" w14:textId="19AC9799"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lastRenderedPageBreak/>
        <w:t xml:space="preserve">Another important idea is </w:t>
      </w:r>
      <w:r w:rsidRPr="00DE0B02">
        <w:rPr>
          <w:rFonts w:ascii="Times New Roman" w:eastAsia="Times New Roman" w:hAnsi="Times New Roman" w:cs="Times New Roman"/>
          <w:i/>
          <w:color w:val="000000" w:themeColor="text1"/>
          <w:sz w:val="24"/>
          <w:szCs w:val="24"/>
        </w:rPr>
        <w:t>"Business English as a Lingua Franca," or BELF</w:t>
      </w:r>
      <w:r w:rsidRPr="00DE0B02">
        <w:rPr>
          <w:rFonts w:ascii="Times New Roman" w:eastAsia="Times New Roman" w:hAnsi="Times New Roman" w:cs="Times New Roman"/>
          <w:color w:val="000000" w:themeColor="text1"/>
          <w:sz w:val="24"/>
          <w:szCs w:val="24"/>
        </w:rPr>
        <w:t xml:space="preserve">. As per </w:t>
      </w:r>
      <w:proofErr w:type="spellStart"/>
      <w:r w:rsidRPr="00DE0B02">
        <w:rPr>
          <w:rFonts w:ascii="Times New Roman" w:eastAsia="Times New Roman" w:hAnsi="Times New Roman" w:cs="Times New Roman"/>
          <w:color w:val="000000" w:themeColor="text1"/>
          <w:sz w:val="24"/>
          <w:szCs w:val="24"/>
        </w:rPr>
        <w:t>Rajprasit</w:t>
      </w:r>
      <w:proofErr w:type="spellEnd"/>
      <w:r w:rsidRPr="00DE0B02">
        <w:rPr>
          <w:rFonts w:ascii="Times New Roman" w:eastAsia="Times New Roman" w:hAnsi="Times New Roman" w:cs="Times New Roman"/>
          <w:color w:val="000000" w:themeColor="text1"/>
          <w:sz w:val="24"/>
          <w:szCs w:val="24"/>
        </w:rPr>
        <w:t xml:space="preserve"> </w:t>
      </w:r>
      <w:r w:rsidR="00436210" w:rsidRPr="00DE0B02">
        <w:rPr>
          <w:rFonts w:ascii="Times New Roman" w:eastAsia="Times New Roman" w:hAnsi="Times New Roman" w:cs="Times New Roman"/>
          <w:i/>
          <w:iCs/>
          <w:color w:val="000000" w:themeColor="text1"/>
          <w:sz w:val="24"/>
          <w:szCs w:val="24"/>
        </w:rPr>
        <w:t>et al.</w:t>
      </w:r>
      <w:r w:rsidRPr="00DE0B02">
        <w:rPr>
          <w:rFonts w:ascii="Times New Roman" w:eastAsia="Times New Roman" w:hAnsi="Times New Roman" w:cs="Times New Roman"/>
          <w:color w:val="000000" w:themeColor="text1"/>
          <w:sz w:val="24"/>
          <w:szCs w:val="24"/>
        </w:rPr>
        <w:t xml:space="preserve"> (2022), it means that people who don't speak the same native tongue use English as a common language. In Japanese commerce, BELF helps people talk to each other better with foreign counterparts, but being indirect and polite can lead to small misunderstandings. In negotiation language, people often don't say "no" directly and instead rely on implied meaning. This can be confounding for people from ethnic backgrounds who expect straightforward interaction.</w:t>
      </w:r>
    </w:p>
    <w:p w14:paraId="0000000B"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i/>
          <w:color w:val="000000" w:themeColor="text1"/>
          <w:sz w:val="24"/>
          <w:szCs w:val="24"/>
        </w:rPr>
        <w:t>"Edward Hall's idea of high- and low-context communication"</w:t>
      </w:r>
      <w:r w:rsidRPr="00DE0B02">
        <w:rPr>
          <w:rFonts w:ascii="Times New Roman" w:eastAsia="Times New Roman" w:hAnsi="Times New Roman" w:cs="Times New Roman"/>
          <w:color w:val="000000" w:themeColor="text1"/>
          <w:sz w:val="24"/>
          <w:szCs w:val="24"/>
        </w:rPr>
        <w:t xml:space="preserve"> is very important for Japan. As penned by Minami (2022), it is a culture that is highly contextualised, which means that a lot of information is not said directly but is instead implied through movements, tone, or silence. It is very important to read these cues correctly because silence can mean concurrence, consideration, or polite disagreement. Low-context cultures, on the other hand, depend on straightforward spoken exchanges, which can be a problem in Japanese negotiations if the nuanced nature is missed.</w:t>
      </w:r>
    </w:p>
    <w:p w14:paraId="0000000C"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According to Hanekom (2021), </w:t>
      </w:r>
      <w:r w:rsidRPr="00DE0B02">
        <w:rPr>
          <w:rFonts w:ascii="Times New Roman" w:eastAsia="Times New Roman" w:hAnsi="Times New Roman" w:cs="Times New Roman"/>
          <w:i/>
          <w:color w:val="000000" w:themeColor="text1"/>
          <w:sz w:val="24"/>
          <w:szCs w:val="24"/>
        </w:rPr>
        <w:t>"Samovar and Jandt's intercultural communication frameworks"</w:t>
      </w:r>
      <w:r w:rsidRPr="00DE0B02">
        <w:rPr>
          <w:rFonts w:ascii="Times New Roman" w:eastAsia="Times New Roman" w:hAnsi="Times New Roman" w:cs="Times New Roman"/>
          <w:color w:val="000000" w:themeColor="text1"/>
          <w:sz w:val="24"/>
          <w:szCs w:val="24"/>
        </w:rPr>
        <w:t xml:space="preserve"> offer an alternative viewpoint, emphasising the interplay of values, norms, and communication styles. Learning about culture isn't just about memorising facts; it's also about figuring out what they mean in context. This is especially important when negotiating, when reading between the lines can make or break a deal.</w:t>
      </w:r>
    </w:p>
    <w:p w14:paraId="0000000D" w14:textId="27AA5B24"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i/>
          <w:color w:val="000000" w:themeColor="text1"/>
          <w:sz w:val="24"/>
          <w:szCs w:val="24"/>
        </w:rPr>
        <w:t>"Indirect communication"</w:t>
      </w:r>
      <w:r w:rsidRPr="00DE0B02">
        <w:rPr>
          <w:rFonts w:ascii="Times New Roman" w:eastAsia="Times New Roman" w:hAnsi="Times New Roman" w:cs="Times New Roman"/>
          <w:color w:val="000000" w:themeColor="text1"/>
          <w:sz w:val="24"/>
          <w:szCs w:val="24"/>
        </w:rPr>
        <w:t xml:space="preserve"> is very important in Japanese negotiations. As per Tanaka (2025) people often soften or imply statements to keep the peace and avoid conflict. </w:t>
      </w:r>
      <w:r w:rsidRPr="00DE0B02">
        <w:rPr>
          <w:rFonts w:ascii="Times New Roman" w:eastAsia="Times New Roman" w:hAnsi="Times New Roman" w:cs="Times New Roman"/>
          <w:i/>
          <w:color w:val="000000" w:themeColor="text1"/>
          <w:sz w:val="24"/>
          <w:szCs w:val="24"/>
        </w:rPr>
        <w:t>"Silence"</w:t>
      </w:r>
      <w:r w:rsidRPr="00DE0B02">
        <w:rPr>
          <w:rFonts w:ascii="Times New Roman" w:eastAsia="Times New Roman" w:hAnsi="Times New Roman" w:cs="Times New Roman"/>
          <w:color w:val="000000" w:themeColor="text1"/>
          <w:sz w:val="24"/>
          <w:szCs w:val="24"/>
        </w:rPr>
        <w:t xml:space="preserve"> is used on purpose to show that someone is being careful or thoughtful, not uncomfortable. </w:t>
      </w:r>
      <w:r w:rsidRPr="00DE0B02">
        <w:rPr>
          <w:rFonts w:ascii="Times New Roman" w:eastAsia="Times New Roman" w:hAnsi="Times New Roman" w:cs="Times New Roman"/>
          <w:i/>
          <w:color w:val="000000" w:themeColor="text1"/>
          <w:sz w:val="24"/>
          <w:szCs w:val="24"/>
        </w:rPr>
        <w:t>"Consensus decision-making"</w:t>
      </w:r>
      <w:r w:rsidRPr="00DE0B02">
        <w:rPr>
          <w:rFonts w:ascii="Times New Roman" w:eastAsia="Times New Roman" w:hAnsi="Times New Roman" w:cs="Times New Roman"/>
          <w:color w:val="000000" w:themeColor="text1"/>
          <w:sz w:val="24"/>
          <w:szCs w:val="24"/>
        </w:rPr>
        <w:t xml:space="preserve"> supports collectivist values by requiring input from many people before a decision is made (Tran</w:t>
      </w:r>
      <w:r w:rsidRPr="00DE0B02">
        <w:rPr>
          <w:rFonts w:ascii="Times New Roman" w:eastAsia="Times New Roman" w:hAnsi="Times New Roman" w:cs="Times New Roman"/>
          <w:i/>
          <w:color w:val="000000" w:themeColor="text1"/>
          <w:sz w:val="24"/>
          <w:szCs w:val="24"/>
        </w:rPr>
        <w:t xml:space="preserve"> </w:t>
      </w:r>
      <w:r w:rsidR="00436210" w:rsidRPr="00DE0B02">
        <w:rPr>
          <w:rFonts w:ascii="Times New Roman" w:eastAsia="Times New Roman" w:hAnsi="Times New Roman" w:cs="Times New Roman"/>
          <w:i/>
          <w:iCs/>
          <w:color w:val="000000" w:themeColor="text1"/>
          <w:sz w:val="24"/>
          <w:szCs w:val="24"/>
        </w:rPr>
        <w:t>et al.</w:t>
      </w:r>
      <w:r w:rsidRPr="00DE0B02">
        <w:rPr>
          <w:rFonts w:ascii="Times New Roman" w:eastAsia="Times New Roman" w:hAnsi="Times New Roman" w:cs="Times New Roman"/>
          <w:i/>
          <w:color w:val="000000" w:themeColor="text1"/>
          <w:sz w:val="24"/>
          <w:szCs w:val="24"/>
        </w:rPr>
        <w:t>,</w:t>
      </w:r>
      <w:r w:rsidRPr="00DE0B02">
        <w:rPr>
          <w:rFonts w:ascii="Times New Roman" w:eastAsia="Times New Roman" w:hAnsi="Times New Roman" w:cs="Times New Roman"/>
          <w:color w:val="000000" w:themeColor="text1"/>
          <w:sz w:val="24"/>
          <w:szCs w:val="24"/>
        </w:rPr>
        <w:t xml:space="preserve"> 2023). A compromising style that is planned, indirect, and hierarchical is careful, polite, and focused on keeping things going for a while to come. </w:t>
      </w:r>
      <w:r w:rsidRPr="00DE0B02">
        <w:rPr>
          <w:rFonts w:ascii="Times New Roman" w:eastAsia="Times New Roman" w:hAnsi="Times New Roman" w:cs="Times New Roman"/>
          <w:i/>
          <w:color w:val="000000" w:themeColor="text1"/>
          <w:sz w:val="24"/>
          <w:szCs w:val="24"/>
        </w:rPr>
        <w:t>"Building relationships"</w:t>
      </w:r>
      <w:r w:rsidRPr="00DE0B02">
        <w:rPr>
          <w:rFonts w:ascii="Times New Roman" w:eastAsia="Times New Roman" w:hAnsi="Times New Roman" w:cs="Times New Roman"/>
          <w:color w:val="000000" w:themeColor="text1"/>
          <w:sz w:val="24"/>
          <w:szCs w:val="24"/>
        </w:rPr>
        <w:t xml:space="preserve"> is also very important because trust and loyalty are the building blocks of long-term partnerships (</w:t>
      </w:r>
      <w:proofErr w:type="spellStart"/>
      <w:r w:rsidRPr="00DE0B02">
        <w:rPr>
          <w:rFonts w:ascii="Times New Roman" w:eastAsia="Times New Roman" w:hAnsi="Times New Roman" w:cs="Times New Roman"/>
          <w:color w:val="000000" w:themeColor="text1"/>
          <w:sz w:val="24"/>
          <w:szCs w:val="24"/>
        </w:rPr>
        <w:t>Baehaqi</w:t>
      </w:r>
      <w:proofErr w:type="spellEnd"/>
      <w:r w:rsidRPr="00DE0B02">
        <w:rPr>
          <w:rFonts w:ascii="Times New Roman" w:eastAsia="Times New Roman" w:hAnsi="Times New Roman" w:cs="Times New Roman"/>
          <w:i/>
          <w:color w:val="000000" w:themeColor="text1"/>
          <w:sz w:val="24"/>
          <w:szCs w:val="24"/>
        </w:rPr>
        <w:t xml:space="preserve"> </w:t>
      </w:r>
      <w:r w:rsidR="00436210" w:rsidRPr="00DE0B02">
        <w:rPr>
          <w:rFonts w:ascii="Times New Roman" w:eastAsia="Times New Roman" w:hAnsi="Times New Roman" w:cs="Times New Roman"/>
          <w:i/>
          <w:iCs/>
          <w:color w:val="000000" w:themeColor="text1"/>
          <w:sz w:val="24"/>
          <w:szCs w:val="24"/>
        </w:rPr>
        <w:t>et al.</w:t>
      </w:r>
      <w:r w:rsidRPr="00DE0B02">
        <w:rPr>
          <w:rFonts w:ascii="Times New Roman" w:eastAsia="Times New Roman" w:hAnsi="Times New Roman" w:cs="Times New Roman"/>
          <w:i/>
          <w:color w:val="000000" w:themeColor="text1"/>
          <w:sz w:val="24"/>
          <w:szCs w:val="24"/>
        </w:rPr>
        <w:t>,</w:t>
      </w:r>
      <w:r w:rsidRPr="00DE0B02">
        <w:rPr>
          <w:rFonts w:ascii="Times New Roman" w:eastAsia="Times New Roman" w:hAnsi="Times New Roman" w:cs="Times New Roman"/>
          <w:color w:val="000000" w:themeColor="text1"/>
          <w:sz w:val="24"/>
          <w:szCs w:val="24"/>
        </w:rPr>
        <w:t xml:space="preserve"> 2023). These ideas show that negotiating in Japan isn't just about making deals; it's also about finding ways to meet the requirements of society and culture to get results that everyone is happy with. </w:t>
      </w:r>
    </w:p>
    <w:p w14:paraId="0000000F" w14:textId="6DE5E47A" w:rsidR="00A7269A" w:rsidRPr="00DE0B02" w:rsidRDefault="00DE0B02" w:rsidP="00531A65">
      <w:pPr>
        <w:spacing w:line="360" w:lineRule="auto"/>
        <w:jc w:val="both"/>
        <w:rPr>
          <w:rFonts w:ascii="Times New Roman" w:hAnsi="Times New Roman" w:cs="Times New Roman"/>
          <w:b/>
          <w:bCs/>
          <w:color w:val="000000" w:themeColor="text1"/>
          <w:sz w:val="24"/>
          <w:szCs w:val="24"/>
        </w:rPr>
      </w:pPr>
      <w:r w:rsidRPr="00DE0B02">
        <w:rPr>
          <w:rFonts w:ascii="Times New Roman" w:hAnsi="Times New Roman" w:cs="Times New Roman"/>
          <w:b/>
          <w:bCs/>
          <w:color w:val="000000" w:themeColor="text1"/>
          <w:sz w:val="24"/>
          <w:szCs w:val="24"/>
        </w:rPr>
        <w:t>Main Analysis</w:t>
      </w:r>
      <w:r w:rsidR="00CB269A" w:rsidRPr="00DE0B02">
        <w:rPr>
          <w:rFonts w:ascii="Times New Roman" w:hAnsi="Times New Roman" w:cs="Times New Roman"/>
          <w:b/>
          <w:bCs/>
          <w:color w:val="000000" w:themeColor="text1"/>
          <w:sz w:val="24"/>
          <w:szCs w:val="24"/>
        </w:rPr>
        <w:t xml:space="preserve">: </w:t>
      </w:r>
      <w:r w:rsidRPr="00DE0B02">
        <w:rPr>
          <w:rFonts w:ascii="Times New Roman" w:eastAsia="Times New Roman" w:hAnsi="Times New Roman" w:cs="Times New Roman"/>
          <w:color w:val="000000" w:themeColor="text1"/>
          <w:sz w:val="24"/>
          <w:szCs w:val="24"/>
        </w:rPr>
        <w:t xml:space="preserve">“High power distance” is an important part of how Japanese businesses talk to each other, especially when they are negotiating. People have a lot of respect for authority, so juniors don't often openly question seniors or disagree with them in meetings (Dai </w:t>
      </w:r>
      <w:r w:rsidR="00436210" w:rsidRPr="00DE0B02">
        <w:rPr>
          <w:rFonts w:ascii="Times New Roman" w:eastAsia="Times New Roman" w:hAnsi="Times New Roman" w:cs="Times New Roman"/>
          <w:i/>
          <w:iCs/>
          <w:color w:val="000000" w:themeColor="text1"/>
          <w:sz w:val="24"/>
          <w:szCs w:val="24"/>
        </w:rPr>
        <w:t>et al.</w:t>
      </w:r>
      <w:r w:rsidRPr="00DE0B02">
        <w:rPr>
          <w:rFonts w:ascii="Times New Roman" w:eastAsia="Times New Roman" w:hAnsi="Times New Roman" w:cs="Times New Roman"/>
          <w:i/>
          <w:color w:val="000000" w:themeColor="text1"/>
          <w:sz w:val="24"/>
          <w:szCs w:val="24"/>
        </w:rPr>
        <w:t>,</w:t>
      </w:r>
      <w:r w:rsidRPr="00DE0B02">
        <w:rPr>
          <w:rFonts w:ascii="Times New Roman" w:eastAsia="Times New Roman" w:hAnsi="Times New Roman" w:cs="Times New Roman"/>
          <w:color w:val="000000" w:themeColor="text1"/>
          <w:sz w:val="24"/>
          <w:szCs w:val="24"/>
        </w:rPr>
        <w:t xml:space="preserve"> 2022). People who negotiate are cautious to show respect for senior members, and those at the highest level of the corporate structure often have a big say in decisions. This cultural </w:t>
      </w:r>
      <w:r w:rsidRPr="00DE0B02">
        <w:rPr>
          <w:rFonts w:ascii="Times New Roman" w:eastAsia="Times New Roman" w:hAnsi="Times New Roman" w:cs="Times New Roman"/>
          <w:color w:val="000000" w:themeColor="text1"/>
          <w:sz w:val="24"/>
          <w:szCs w:val="24"/>
        </w:rPr>
        <w:lastRenderedPageBreak/>
        <w:t>expectation makes people more formal when they talk and more organised when they present their ideas. People in charge are supposed to lead the conversation, while people lower on the totem pole are supposed to add to it subtly, often by giving hints or supportive comments. This hierarchy helps keep things peaceful, but it can also make negotiations take longer for people who don't know how things work.</w:t>
      </w:r>
    </w:p>
    <w:p w14:paraId="00000010"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Another important part of Japanese negotiation customs is collectivism. Most of the time, decisions aren't made by one person alone; instead, they are made by a group of people talking about them until they all agree (Begum, 2021). Teamwork and harmony are the most important things, so negotiation strategies often include talking to a lot of people before making a decision. To keep the group balance, people sometimes downplay their own assertiveness. This focus on making decisions together makes sure that agreements are generally embraced and respected. However, it also renders the negotiation process slower than in cultures which encourage quick, individual decisions. The need for everyone to agree can make international partners angry when they want results that are more direct or quicker.</w:t>
      </w:r>
    </w:p>
    <w:p w14:paraId="00000011" w14:textId="1924A6FB"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People who don't like uncertainty a lot also have a big impact on how negotiations work. Japanese companies like contracts that are clear, structured agreements, and processes that are easy to follow. People usually try to avoid being unclear, and they think it's important to plan before starting a conversation (Lian </w:t>
      </w:r>
      <w:r w:rsidR="00436210" w:rsidRPr="00DE0B02">
        <w:rPr>
          <w:rFonts w:ascii="Times New Roman" w:eastAsia="Times New Roman" w:hAnsi="Times New Roman" w:cs="Times New Roman"/>
          <w:i/>
          <w:iCs/>
          <w:color w:val="000000" w:themeColor="text1"/>
          <w:sz w:val="24"/>
          <w:szCs w:val="24"/>
        </w:rPr>
        <w:t>et al.</w:t>
      </w:r>
      <w:r w:rsidRPr="00DE0B02">
        <w:rPr>
          <w:rFonts w:ascii="Times New Roman" w:eastAsia="Times New Roman" w:hAnsi="Times New Roman" w:cs="Times New Roman"/>
          <w:i/>
          <w:color w:val="000000" w:themeColor="text1"/>
          <w:sz w:val="24"/>
          <w:szCs w:val="24"/>
        </w:rPr>
        <w:t>,</w:t>
      </w:r>
      <w:r w:rsidRPr="00DE0B02">
        <w:rPr>
          <w:rFonts w:ascii="Times New Roman" w:eastAsia="Times New Roman" w:hAnsi="Times New Roman" w:cs="Times New Roman"/>
          <w:color w:val="000000" w:themeColor="text1"/>
          <w:sz w:val="24"/>
          <w:szCs w:val="24"/>
        </w:rPr>
        <w:t xml:space="preserve"> 2021). Negotiators are likely to make a lot of plans, projections, and backup plans to make sure they are ready for anything. This careful approach is in line with cultural expectations for stability and lowering risk, which can sometimes be at odds with traditional Western negotiation styles that allow for greater flexibility or spontaneous innovation.</w:t>
      </w:r>
    </w:p>
    <w:p w14:paraId="00000012"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Toyota is a good example of how these cultural values work in real life. Negotiation processes are very organised, and decisions are made after a lot of internal discussion to reach a consensus (Furuta and Shook, 2021). Discussions are formal, and everyone is expected to be respectful and patient, especially with senior executives. People often stay quiet and choose their words carefully. When they make suggestions, they do so in a way that focuses on the group's benefit rather than their own. This method fits with Japan's high power distance, collectivism, and sustainability focus, which ensures that agreements are stable and last.</w:t>
      </w:r>
    </w:p>
    <w:p w14:paraId="00000013"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Another thing that makes Japanese negotiation unique is Sony's partnerships with companies from other countries. Japanese negotiators often change their informal communication style when they work with Western companies, but they still focus on building relationships (Chau and </w:t>
      </w:r>
      <w:proofErr w:type="spellStart"/>
      <w:r w:rsidRPr="00DE0B02">
        <w:rPr>
          <w:rFonts w:ascii="Times New Roman" w:eastAsia="Times New Roman" w:hAnsi="Times New Roman" w:cs="Times New Roman"/>
          <w:color w:val="000000" w:themeColor="text1"/>
          <w:sz w:val="24"/>
          <w:szCs w:val="24"/>
        </w:rPr>
        <w:t>Nacharoenkul</w:t>
      </w:r>
      <w:proofErr w:type="spellEnd"/>
      <w:r w:rsidRPr="00DE0B02">
        <w:rPr>
          <w:rFonts w:ascii="Times New Roman" w:eastAsia="Times New Roman" w:hAnsi="Times New Roman" w:cs="Times New Roman"/>
          <w:color w:val="000000" w:themeColor="text1"/>
          <w:sz w:val="24"/>
          <w:szCs w:val="24"/>
        </w:rPr>
        <w:t xml:space="preserve">, 2023). These talks show how hard it is to find a balance between high-context cultural norms and the needs of partners from communities with low context who value </w:t>
      </w:r>
      <w:r w:rsidRPr="00DE0B02">
        <w:rPr>
          <w:rFonts w:ascii="Times New Roman" w:eastAsia="Times New Roman" w:hAnsi="Times New Roman" w:cs="Times New Roman"/>
          <w:color w:val="000000" w:themeColor="text1"/>
          <w:sz w:val="24"/>
          <w:szCs w:val="24"/>
        </w:rPr>
        <w:lastRenderedPageBreak/>
        <w:t>speed and directness. Before formal negotiations start, the company often spends time on pre-meetings, informal talks, and social gatherings to foster trust. This shows how important it is to be patient and aware of other cultures.</w:t>
      </w:r>
    </w:p>
    <w:p w14:paraId="00000014"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When Japanese companies negotiate with Western companies, they often show how stoicism, indirect disagreements, and slow decision-making can affect the outcome. In Western culture, silence may mean that someone is unsure or not interested, but in Japanese culture, it can mean that they are carefully thinking about something or politely disagreeing. Misreading these cues can lead to misunderstandings and tension, which shows how important it is to be aware of other cultures and adapt their strategy.</w:t>
      </w:r>
    </w:p>
    <w:p w14:paraId="00000015" w14:textId="713989D2"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One of the hardest parts of negotiating with Japanese people is figuring out what apathy or ambiguous refusals mean. People often soften their statements to keep the peace, so a "yes" doesn't always mean agreement, and a "maybe" might mean caution instead of real uncertainty (Buckley, 2023). The group approach and the need for agreement usually make decisions take longer. Negotiators from cultures that value being direct, assertive, or quick decisions may get angry with the slow pace. Different cultures have different ideas about when to speak and how to do it. For example, Japanese meetings often have breaks for contemplation, while different societies may see hesitation as a sign of weakness or inefficiency.</w:t>
      </w:r>
    </w:p>
    <w:p w14:paraId="00000017" w14:textId="3AF23945"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Managers who work with Japanese negotiators need to learn about their culture. Training programs that teach about power structures, communication via indirect means, and collective decision-making can help teams get ready for possible misunderstandings (Iwashita, 2022). Using interpreting professionals or specialists in culture can also help fill in language gaps and make things clearer. Before formal negotiations, it's important to build trust. This often means having unofficial conferences or social interactions to show that one can be trusted. Another good strategy is to change the way one speaks and writes to fit high-context norms, which means using indirect language, being patient, and respecting hierarchy (Suhonen, 2021). Also, knowing how to read gaze, facial expressions, and pauses can help avoid misunderstandings during conversations. Paying close attention to how the group works together can help them figure out who makes decisions and when they expect input. Providing extra time for meetings at work and being flexible with scheduling also shows gratitude for Japanese ways of doing things. In general, using these strategies together makes communication better, relationships stronger, and the chances of making long-term agreements that work out better (Sawyer </w:t>
      </w:r>
      <w:r w:rsidR="00436210" w:rsidRPr="00DE0B02">
        <w:rPr>
          <w:rFonts w:ascii="Times New Roman" w:eastAsia="Times New Roman" w:hAnsi="Times New Roman" w:cs="Times New Roman"/>
          <w:i/>
          <w:iCs/>
          <w:color w:val="000000" w:themeColor="text1"/>
          <w:sz w:val="24"/>
          <w:szCs w:val="24"/>
        </w:rPr>
        <w:t>et al.</w:t>
      </w:r>
      <w:r w:rsidRPr="00DE0B02">
        <w:rPr>
          <w:rFonts w:ascii="Times New Roman" w:eastAsia="Times New Roman" w:hAnsi="Times New Roman" w:cs="Times New Roman"/>
          <w:i/>
          <w:color w:val="000000" w:themeColor="text1"/>
          <w:sz w:val="24"/>
          <w:szCs w:val="24"/>
        </w:rPr>
        <w:t>,</w:t>
      </w:r>
      <w:r w:rsidRPr="00DE0B02">
        <w:rPr>
          <w:rFonts w:ascii="Times New Roman" w:eastAsia="Times New Roman" w:hAnsi="Times New Roman" w:cs="Times New Roman"/>
          <w:color w:val="000000" w:themeColor="text1"/>
          <w:sz w:val="24"/>
          <w:szCs w:val="24"/>
        </w:rPr>
        <w:t xml:space="preserve"> 2022). International managers can avoid misunderstandings, build stronger relationships, and get results that work for both sides by making sure their negotiation strategies fit with Japanese cultural norms.</w:t>
      </w:r>
      <w:r w:rsidR="00B93033"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color w:val="000000" w:themeColor="text1"/>
          <w:sz w:val="24"/>
          <w:szCs w:val="24"/>
        </w:rPr>
        <w:t xml:space="preserve">In general, using those hypotheses illustrates how Japanese negotiation is </w:t>
      </w:r>
      <w:r w:rsidRPr="00DE0B02">
        <w:rPr>
          <w:rFonts w:ascii="Times New Roman" w:eastAsia="Times New Roman" w:hAnsi="Times New Roman" w:cs="Times New Roman"/>
          <w:color w:val="000000" w:themeColor="text1"/>
          <w:sz w:val="24"/>
          <w:szCs w:val="24"/>
        </w:rPr>
        <w:lastRenderedPageBreak/>
        <w:t>planned, organised, and focused on relationships. To get through problems and get good results in cross-cultural business settings, one needs to know about hierarchy, collectivism, and avoiding risk.</w:t>
      </w:r>
    </w:p>
    <w:p w14:paraId="00000018" w14:textId="77777777" w:rsidR="00A7269A" w:rsidRPr="00DE0B02" w:rsidRDefault="00DE0B02" w:rsidP="00531A65">
      <w:pPr>
        <w:pStyle w:val="Heading1"/>
        <w:spacing w:before="0" w:after="0"/>
        <w:rPr>
          <w:rFonts w:cs="Times New Roman"/>
          <w:color w:val="000000" w:themeColor="text1"/>
        </w:rPr>
      </w:pPr>
      <w:r w:rsidRPr="00DE0B02">
        <w:rPr>
          <w:rFonts w:cs="Times New Roman"/>
          <w:color w:val="000000" w:themeColor="text1"/>
        </w:rPr>
        <w:t xml:space="preserve">Conclusion </w:t>
      </w:r>
    </w:p>
    <w:p w14:paraId="00000019"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The study shows that social standards play a big role in negotiations in Japan. High power distance, collectivism, and a long-term focus affect how conversations are held. Hierarchy, collective agreement, and deliberate preparation are all important. Nonverbal interaction is widespread, and solitude often has meaning. This makes the negotiation process slow and very focused on keeping harmony. These patterns are why business negotiations in Japan can feel dragging or more formal than in other cultures. However, they also help build trust and stability in long-term relationships.</w:t>
      </w:r>
    </w:p>
    <w:p w14:paraId="0000001A"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Practical advice for international managers stresses how important it is to be patient and open to other cultures. Before formal negotiations, it's important to build strong relationships. Being able to pick up on minute changes in behaviours and words can help avoid misunderstandings. Negotiations go more smoothly when there is flexibility in timing, room for in-depth consultations, and respect for hierarchical structures. Changing the way one talks to fit high-context norms makes things clearer without going against cultural norms, which helps people work together better and reach better agreements.</w:t>
      </w:r>
    </w:p>
    <w:p w14:paraId="0000001B" w14:textId="77777777" w:rsidR="00A7269A" w:rsidRPr="00DE0B02" w:rsidRDefault="00DE0B02"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In general, knowing about cultural differences makes it less likely that people will misunderstand each other and makes international partnerships stronger. Managers can come up with techniques that are compassionate and work well when they understand how values, communication styles, and methodologies for making choices are different. To be good at cross-cultural negotiation, one needs more than just professional abilities or knowledge of the language. Someone also needs to be able to read the historical and cultural background, match their approach to local expectations, and build trust. </w:t>
      </w:r>
      <w:r w:rsidRPr="00DE0B02">
        <w:rPr>
          <w:rFonts w:ascii="Times New Roman" w:hAnsi="Times New Roman" w:cs="Times New Roman"/>
          <w:color w:val="000000" w:themeColor="text1"/>
        </w:rPr>
        <w:br w:type="page"/>
      </w:r>
    </w:p>
    <w:p w14:paraId="0000001C" w14:textId="77777777" w:rsidR="00A7269A" w:rsidRPr="00DE0B02" w:rsidRDefault="00DE0B02" w:rsidP="00531A65">
      <w:pPr>
        <w:pStyle w:val="Heading1"/>
        <w:spacing w:before="0" w:after="0"/>
        <w:rPr>
          <w:rFonts w:cs="Times New Roman"/>
          <w:color w:val="000000" w:themeColor="text1"/>
        </w:rPr>
      </w:pPr>
      <w:r w:rsidRPr="00DE0B02">
        <w:rPr>
          <w:rFonts w:cs="Times New Roman"/>
          <w:color w:val="000000" w:themeColor="text1"/>
        </w:rPr>
        <w:lastRenderedPageBreak/>
        <w:t>References</w:t>
      </w:r>
    </w:p>
    <w:p w14:paraId="7CDCC285"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Alqarni, A. M. (2022). Hofstede's cultural dimensions in relation to learning behaviours and learning styles: A critical analysis of studies under different cultural and language learning environments. </w:t>
      </w:r>
      <w:r w:rsidRPr="00DE0B02">
        <w:rPr>
          <w:rFonts w:ascii="Times New Roman" w:eastAsia="Times New Roman" w:hAnsi="Times New Roman" w:cs="Times New Roman"/>
          <w:i/>
          <w:color w:val="000000" w:themeColor="text1"/>
          <w:sz w:val="24"/>
          <w:szCs w:val="24"/>
        </w:rPr>
        <w:t>Journal of Language and Linguistic Studies</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18</w:t>
      </w:r>
      <w:r w:rsidRPr="00DE0B02">
        <w:rPr>
          <w:rFonts w:ascii="Times New Roman" w:eastAsia="Times New Roman" w:hAnsi="Times New Roman" w:cs="Times New Roman"/>
          <w:color w:val="000000" w:themeColor="text1"/>
          <w:sz w:val="24"/>
          <w:szCs w:val="24"/>
        </w:rPr>
        <w:t>.</w:t>
      </w:r>
    </w:p>
    <w:p w14:paraId="3C1F6F30"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proofErr w:type="spellStart"/>
      <w:r w:rsidRPr="00DE0B02">
        <w:rPr>
          <w:rFonts w:ascii="Times New Roman" w:eastAsia="Times New Roman" w:hAnsi="Times New Roman" w:cs="Times New Roman"/>
          <w:color w:val="000000" w:themeColor="text1"/>
          <w:sz w:val="24"/>
          <w:szCs w:val="24"/>
        </w:rPr>
        <w:t>Baehaqi</w:t>
      </w:r>
      <w:proofErr w:type="spellEnd"/>
      <w:r w:rsidRPr="00DE0B02">
        <w:rPr>
          <w:rFonts w:ascii="Times New Roman" w:eastAsia="Times New Roman" w:hAnsi="Times New Roman" w:cs="Times New Roman"/>
          <w:color w:val="000000" w:themeColor="text1"/>
          <w:sz w:val="24"/>
          <w:szCs w:val="24"/>
        </w:rPr>
        <w:t xml:space="preserve">, M., Cahyono, R. S., and </w:t>
      </w:r>
      <w:proofErr w:type="spellStart"/>
      <w:r w:rsidRPr="00DE0B02">
        <w:rPr>
          <w:rFonts w:ascii="Times New Roman" w:eastAsia="Times New Roman" w:hAnsi="Times New Roman" w:cs="Times New Roman"/>
          <w:color w:val="000000" w:themeColor="text1"/>
          <w:sz w:val="24"/>
          <w:szCs w:val="24"/>
        </w:rPr>
        <w:t>Riptiono</w:t>
      </w:r>
      <w:proofErr w:type="spellEnd"/>
      <w:r w:rsidRPr="00DE0B02">
        <w:rPr>
          <w:rFonts w:ascii="Times New Roman" w:eastAsia="Times New Roman" w:hAnsi="Times New Roman" w:cs="Times New Roman"/>
          <w:color w:val="000000" w:themeColor="text1"/>
          <w:sz w:val="24"/>
          <w:szCs w:val="24"/>
        </w:rPr>
        <w:t xml:space="preserve">, S. (2023). Determining value co-creation behaviour toward customer loyalty and customer retention on the SRC’s business platform. </w:t>
      </w:r>
      <w:r w:rsidRPr="00DE0B02">
        <w:rPr>
          <w:rFonts w:ascii="Times New Roman" w:eastAsia="Times New Roman" w:hAnsi="Times New Roman" w:cs="Times New Roman"/>
          <w:i/>
          <w:color w:val="000000" w:themeColor="text1"/>
          <w:sz w:val="24"/>
          <w:szCs w:val="24"/>
        </w:rPr>
        <w:t xml:space="preserve">Matrik J. Manaj. Strategi </w:t>
      </w:r>
      <w:proofErr w:type="spellStart"/>
      <w:r w:rsidRPr="00DE0B02">
        <w:rPr>
          <w:rFonts w:ascii="Times New Roman" w:eastAsia="Times New Roman" w:hAnsi="Times New Roman" w:cs="Times New Roman"/>
          <w:i/>
          <w:color w:val="000000" w:themeColor="text1"/>
          <w:sz w:val="24"/>
          <w:szCs w:val="24"/>
        </w:rPr>
        <w:t>Bisnis</w:t>
      </w:r>
      <w:proofErr w:type="spellEnd"/>
      <w:r w:rsidRPr="00DE0B02">
        <w:rPr>
          <w:rFonts w:ascii="Times New Roman" w:eastAsia="Times New Roman" w:hAnsi="Times New Roman" w:cs="Times New Roman"/>
          <w:i/>
          <w:color w:val="000000" w:themeColor="text1"/>
          <w:sz w:val="24"/>
          <w:szCs w:val="24"/>
        </w:rPr>
        <w:t xml:space="preserve"> Dan Kewirausahaan</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17</w:t>
      </w:r>
      <w:r w:rsidRPr="00DE0B02">
        <w:rPr>
          <w:rFonts w:ascii="Times New Roman" w:eastAsia="Times New Roman" w:hAnsi="Times New Roman" w:cs="Times New Roman"/>
          <w:color w:val="000000" w:themeColor="text1"/>
          <w:sz w:val="24"/>
          <w:szCs w:val="24"/>
        </w:rPr>
        <w:t>(1), 48-60.</w:t>
      </w:r>
    </w:p>
    <w:p w14:paraId="1CF95C7B"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Begum, S. (2021). A Literature Review on Implications of Cultural Dimensions on International Business Negotiations: Special Reference to China, Japan and the United States. </w:t>
      </w:r>
      <w:r w:rsidRPr="00DE0B02">
        <w:rPr>
          <w:rFonts w:ascii="Times New Roman" w:eastAsia="Times New Roman" w:hAnsi="Times New Roman" w:cs="Times New Roman"/>
          <w:i/>
          <w:color w:val="000000" w:themeColor="text1"/>
          <w:sz w:val="24"/>
          <w:szCs w:val="24"/>
        </w:rPr>
        <w:t>Japan and the United States (December 20, 2021)</w:t>
      </w:r>
      <w:r w:rsidRPr="00DE0B02">
        <w:rPr>
          <w:rFonts w:ascii="Times New Roman" w:eastAsia="Times New Roman" w:hAnsi="Times New Roman" w:cs="Times New Roman"/>
          <w:color w:val="000000" w:themeColor="text1"/>
          <w:sz w:val="24"/>
          <w:szCs w:val="24"/>
        </w:rPr>
        <w:t>.</w:t>
      </w:r>
    </w:p>
    <w:p w14:paraId="255D9E92"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Buckley, S. (2023). </w:t>
      </w:r>
      <w:r w:rsidRPr="00DE0B02">
        <w:rPr>
          <w:rFonts w:ascii="Times New Roman" w:eastAsia="Times New Roman" w:hAnsi="Times New Roman" w:cs="Times New Roman"/>
          <w:i/>
          <w:color w:val="000000" w:themeColor="text1"/>
          <w:sz w:val="24"/>
          <w:szCs w:val="24"/>
        </w:rPr>
        <w:t>Broken silence: Voices of Japanese feminism</w:t>
      </w:r>
      <w:r w:rsidRPr="00DE0B02">
        <w:rPr>
          <w:rFonts w:ascii="Times New Roman" w:eastAsia="Times New Roman" w:hAnsi="Times New Roman" w:cs="Times New Roman"/>
          <w:color w:val="000000" w:themeColor="text1"/>
          <w:sz w:val="24"/>
          <w:szCs w:val="24"/>
        </w:rPr>
        <w:t xml:space="preserve">. </w:t>
      </w:r>
      <w:proofErr w:type="spellStart"/>
      <w:r w:rsidRPr="00DE0B02">
        <w:rPr>
          <w:rFonts w:ascii="Times New Roman" w:eastAsia="Times New Roman" w:hAnsi="Times New Roman" w:cs="Times New Roman"/>
          <w:color w:val="000000" w:themeColor="text1"/>
          <w:sz w:val="24"/>
          <w:szCs w:val="24"/>
        </w:rPr>
        <w:t>Univ</w:t>
      </w:r>
      <w:proofErr w:type="spellEnd"/>
      <w:r w:rsidRPr="00DE0B02">
        <w:rPr>
          <w:rFonts w:ascii="Times New Roman" w:eastAsia="Times New Roman" w:hAnsi="Times New Roman" w:cs="Times New Roman"/>
          <w:color w:val="000000" w:themeColor="text1"/>
          <w:sz w:val="24"/>
          <w:szCs w:val="24"/>
        </w:rPr>
        <w:t xml:space="preserve"> of California Press.</w:t>
      </w:r>
    </w:p>
    <w:p w14:paraId="1399103F"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Chau, V. S., and </w:t>
      </w:r>
      <w:proofErr w:type="spellStart"/>
      <w:r w:rsidRPr="00DE0B02">
        <w:rPr>
          <w:rFonts w:ascii="Times New Roman" w:eastAsia="Times New Roman" w:hAnsi="Times New Roman" w:cs="Times New Roman"/>
          <w:color w:val="000000" w:themeColor="text1"/>
          <w:sz w:val="24"/>
          <w:szCs w:val="24"/>
        </w:rPr>
        <w:t>Nacharoenkul</w:t>
      </w:r>
      <w:proofErr w:type="spellEnd"/>
      <w:r w:rsidRPr="00DE0B02">
        <w:rPr>
          <w:rFonts w:ascii="Times New Roman" w:eastAsia="Times New Roman" w:hAnsi="Times New Roman" w:cs="Times New Roman"/>
          <w:color w:val="000000" w:themeColor="text1"/>
          <w:sz w:val="24"/>
          <w:szCs w:val="24"/>
        </w:rPr>
        <w:t xml:space="preserve">, T. (2023). Japanese business communication practices in Thailand: tales from an electronic components manufacturer. </w:t>
      </w:r>
      <w:r w:rsidRPr="00DE0B02">
        <w:rPr>
          <w:rFonts w:ascii="Times New Roman" w:eastAsia="Times New Roman" w:hAnsi="Times New Roman" w:cs="Times New Roman"/>
          <w:i/>
          <w:color w:val="000000" w:themeColor="text1"/>
          <w:sz w:val="24"/>
          <w:szCs w:val="24"/>
        </w:rPr>
        <w:t>Management Decision</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61</w:t>
      </w:r>
      <w:r w:rsidRPr="00DE0B02">
        <w:rPr>
          <w:rFonts w:ascii="Times New Roman" w:eastAsia="Times New Roman" w:hAnsi="Times New Roman" w:cs="Times New Roman"/>
          <w:color w:val="000000" w:themeColor="text1"/>
          <w:sz w:val="24"/>
          <w:szCs w:val="24"/>
        </w:rPr>
        <w:t>(8), 2467-2490.</w:t>
      </w:r>
    </w:p>
    <w:p w14:paraId="7211061E"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Dai, Y., Li, H., Xie, W., and Deng, T. (2022). Power distance belief and workplace communication: The mediating role of fear of authority. </w:t>
      </w:r>
      <w:r w:rsidRPr="00DE0B02">
        <w:rPr>
          <w:rFonts w:ascii="Times New Roman" w:eastAsia="Times New Roman" w:hAnsi="Times New Roman" w:cs="Times New Roman"/>
          <w:i/>
          <w:color w:val="000000" w:themeColor="text1"/>
          <w:sz w:val="24"/>
          <w:szCs w:val="24"/>
        </w:rPr>
        <w:t>International journal of environmental research and public health</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19</w:t>
      </w:r>
      <w:r w:rsidRPr="00DE0B02">
        <w:rPr>
          <w:rFonts w:ascii="Times New Roman" w:eastAsia="Times New Roman" w:hAnsi="Times New Roman" w:cs="Times New Roman"/>
          <w:color w:val="000000" w:themeColor="text1"/>
          <w:sz w:val="24"/>
          <w:szCs w:val="24"/>
        </w:rPr>
        <w:t>(5), 2932.</w:t>
      </w:r>
    </w:p>
    <w:p w14:paraId="1224A6CF"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Furuta, N., and Shook, J. (2021). </w:t>
      </w:r>
      <w:r w:rsidRPr="00DE0B02">
        <w:rPr>
          <w:rFonts w:ascii="Times New Roman" w:eastAsia="Times New Roman" w:hAnsi="Times New Roman" w:cs="Times New Roman"/>
          <w:i/>
          <w:color w:val="000000" w:themeColor="text1"/>
          <w:sz w:val="24"/>
          <w:szCs w:val="24"/>
        </w:rPr>
        <w:t>Welcome problems, find success: Creating Toyota cultures around the world</w:t>
      </w:r>
      <w:r w:rsidRPr="00DE0B02">
        <w:rPr>
          <w:rFonts w:ascii="Times New Roman" w:eastAsia="Times New Roman" w:hAnsi="Times New Roman" w:cs="Times New Roman"/>
          <w:color w:val="000000" w:themeColor="text1"/>
          <w:sz w:val="24"/>
          <w:szCs w:val="24"/>
        </w:rPr>
        <w:t>. Productivity Press.</w:t>
      </w:r>
    </w:p>
    <w:p w14:paraId="23201B0F"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Hanekom, J. (2021). Investigative interviewing from an intercultural communication perspective: A theoretical framework to guide law enforcers in South Africa. </w:t>
      </w:r>
      <w:r w:rsidRPr="00DE0B02">
        <w:rPr>
          <w:rFonts w:ascii="Times New Roman" w:eastAsia="Times New Roman" w:hAnsi="Times New Roman" w:cs="Times New Roman"/>
          <w:i/>
          <w:color w:val="000000" w:themeColor="text1"/>
          <w:sz w:val="24"/>
          <w:szCs w:val="24"/>
        </w:rPr>
        <w:t>Just Africa</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6</w:t>
      </w:r>
      <w:r w:rsidRPr="00DE0B02">
        <w:rPr>
          <w:rFonts w:ascii="Times New Roman" w:eastAsia="Times New Roman" w:hAnsi="Times New Roman" w:cs="Times New Roman"/>
          <w:color w:val="000000" w:themeColor="text1"/>
          <w:sz w:val="24"/>
          <w:szCs w:val="24"/>
        </w:rPr>
        <w:t>(1), 22-36.</w:t>
      </w:r>
    </w:p>
    <w:p w14:paraId="21BAC958"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Iwashita, H. (2022). Language and identity in the shadow: A multi-case study of a Japanese multinational corporation. </w:t>
      </w:r>
      <w:r w:rsidRPr="00DE0B02">
        <w:rPr>
          <w:rFonts w:ascii="Times New Roman" w:eastAsia="Times New Roman" w:hAnsi="Times New Roman" w:cs="Times New Roman"/>
          <w:i/>
          <w:color w:val="000000" w:themeColor="text1"/>
          <w:sz w:val="24"/>
          <w:szCs w:val="24"/>
        </w:rPr>
        <w:t>International Business Review</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31</w:t>
      </w:r>
      <w:r w:rsidRPr="00DE0B02">
        <w:rPr>
          <w:rFonts w:ascii="Times New Roman" w:eastAsia="Times New Roman" w:hAnsi="Times New Roman" w:cs="Times New Roman"/>
          <w:color w:val="000000" w:themeColor="text1"/>
          <w:sz w:val="24"/>
          <w:szCs w:val="24"/>
        </w:rPr>
        <w:t>(2), 101913.</w:t>
      </w:r>
    </w:p>
    <w:p w14:paraId="15CB05F8"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Lian, O. S., Nettleton, S., </w:t>
      </w:r>
      <w:proofErr w:type="spellStart"/>
      <w:r w:rsidRPr="00DE0B02">
        <w:rPr>
          <w:rFonts w:ascii="Times New Roman" w:eastAsia="Times New Roman" w:hAnsi="Times New Roman" w:cs="Times New Roman"/>
          <w:color w:val="000000" w:themeColor="text1"/>
          <w:sz w:val="24"/>
          <w:szCs w:val="24"/>
        </w:rPr>
        <w:t>Wifstad</w:t>
      </w:r>
      <w:proofErr w:type="spellEnd"/>
      <w:r w:rsidRPr="00DE0B02">
        <w:rPr>
          <w:rFonts w:ascii="Times New Roman" w:eastAsia="Times New Roman" w:hAnsi="Times New Roman" w:cs="Times New Roman"/>
          <w:color w:val="000000" w:themeColor="text1"/>
          <w:sz w:val="24"/>
          <w:szCs w:val="24"/>
        </w:rPr>
        <w:t xml:space="preserve">, Å., and Dowrick, C. (2021). Negotiating uncertainty in clinical encounters: a narrative exploration of naturally occurring primary care consultations. </w:t>
      </w:r>
      <w:r w:rsidRPr="00DE0B02">
        <w:rPr>
          <w:rFonts w:ascii="Times New Roman" w:eastAsia="Times New Roman" w:hAnsi="Times New Roman" w:cs="Times New Roman"/>
          <w:i/>
          <w:color w:val="000000" w:themeColor="text1"/>
          <w:sz w:val="24"/>
          <w:szCs w:val="24"/>
        </w:rPr>
        <w:t>Social Science and Medicine</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291</w:t>
      </w:r>
      <w:r w:rsidRPr="00DE0B02">
        <w:rPr>
          <w:rFonts w:ascii="Times New Roman" w:eastAsia="Times New Roman" w:hAnsi="Times New Roman" w:cs="Times New Roman"/>
          <w:color w:val="000000" w:themeColor="text1"/>
          <w:sz w:val="24"/>
          <w:szCs w:val="24"/>
        </w:rPr>
        <w:t>, 114467.</w:t>
      </w:r>
    </w:p>
    <w:p w14:paraId="28B0BC22"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Minami, M. (2022). Japanese Language Socialisation through Folktales. </w:t>
      </w:r>
      <w:r w:rsidRPr="00DE0B02">
        <w:rPr>
          <w:rFonts w:ascii="Times New Roman" w:eastAsia="Times New Roman" w:hAnsi="Times New Roman" w:cs="Times New Roman"/>
          <w:i/>
          <w:color w:val="000000" w:themeColor="text1"/>
          <w:sz w:val="24"/>
          <w:szCs w:val="24"/>
        </w:rPr>
        <w:t>Perspectives on East and Southeast Asian Folktales</w:t>
      </w:r>
      <w:r w:rsidRPr="00DE0B02">
        <w:rPr>
          <w:rFonts w:ascii="Times New Roman" w:eastAsia="Times New Roman" w:hAnsi="Times New Roman" w:cs="Times New Roman"/>
          <w:color w:val="000000" w:themeColor="text1"/>
          <w:sz w:val="24"/>
          <w:szCs w:val="24"/>
        </w:rPr>
        <w:t>, 117.</w:t>
      </w:r>
    </w:p>
    <w:p w14:paraId="1F2E314E"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proofErr w:type="spellStart"/>
      <w:r w:rsidRPr="00DE0B02">
        <w:rPr>
          <w:rFonts w:ascii="Times New Roman" w:eastAsia="Times New Roman" w:hAnsi="Times New Roman" w:cs="Times New Roman"/>
          <w:color w:val="000000" w:themeColor="text1"/>
          <w:sz w:val="24"/>
          <w:szCs w:val="24"/>
        </w:rPr>
        <w:t>Rajprasit</w:t>
      </w:r>
      <w:proofErr w:type="spellEnd"/>
      <w:r w:rsidRPr="00DE0B02">
        <w:rPr>
          <w:rFonts w:ascii="Times New Roman" w:eastAsia="Times New Roman" w:hAnsi="Times New Roman" w:cs="Times New Roman"/>
          <w:color w:val="000000" w:themeColor="text1"/>
          <w:sz w:val="24"/>
          <w:szCs w:val="24"/>
        </w:rPr>
        <w:t xml:space="preserve">, K., </w:t>
      </w:r>
      <w:proofErr w:type="spellStart"/>
      <w:r w:rsidRPr="00DE0B02">
        <w:rPr>
          <w:rFonts w:ascii="Times New Roman" w:eastAsia="Times New Roman" w:hAnsi="Times New Roman" w:cs="Times New Roman"/>
          <w:color w:val="000000" w:themeColor="text1"/>
          <w:sz w:val="24"/>
          <w:szCs w:val="24"/>
        </w:rPr>
        <w:t>Sirisuksakulchai</w:t>
      </w:r>
      <w:proofErr w:type="spellEnd"/>
      <w:r w:rsidRPr="00DE0B02">
        <w:rPr>
          <w:rFonts w:ascii="Times New Roman" w:eastAsia="Times New Roman" w:hAnsi="Times New Roman" w:cs="Times New Roman"/>
          <w:color w:val="000000" w:themeColor="text1"/>
          <w:sz w:val="24"/>
          <w:szCs w:val="24"/>
        </w:rPr>
        <w:t xml:space="preserve">, J., </w:t>
      </w:r>
      <w:proofErr w:type="spellStart"/>
      <w:r w:rsidRPr="00DE0B02">
        <w:rPr>
          <w:rFonts w:ascii="Times New Roman" w:eastAsia="Times New Roman" w:hAnsi="Times New Roman" w:cs="Times New Roman"/>
          <w:color w:val="000000" w:themeColor="text1"/>
          <w:sz w:val="24"/>
          <w:szCs w:val="24"/>
        </w:rPr>
        <w:t>Srimontra</w:t>
      </w:r>
      <w:proofErr w:type="spellEnd"/>
      <w:r w:rsidRPr="00DE0B02">
        <w:rPr>
          <w:rFonts w:ascii="Times New Roman" w:eastAsia="Times New Roman" w:hAnsi="Times New Roman" w:cs="Times New Roman"/>
          <w:color w:val="000000" w:themeColor="text1"/>
          <w:sz w:val="24"/>
          <w:szCs w:val="24"/>
        </w:rPr>
        <w:t xml:space="preserve">, K., </w:t>
      </w:r>
      <w:proofErr w:type="spellStart"/>
      <w:r w:rsidRPr="00DE0B02">
        <w:rPr>
          <w:rFonts w:ascii="Times New Roman" w:eastAsia="Times New Roman" w:hAnsi="Times New Roman" w:cs="Times New Roman"/>
          <w:color w:val="000000" w:themeColor="text1"/>
          <w:sz w:val="24"/>
          <w:szCs w:val="24"/>
        </w:rPr>
        <w:t>Pitakpornsin</w:t>
      </w:r>
      <w:proofErr w:type="spellEnd"/>
      <w:r w:rsidRPr="00DE0B02">
        <w:rPr>
          <w:rFonts w:ascii="Times New Roman" w:eastAsia="Times New Roman" w:hAnsi="Times New Roman" w:cs="Times New Roman"/>
          <w:color w:val="000000" w:themeColor="text1"/>
          <w:sz w:val="24"/>
          <w:szCs w:val="24"/>
        </w:rPr>
        <w:t xml:space="preserve">, N., </w:t>
      </w:r>
      <w:proofErr w:type="spellStart"/>
      <w:r w:rsidRPr="00DE0B02">
        <w:rPr>
          <w:rFonts w:ascii="Times New Roman" w:eastAsia="Times New Roman" w:hAnsi="Times New Roman" w:cs="Times New Roman"/>
          <w:color w:val="000000" w:themeColor="text1"/>
          <w:sz w:val="24"/>
          <w:szCs w:val="24"/>
        </w:rPr>
        <w:t>Letakulkit</w:t>
      </w:r>
      <w:proofErr w:type="spellEnd"/>
      <w:r w:rsidRPr="00DE0B02">
        <w:rPr>
          <w:rFonts w:ascii="Times New Roman" w:eastAsia="Times New Roman" w:hAnsi="Times New Roman" w:cs="Times New Roman"/>
          <w:color w:val="000000" w:themeColor="text1"/>
          <w:sz w:val="24"/>
          <w:szCs w:val="24"/>
        </w:rPr>
        <w:t xml:space="preserve">, P., </w:t>
      </w:r>
      <w:proofErr w:type="spellStart"/>
      <w:r w:rsidRPr="00DE0B02">
        <w:rPr>
          <w:rFonts w:ascii="Times New Roman" w:eastAsia="Times New Roman" w:hAnsi="Times New Roman" w:cs="Times New Roman"/>
          <w:color w:val="000000" w:themeColor="text1"/>
          <w:sz w:val="24"/>
          <w:szCs w:val="24"/>
        </w:rPr>
        <w:t>Phaiboontham</w:t>
      </w:r>
      <w:proofErr w:type="spellEnd"/>
      <w:r w:rsidRPr="00DE0B02">
        <w:rPr>
          <w:rFonts w:ascii="Times New Roman" w:eastAsia="Times New Roman" w:hAnsi="Times New Roman" w:cs="Times New Roman"/>
          <w:color w:val="000000" w:themeColor="text1"/>
          <w:sz w:val="24"/>
          <w:szCs w:val="24"/>
        </w:rPr>
        <w:t xml:space="preserve">, P., and </w:t>
      </w:r>
      <w:proofErr w:type="spellStart"/>
      <w:r w:rsidRPr="00DE0B02">
        <w:rPr>
          <w:rFonts w:ascii="Times New Roman" w:eastAsia="Times New Roman" w:hAnsi="Times New Roman" w:cs="Times New Roman"/>
          <w:color w:val="000000" w:themeColor="text1"/>
          <w:sz w:val="24"/>
          <w:szCs w:val="24"/>
        </w:rPr>
        <w:t>Dumrongruedee</w:t>
      </w:r>
      <w:proofErr w:type="spellEnd"/>
      <w:r w:rsidRPr="00DE0B02">
        <w:rPr>
          <w:rFonts w:ascii="Times New Roman" w:eastAsia="Times New Roman" w:hAnsi="Times New Roman" w:cs="Times New Roman"/>
          <w:color w:val="000000" w:themeColor="text1"/>
          <w:sz w:val="24"/>
          <w:szCs w:val="24"/>
        </w:rPr>
        <w:t xml:space="preserve">, S. (2022). Using Business English as a Lingua Franca for Written and Spoken Communication: Challenges Encountered by Thai Human Resources </w:t>
      </w:r>
      <w:r w:rsidRPr="00DE0B02">
        <w:rPr>
          <w:rFonts w:ascii="Times New Roman" w:eastAsia="Times New Roman" w:hAnsi="Times New Roman" w:cs="Times New Roman"/>
          <w:color w:val="000000" w:themeColor="text1"/>
          <w:sz w:val="24"/>
          <w:szCs w:val="24"/>
        </w:rPr>
        <w:lastRenderedPageBreak/>
        <w:t xml:space="preserve">Professionals in An American Multinational Company. </w:t>
      </w:r>
      <w:r w:rsidRPr="00DE0B02">
        <w:rPr>
          <w:rFonts w:ascii="Times New Roman" w:eastAsia="Times New Roman" w:hAnsi="Times New Roman" w:cs="Times New Roman"/>
          <w:i/>
          <w:color w:val="000000" w:themeColor="text1"/>
          <w:sz w:val="24"/>
          <w:szCs w:val="24"/>
        </w:rPr>
        <w:t>3L: Southeast Asian Journal of English Language Studies</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28</w:t>
      </w:r>
      <w:r w:rsidRPr="00DE0B02">
        <w:rPr>
          <w:rFonts w:ascii="Times New Roman" w:eastAsia="Times New Roman" w:hAnsi="Times New Roman" w:cs="Times New Roman"/>
          <w:color w:val="000000" w:themeColor="text1"/>
          <w:sz w:val="24"/>
          <w:szCs w:val="24"/>
        </w:rPr>
        <w:t>(4).</w:t>
      </w:r>
    </w:p>
    <w:p w14:paraId="4A2645B7"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Sawyer, K. B., Thoroughgood, C. N., Stillwell, E. E., Duffy, M. K., Scott, K. L., and Adair, E. A. (2022). Being present and thankful: A multi-study investigation of mindfulness, gratitude, and employee helping behaviour. </w:t>
      </w:r>
      <w:r w:rsidRPr="00DE0B02">
        <w:rPr>
          <w:rFonts w:ascii="Times New Roman" w:eastAsia="Times New Roman" w:hAnsi="Times New Roman" w:cs="Times New Roman"/>
          <w:i/>
          <w:color w:val="000000" w:themeColor="text1"/>
          <w:sz w:val="24"/>
          <w:szCs w:val="24"/>
        </w:rPr>
        <w:t>Journal of Applied Psychology</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107</w:t>
      </w:r>
      <w:r w:rsidRPr="00DE0B02">
        <w:rPr>
          <w:rFonts w:ascii="Times New Roman" w:eastAsia="Times New Roman" w:hAnsi="Times New Roman" w:cs="Times New Roman"/>
          <w:color w:val="000000" w:themeColor="text1"/>
          <w:sz w:val="24"/>
          <w:szCs w:val="24"/>
        </w:rPr>
        <w:t>(2), 240.</w:t>
      </w:r>
    </w:p>
    <w:p w14:paraId="394D6927"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Suhonen, A. (2021). Cultural differences between Finland and Japan in communication style.</w:t>
      </w:r>
    </w:p>
    <w:p w14:paraId="69C7D7AE"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Takahashi, J. (2023). Behind the invisible curtain: Silence as a multimodal negotiation space in group Q-and-A sessions at a Japanese university. </w:t>
      </w:r>
      <w:r w:rsidRPr="00DE0B02">
        <w:rPr>
          <w:rFonts w:ascii="Times New Roman" w:eastAsia="Times New Roman" w:hAnsi="Times New Roman" w:cs="Times New Roman"/>
          <w:i/>
          <w:color w:val="000000" w:themeColor="text1"/>
          <w:sz w:val="24"/>
          <w:szCs w:val="24"/>
        </w:rPr>
        <w:t>Journal of Silence Studies in Education</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2</w:t>
      </w:r>
      <w:r w:rsidRPr="00DE0B02">
        <w:rPr>
          <w:rFonts w:ascii="Times New Roman" w:eastAsia="Times New Roman" w:hAnsi="Times New Roman" w:cs="Times New Roman"/>
          <w:color w:val="000000" w:themeColor="text1"/>
          <w:sz w:val="24"/>
          <w:szCs w:val="24"/>
        </w:rPr>
        <w:t>(2), 102-120.</w:t>
      </w:r>
    </w:p>
    <w:p w14:paraId="32AA183C"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Tanaka, L. (2025). </w:t>
      </w:r>
      <w:r w:rsidRPr="00DE0B02">
        <w:rPr>
          <w:rFonts w:ascii="Times New Roman" w:eastAsia="Times New Roman" w:hAnsi="Times New Roman" w:cs="Times New Roman"/>
          <w:i/>
          <w:color w:val="000000" w:themeColor="text1"/>
          <w:sz w:val="24"/>
          <w:szCs w:val="24"/>
        </w:rPr>
        <w:t>Navigating Language in Parliamentary Practice: Between Courtesy and Conflict in Japan</w:t>
      </w:r>
      <w:r w:rsidRPr="00DE0B02">
        <w:rPr>
          <w:rFonts w:ascii="Times New Roman" w:eastAsia="Times New Roman" w:hAnsi="Times New Roman" w:cs="Times New Roman"/>
          <w:color w:val="000000" w:themeColor="text1"/>
          <w:sz w:val="24"/>
          <w:szCs w:val="24"/>
        </w:rPr>
        <w:t>. Taylor and Francis.</w:t>
      </w:r>
    </w:p>
    <w:p w14:paraId="42709076"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Thomas, A. (2021). Framing the just transition: How international trade unions engage with UN climate negotiations. </w:t>
      </w:r>
      <w:r w:rsidRPr="00DE0B02">
        <w:rPr>
          <w:rFonts w:ascii="Times New Roman" w:eastAsia="Times New Roman" w:hAnsi="Times New Roman" w:cs="Times New Roman"/>
          <w:i/>
          <w:color w:val="000000" w:themeColor="text1"/>
          <w:sz w:val="24"/>
          <w:szCs w:val="24"/>
        </w:rPr>
        <w:t>Global Environmental Change</w:t>
      </w:r>
      <w:r w:rsidRPr="00DE0B02">
        <w:rPr>
          <w:rFonts w:ascii="Times New Roman" w:eastAsia="Times New Roman" w:hAnsi="Times New Roman" w:cs="Times New Roman"/>
          <w:color w:val="000000" w:themeColor="text1"/>
          <w:sz w:val="24"/>
          <w:szCs w:val="24"/>
        </w:rPr>
        <w:t xml:space="preserve">, </w:t>
      </w:r>
      <w:r w:rsidRPr="00DE0B02">
        <w:rPr>
          <w:rFonts w:ascii="Times New Roman" w:eastAsia="Times New Roman" w:hAnsi="Times New Roman" w:cs="Times New Roman"/>
          <w:i/>
          <w:color w:val="000000" w:themeColor="text1"/>
          <w:sz w:val="24"/>
          <w:szCs w:val="24"/>
        </w:rPr>
        <w:t>70</w:t>
      </w:r>
      <w:r w:rsidRPr="00DE0B02">
        <w:rPr>
          <w:rFonts w:ascii="Times New Roman" w:eastAsia="Times New Roman" w:hAnsi="Times New Roman" w:cs="Times New Roman"/>
          <w:color w:val="000000" w:themeColor="text1"/>
          <w:sz w:val="24"/>
          <w:szCs w:val="24"/>
        </w:rPr>
        <w:t>, 102347.</w:t>
      </w:r>
    </w:p>
    <w:p w14:paraId="7362D076" w14:textId="77777777" w:rsidR="00DF2A13" w:rsidRPr="00DE0B02" w:rsidRDefault="00DF2A13" w:rsidP="00531A65">
      <w:pPr>
        <w:spacing w:line="360" w:lineRule="auto"/>
        <w:jc w:val="both"/>
        <w:rPr>
          <w:rFonts w:ascii="Times New Roman" w:eastAsia="Times New Roman" w:hAnsi="Times New Roman" w:cs="Times New Roman"/>
          <w:color w:val="000000" w:themeColor="text1"/>
          <w:sz w:val="24"/>
          <w:szCs w:val="24"/>
        </w:rPr>
      </w:pPr>
      <w:r w:rsidRPr="00DE0B02">
        <w:rPr>
          <w:rFonts w:ascii="Times New Roman" w:eastAsia="Times New Roman" w:hAnsi="Times New Roman" w:cs="Times New Roman"/>
          <w:color w:val="000000" w:themeColor="text1"/>
          <w:sz w:val="24"/>
          <w:szCs w:val="24"/>
        </w:rPr>
        <w:t xml:space="preserve">Tran, T. N. T., </w:t>
      </w:r>
      <w:proofErr w:type="spellStart"/>
      <w:r w:rsidRPr="00DE0B02">
        <w:rPr>
          <w:rFonts w:ascii="Times New Roman" w:eastAsia="Times New Roman" w:hAnsi="Times New Roman" w:cs="Times New Roman"/>
          <w:color w:val="000000" w:themeColor="text1"/>
          <w:sz w:val="24"/>
          <w:szCs w:val="24"/>
        </w:rPr>
        <w:t>Felfernig</w:t>
      </w:r>
      <w:proofErr w:type="spellEnd"/>
      <w:r w:rsidRPr="00DE0B02">
        <w:rPr>
          <w:rFonts w:ascii="Times New Roman" w:eastAsia="Times New Roman" w:hAnsi="Times New Roman" w:cs="Times New Roman"/>
          <w:color w:val="000000" w:themeColor="text1"/>
          <w:sz w:val="24"/>
          <w:szCs w:val="24"/>
        </w:rPr>
        <w:t xml:space="preserve">, A., and Le, V. M. (2023). An overview of consensus models for group decision-making and group recommender systems. </w:t>
      </w:r>
      <w:r w:rsidRPr="00DE0B02">
        <w:rPr>
          <w:rFonts w:ascii="Times New Roman" w:eastAsia="Times New Roman" w:hAnsi="Times New Roman" w:cs="Times New Roman"/>
          <w:i/>
          <w:color w:val="000000" w:themeColor="text1"/>
          <w:sz w:val="24"/>
          <w:szCs w:val="24"/>
        </w:rPr>
        <w:t>User Modelling and User-Adapted Interaction</w:t>
      </w:r>
      <w:r w:rsidRPr="00DE0B02">
        <w:rPr>
          <w:rFonts w:ascii="Times New Roman" w:eastAsia="Times New Roman" w:hAnsi="Times New Roman" w:cs="Times New Roman"/>
          <w:color w:val="000000" w:themeColor="text1"/>
          <w:sz w:val="24"/>
          <w:szCs w:val="24"/>
        </w:rPr>
        <w:t>.</w:t>
      </w:r>
    </w:p>
    <w:p w14:paraId="0000002F" w14:textId="77777777" w:rsidR="00A7269A" w:rsidRPr="00DE0B02" w:rsidRDefault="00A7269A" w:rsidP="00531A65">
      <w:pPr>
        <w:spacing w:line="360" w:lineRule="auto"/>
        <w:jc w:val="both"/>
        <w:rPr>
          <w:rFonts w:ascii="Times New Roman" w:eastAsia="Times New Roman" w:hAnsi="Times New Roman" w:cs="Times New Roman"/>
          <w:b/>
          <w:color w:val="000000" w:themeColor="text1"/>
          <w:sz w:val="24"/>
          <w:szCs w:val="24"/>
        </w:rPr>
      </w:pPr>
    </w:p>
    <w:p w14:paraId="08F4CCD4" w14:textId="77777777" w:rsidR="00C34B6E" w:rsidRPr="00DE0B02" w:rsidRDefault="00C34B6E">
      <w:pPr>
        <w:spacing w:line="360" w:lineRule="auto"/>
        <w:jc w:val="both"/>
        <w:rPr>
          <w:rFonts w:ascii="Times New Roman" w:eastAsia="Times New Roman" w:hAnsi="Times New Roman" w:cs="Times New Roman"/>
          <w:b/>
          <w:color w:val="000000" w:themeColor="text1"/>
          <w:sz w:val="24"/>
          <w:szCs w:val="24"/>
        </w:rPr>
      </w:pPr>
    </w:p>
    <w:sectPr w:rsidR="00C34B6E" w:rsidRPr="00DE0B02" w:rsidSect="00531A65">
      <w:pgSz w:w="11909" w:h="16834" w:code="9"/>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BC63FF"/>
    <w:multiLevelType w:val="multilevel"/>
    <w:tmpl w:val="EE4C5F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89149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69A"/>
    <w:rsid w:val="000763A0"/>
    <w:rsid w:val="000D7FDA"/>
    <w:rsid w:val="00196353"/>
    <w:rsid w:val="001C1FA2"/>
    <w:rsid w:val="00376023"/>
    <w:rsid w:val="00436210"/>
    <w:rsid w:val="00531A65"/>
    <w:rsid w:val="00806134"/>
    <w:rsid w:val="00831A6B"/>
    <w:rsid w:val="008421D8"/>
    <w:rsid w:val="008C3E44"/>
    <w:rsid w:val="008F5003"/>
    <w:rsid w:val="00954F3D"/>
    <w:rsid w:val="00A6218B"/>
    <w:rsid w:val="00A7269A"/>
    <w:rsid w:val="00B37002"/>
    <w:rsid w:val="00B93033"/>
    <w:rsid w:val="00C303C9"/>
    <w:rsid w:val="00C34B6E"/>
    <w:rsid w:val="00CB269A"/>
    <w:rsid w:val="00CC14D2"/>
    <w:rsid w:val="00DE0B02"/>
    <w:rsid w:val="00DF2A13"/>
    <w:rsid w:val="00E25860"/>
    <w:rsid w:val="00E50C8B"/>
    <w:rsid w:val="00F91F3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8C0EF"/>
  <w15:docId w15:val="{5EACC664-D5E7-43EE-B556-C0AB1052D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9635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2584</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hermeneanu</dc:creator>
  <cp:lastModifiedBy>mihaela hermeneanu</cp:lastModifiedBy>
  <cp:revision>2</cp:revision>
  <dcterms:created xsi:type="dcterms:W3CDTF">2025-11-19T00:50:00Z</dcterms:created>
  <dcterms:modified xsi:type="dcterms:W3CDTF">2025-11-19T00:50:00Z</dcterms:modified>
</cp:coreProperties>
</file>