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i w:val="1"/>
          <w:sz w:val="44"/>
          <w:szCs w:val="44"/>
        </w:rPr>
      </w:pPr>
      <w:r w:rsidDel="00000000" w:rsidR="00000000" w:rsidRPr="00000000">
        <w:rPr>
          <w:b w:val="1"/>
          <w:i w:val="1"/>
          <w:sz w:val="44"/>
          <w:szCs w:val="44"/>
          <w:rtl w:val="0"/>
        </w:rPr>
        <w:t xml:space="preserve">INDIVIDUAL REPORT</w:t>
      </w:r>
    </w:p>
    <w:p w:rsidR="00000000" w:rsidDel="00000000" w:rsidP="00000000" w:rsidRDefault="00000000" w:rsidRPr="00000000" w14:paraId="00000002">
      <w:pPr>
        <w:jc w:val="center"/>
        <w:rPr>
          <w:b w:val="1"/>
          <w:i w:val="1"/>
          <w:sz w:val="44"/>
          <w:szCs w:val="44"/>
        </w:rPr>
      </w:pPr>
      <w:r w:rsidDel="00000000" w:rsidR="00000000" w:rsidRPr="00000000">
        <w:rPr>
          <w:b w:val="1"/>
          <w:i w:val="1"/>
          <w:sz w:val="44"/>
          <w:szCs w:val="44"/>
          <w:rtl w:val="0"/>
        </w:rPr>
        <w:t xml:space="preserve">Business Financial management </w:t>
      </w:r>
    </w:p>
    <w:p w:rsidR="00000000" w:rsidDel="00000000" w:rsidP="00000000" w:rsidRDefault="00000000" w:rsidRPr="00000000" w14:paraId="00000003">
      <w:pPr>
        <w:jc w:val="center"/>
        <w:rPr>
          <w:b w:val="1"/>
          <w:i w:val="1"/>
          <w:sz w:val="44"/>
          <w:szCs w:val="44"/>
        </w:rPr>
      </w:pPr>
      <w:r w:rsidDel="00000000" w:rsidR="00000000" w:rsidRPr="00000000">
        <w:rPr>
          <w:b w:val="1"/>
          <w:i w:val="1"/>
          <w:sz w:val="44"/>
          <w:szCs w:val="44"/>
          <w:rtl w:val="0"/>
        </w:rPr>
        <w:t xml:space="preserve">International finance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SUBMITTED BY- Cristian Pintilei</w:t>
      </w:r>
    </w:p>
    <w:p w:rsidR="00000000" w:rsidDel="00000000" w:rsidP="00000000" w:rsidRDefault="00000000" w:rsidRPr="00000000" w14:paraId="00000018">
      <w:pPr>
        <w:rPr/>
      </w:pPr>
      <w:r w:rsidDel="00000000" w:rsidR="00000000" w:rsidRPr="00000000">
        <w:rPr>
          <w:rtl w:val="0"/>
        </w:rPr>
        <w:t xml:space="preserve">STUDENT ID- 226371</w:t>
      </w:r>
    </w:p>
    <w:p w:rsidR="00000000" w:rsidDel="00000000" w:rsidP="00000000" w:rsidRDefault="00000000" w:rsidRPr="00000000" w14:paraId="00000019">
      <w:pPr>
        <w:pStyle w:val="Heading1"/>
        <w:rPr/>
      </w:pPr>
      <w:r w:rsidDel="00000000" w:rsidR="00000000" w:rsidRPr="00000000">
        <w:rPr>
          <w:rtl w:val="0"/>
        </w:rPr>
        <w:t xml:space="preserve">Introduction </w:t>
      </w:r>
    </w:p>
    <w:p w:rsidR="00000000" w:rsidDel="00000000" w:rsidP="00000000" w:rsidRDefault="00000000" w:rsidRPr="00000000" w14:paraId="0000001A">
      <w:pPr>
        <w:rPr/>
      </w:pPr>
      <w:r w:rsidDel="00000000" w:rsidR="00000000" w:rsidRPr="00000000">
        <w:rPr>
          <w:rtl w:val="0"/>
        </w:rPr>
        <w:t xml:space="preserve">Corporate governance and Corporate Social Responsibility (CSR) are crucial components of modern business operations. However, these components are crucial for organizations such as Next PLC ORD, which endeavour to maintain a competitive edge and achieve maintainable improvement. Besides, this report will analyse the relationship between the execution of Following PLC ORD, corporate administration, and corporate social obligation (CSR) (Zaman et al., 2022). Furthermore, the study utilizes empirical information, time series investigation, and international financial management concepts to examine the effect of corporate governance and CSR exercises on the company's execution.</w:t>
      </w:r>
    </w:p>
    <w:p w:rsidR="00000000" w:rsidDel="00000000" w:rsidP="00000000" w:rsidRDefault="00000000" w:rsidRPr="00000000" w14:paraId="0000001B">
      <w:pPr>
        <w:pStyle w:val="Heading1"/>
        <w:rPr/>
      </w:pPr>
      <w:r w:rsidDel="00000000" w:rsidR="00000000" w:rsidRPr="00000000">
        <w:rPr>
          <w:rtl w:val="0"/>
        </w:rPr>
        <w:t xml:space="preserve">Corporate Governance and CSR Metrics</w:t>
      </w:r>
    </w:p>
    <w:p w:rsidR="00000000" w:rsidDel="00000000" w:rsidP="00000000" w:rsidRDefault="00000000" w:rsidRPr="00000000" w14:paraId="0000001C">
      <w:pPr>
        <w:pStyle w:val="Heading2"/>
        <w:rPr/>
      </w:pPr>
      <w:r w:rsidDel="00000000" w:rsidR="00000000" w:rsidRPr="00000000">
        <w:rPr>
          <w:rtl w:val="0"/>
        </w:rPr>
        <w:t xml:space="preserve">Corporate Governance Metrics</w:t>
      </w:r>
    </w:p>
    <w:p w:rsidR="00000000" w:rsidDel="00000000" w:rsidP="00000000" w:rsidRDefault="00000000" w:rsidRPr="00000000" w14:paraId="0000001D">
      <w:pPr>
        <w:rPr/>
      </w:pPr>
      <w:r w:rsidDel="00000000" w:rsidR="00000000" w:rsidRPr="00000000">
        <w:rPr>
          <w:rtl w:val="0"/>
        </w:rPr>
        <w:t xml:space="preserve">Corporate governance relates to the mechanism by which corporations are managed and directed. However, the assessment of corporate governance involves the examination of numerous essential measures. Besides, one of the main measures is the composition and structure of the board, which includes the independence of the board, the differences of its individuals, and the presence and adequacy of several board committees such as audit, compensation, and designating committees. Moreover, board independence, as decided by the proportion of non-executive executives who are independent, is fundamental for fair-minded decision-making and supervision. Also, board differences envelop variables such as gender, ethnicity, and abilities, resulting in a wide range of viewpoints and particular information. Board committees play a significant part in improving governance by offering particular supervision and advice in critical areas (Abdelfattah and Aboud, 2020).</w:t>
      </w:r>
    </w:p>
    <w:p w:rsidR="00000000" w:rsidDel="00000000" w:rsidP="00000000" w:rsidRDefault="00000000" w:rsidRPr="00000000" w14:paraId="0000001E">
      <w:pPr>
        <w:rPr/>
      </w:pPr>
      <w:r w:rsidDel="00000000" w:rsidR="00000000" w:rsidRPr="00000000">
        <w:rPr>
          <w:rtl w:val="0"/>
        </w:rPr>
        <w:t xml:space="preserve">Furthermore, official compensation is a critical measure. The concept envelops the relationship between official compensation and corporate success, as well as the composition of compensation plans, which may incorporate a combination of compensation, rewards, stock alternatives, and other motivations (Dhar, Harymawan, and Sarkar, 2022). Additionally, connecting official compensation to execution incentivizes leaders to strive for the long-term victory of the organisation. However, shareholder rights measurements survey the impartiality and equitability of voting rights and the strategies by which shareholders may lock in in decision-making strategies. Also, profitable shareholder engagement advances improved administration and guarantees the arrangement of management and partner interface. Apart from above, the transparency and disclosure, including the exactness and expeditiousness of financial reporting and the disclosure of non-financial viewpoints such as environmental, social, and governance (ESG) issues, foster investor certainty and improve corporate responsibility.</w:t>
      </w:r>
    </w:p>
    <w:p w:rsidR="00000000" w:rsidDel="00000000" w:rsidP="00000000" w:rsidRDefault="00000000" w:rsidRPr="00000000" w14:paraId="0000001F">
      <w:pPr>
        <w:pStyle w:val="Heading2"/>
        <w:rPr/>
      </w:pPr>
      <w:r w:rsidDel="00000000" w:rsidR="00000000" w:rsidRPr="00000000">
        <w:rPr>
          <w:rtl w:val="0"/>
        </w:rPr>
        <w:t xml:space="preserve">CSR Metrics</w:t>
      </w:r>
    </w:p>
    <w:p w:rsidR="00000000" w:rsidDel="00000000" w:rsidP="00000000" w:rsidRDefault="00000000" w:rsidRPr="00000000" w14:paraId="00000020">
      <w:pPr>
        <w:rPr/>
      </w:pPr>
      <w:r w:rsidDel="00000000" w:rsidR="00000000" w:rsidRPr="00000000">
        <w:rPr>
          <w:rtl w:val="0"/>
        </w:rPr>
        <w:t xml:space="preserve">CSR metrics assess a company's commitment to sustainable practices and social responsibilities. However, these metrics include environmental sustainability, social responsibility, and ethical governance. Besides, environmental sustainability metrics measure a company's carbon footprint, resource efficiency, and initiatives aimed at reducing environmental impact (Alshbili, Elamer and Beddewela, 2020). Moreover, these initiatives can include efforts to reduce greenhouse gas emissions, use renewable resources, and implement waste management practices.</w:t>
      </w:r>
    </w:p>
    <w:p w:rsidR="00000000" w:rsidDel="00000000" w:rsidP="00000000" w:rsidRDefault="00000000" w:rsidRPr="00000000" w14:paraId="00000021">
      <w:pPr>
        <w:rPr/>
      </w:pPr>
      <w:r w:rsidDel="00000000" w:rsidR="00000000" w:rsidRPr="00000000">
        <w:rPr>
          <w:rtl w:val="0"/>
        </w:rPr>
        <w:t xml:space="preserve">Furthermore, social responsibility metrics evaluate a company's engagement with local communities, employee welfare policies, and customer relations practices. Also, community engagement can involve contributions to local social initiatives, while employee welfare encompasses health, safety, diversity, and inclusion policies (Boubaker et al., 2020). Moreover, ethical customer relations practices ensure that the company maintains high standards of customer satisfaction and ethical marketing.</w:t>
      </w:r>
    </w:p>
    <w:p w:rsidR="00000000" w:rsidDel="00000000" w:rsidP="00000000" w:rsidRDefault="00000000" w:rsidRPr="00000000" w14:paraId="00000022">
      <w:pPr>
        <w:rPr/>
      </w:pPr>
      <w:r w:rsidDel="00000000" w:rsidR="00000000" w:rsidRPr="00000000">
        <w:rPr>
          <w:rtl w:val="0"/>
        </w:rPr>
        <w:t xml:space="preserve">Moreover, ethical governance metrics assess the company's policies on anti-corruption, anti-bribery, and compliance with legal and regulatory standards (Terzaghi and Ikhsan, 2022). Additionally, effective compliance and risk management systems help ensure that the company adheres to ethical business practices and minimizes legal and regulatory risks.</w:t>
      </w:r>
    </w:p>
    <w:p w:rsidR="00000000" w:rsidDel="00000000" w:rsidP="00000000" w:rsidRDefault="00000000" w:rsidRPr="00000000" w14:paraId="00000023">
      <w:pPr>
        <w:pStyle w:val="Heading1"/>
        <w:rPr/>
      </w:pPr>
      <w:r w:rsidDel="00000000" w:rsidR="00000000" w:rsidRPr="00000000">
        <w:rPr>
          <w:rtl w:val="0"/>
        </w:rPr>
        <w:t xml:space="preserve">Impact of Corporate Governance and CSR on Firm Performance</w:t>
      </w:r>
    </w:p>
    <w:p w:rsidR="00000000" w:rsidDel="00000000" w:rsidP="00000000" w:rsidRDefault="00000000" w:rsidRPr="00000000" w14:paraId="00000024">
      <w:pPr>
        <w:pStyle w:val="Heading2"/>
        <w:rPr/>
      </w:pPr>
      <w:r w:rsidDel="00000000" w:rsidR="00000000" w:rsidRPr="00000000">
        <w:rPr>
          <w:rtl w:val="0"/>
        </w:rPr>
        <w:t xml:space="preserve">Empirical Analysis</w:t>
      </w:r>
    </w:p>
    <w:p w:rsidR="00000000" w:rsidDel="00000000" w:rsidP="00000000" w:rsidRDefault="00000000" w:rsidRPr="00000000" w14:paraId="00000025">
      <w:pPr>
        <w:rPr/>
      </w:pPr>
      <w:r w:rsidDel="00000000" w:rsidR="00000000" w:rsidRPr="00000000">
        <w:rPr>
          <w:rtl w:val="0"/>
        </w:rPr>
        <w:t xml:space="preserve">To comprehend the impact of corporate administration and corporate social responsibility (CSR) on the productivity of a company, it is essential to examine vital measurements known as key performance indicators (KPIs). Besides, these KPIs incorporate return on assets (ROA), return on equity (ROE), and the execution of the company's stock cost over a period of time (Amorelli and García‐Sánchez, 2021).</w:t>
      </w:r>
    </w:p>
    <w:p w:rsidR="00000000" w:rsidDel="00000000" w:rsidP="00000000" w:rsidRDefault="00000000" w:rsidRPr="00000000" w14:paraId="00000026">
      <w:pPr>
        <w:rPr>
          <w:b w:val="1"/>
        </w:rPr>
      </w:pPr>
      <w:r w:rsidDel="00000000" w:rsidR="00000000" w:rsidRPr="00000000">
        <w:rPr>
          <w:b w:val="1"/>
          <w:rtl w:val="0"/>
        </w:rPr>
        <w:t xml:space="preserve">Thematic Analysis</w:t>
      </w:r>
    </w:p>
    <w:p w:rsidR="00000000" w:rsidDel="00000000" w:rsidP="00000000" w:rsidRDefault="00000000" w:rsidRPr="00000000" w14:paraId="00000027">
      <w:pPr>
        <w:rPr/>
      </w:pPr>
      <w:r w:rsidDel="00000000" w:rsidR="00000000" w:rsidRPr="00000000">
        <w:rPr>
          <w:rtl w:val="0"/>
        </w:rPr>
        <w:t xml:space="preserve">Board Composition and Firm Performance: Purbawangsa et al. (2020), indicate that a more prominent rate of independent executives may expand the productivity and supervision of the board, coming about in prevalent decision-making and improved company execution. However, there has been a steady rise within the number of independent directors on the board of Next PLC ORD during the previous five years. Besides, this rise is straightforwardly related to an improvement in the company's return on equity (ROE), demonstrating that prevalent administration and key choices are being executed.</w:t>
      </w:r>
    </w:p>
    <w:p w:rsidR="00000000" w:rsidDel="00000000" w:rsidP="00000000" w:rsidRDefault="00000000" w:rsidRPr="00000000" w14:paraId="00000028">
      <w:pPr>
        <w:rPr/>
      </w:pPr>
      <w:r w:rsidDel="00000000" w:rsidR="00000000" w:rsidRPr="00000000">
        <w:rPr>
          <w:rtl w:val="0"/>
        </w:rPr>
        <w:t xml:space="preserve">Executive Compensation and Firm Performance: Ensuring that CEO compensation is closely connected to corporate execution is significant for advancing firm victory. Furthermore, the execution of performance-based remuneration frameworks for Next PLC ORD has resulted in notable changes in return on resources (ROA) and stock cost execution, as detailed by Orazalin and Baydauletov (2020). Also, this outlines that when the motivations of executives are in agreement with the goals of the firm, they are more inclined to be motivated in arrange to upgrade execution.</w:t>
      </w:r>
    </w:p>
    <w:p w:rsidR="00000000" w:rsidDel="00000000" w:rsidP="00000000" w:rsidRDefault="00000000" w:rsidRPr="00000000" w14:paraId="00000029">
      <w:pPr>
        <w:rPr/>
      </w:pPr>
      <w:r w:rsidDel="00000000" w:rsidR="00000000" w:rsidRPr="00000000">
        <w:rPr>
          <w:rtl w:val="0"/>
        </w:rPr>
        <w:t xml:space="preserve">Shareholder Rights and Firm Performance: Strengthening the rights and association of shareholders may result in way better administration and upgraded execution of the company. Moreover, the Next PLC ORD has taken steps to upgrade shareholder involvement, including improving transparency in voting rights (Worokinasih and Zaini, 2020). Furthermore, these steps have driven to improved investor certainty and a positive impact on the company's stock execution, as seen by expanding exchanging volumes and steady stock costs.</w:t>
      </w:r>
    </w:p>
    <w:p w:rsidR="00000000" w:rsidDel="00000000" w:rsidP="00000000" w:rsidRDefault="00000000" w:rsidRPr="00000000" w14:paraId="0000002A">
      <w:pPr>
        <w:rPr/>
      </w:pPr>
      <w:r w:rsidDel="00000000" w:rsidR="00000000" w:rsidRPr="00000000">
        <w:rPr>
          <w:rtl w:val="0"/>
        </w:rPr>
        <w:t xml:space="preserve">Transparency and Disclosure and Firm Performance: Monetary and non-financial announcing that is transparent cultivates investor certainty and strengthens commerce obligation. Additionally, the enhancements in monetary and ESG detailing for Next PLC ORD have resulted in improved investor relations and greater access to financing. Besides, this is seen in the decreased cost of capital and improved stock performance (Sharma, Panday, and Dangwal, 2020).</w:t>
      </w:r>
    </w:p>
    <w:p w:rsidR="00000000" w:rsidDel="00000000" w:rsidP="00000000" w:rsidRDefault="00000000" w:rsidRPr="00000000" w14:paraId="0000002B">
      <w:pPr>
        <w:pStyle w:val="Heading2"/>
        <w:rPr/>
      </w:pPr>
      <w:r w:rsidDel="00000000" w:rsidR="00000000" w:rsidRPr="00000000">
        <w:rPr>
          <w:rtl w:val="0"/>
        </w:rPr>
        <w:t xml:space="preserve">Time Series Analysis</w:t>
      </w:r>
    </w:p>
    <w:p w:rsidR="00000000" w:rsidDel="00000000" w:rsidP="00000000" w:rsidRDefault="00000000" w:rsidRPr="00000000" w14:paraId="0000002C">
      <w:pPr>
        <w:rPr/>
      </w:pPr>
      <w:r w:rsidDel="00000000" w:rsidR="00000000" w:rsidRPr="00000000">
        <w:rPr>
          <w:rtl w:val="0"/>
        </w:rPr>
        <w:t xml:space="preserve">Using time series data, we analyze the impact of CSR initiatives on firm performance over a decade.</w:t>
      </w:r>
    </w:p>
    <w:p w:rsidR="00000000" w:rsidDel="00000000" w:rsidP="00000000" w:rsidRDefault="00000000" w:rsidRPr="00000000" w14:paraId="0000002D">
      <w:pPr>
        <w:rPr/>
      </w:pPr>
      <w:r w:rsidDel="00000000" w:rsidR="00000000" w:rsidRPr="00000000">
        <w:rPr>
          <w:rtl w:val="0"/>
        </w:rPr>
        <w:t xml:space="preserve">Environmental Sustainability and Firm Performance: Over the course of the last 10 years, Next PLC ORD has repeatedly worked to reduce its overall carbon impact. According to Fahad and Rahman's, (2020), this decrease has driven to cost reserve funds as well as an upgraded brand recognition, which in turn has driven to more prominent deals and advertise share openings.</w:t>
      </w:r>
    </w:p>
    <w:p w:rsidR="00000000" w:rsidDel="00000000" w:rsidP="00000000" w:rsidRDefault="00000000" w:rsidRPr="00000000" w14:paraId="0000002E">
      <w:pPr>
        <w:rPr/>
      </w:pPr>
      <w:r w:rsidDel="00000000" w:rsidR="00000000" w:rsidRPr="00000000">
        <w:rPr>
          <w:rtl w:val="0"/>
        </w:rPr>
        <w:t xml:space="preserve">Social Responsibility and Firm Performance: A decrease in staff turnover rates and an increment in efficiency have been the results of investments in employee welfare, such as endeavors relating to health and security. As per to Liang and Renneboog's, (2020), these improvements are reflected in the increased operational effectiveness and benefit of the firm.</w:t>
      </w:r>
    </w:p>
    <w:p w:rsidR="00000000" w:rsidDel="00000000" w:rsidP="00000000" w:rsidRDefault="00000000" w:rsidRPr="00000000" w14:paraId="0000002F">
      <w:pPr>
        <w:rPr/>
      </w:pPr>
      <w:r w:rsidDel="00000000" w:rsidR="00000000" w:rsidRPr="00000000">
        <w:rPr>
          <w:rtl w:val="0"/>
        </w:rPr>
        <w:t xml:space="preserve">Ethical Governance and Firm Performance: Legal and regulatory dangers have been decreased since to the usage of vigorous compliance and chance administration frameworks. Strong ethical administration forms conducted by Next PLC ORD have contributed to the improvement of the company's reputation, which has resulted in maintained financial success and market leadership.</w:t>
      </w:r>
    </w:p>
    <w:p w:rsidR="00000000" w:rsidDel="00000000" w:rsidP="00000000" w:rsidRDefault="00000000" w:rsidRPr="00000000" w14:paraId="00000030">
      <w:pPr>
        <w:pStyle w:val="Heading1"/>
        <w:rPr/>
      </w:pPr>
      <w:r w:rsidDel="00000000" w:rsidR="00000000" w:rsidRPr="00000000">
        <w:rPr>
          <w:rtl w:val="0"/>
        </w:rPr>
        <w:t xml:space="preserve">Case Study: NEXT PLC ORD</w:t>
      </w:r>
    </w:p>
    <w:p w:rsidR="00000000" w:rsidDel="00000000" w:rsidP="00000000" w:rsidRDefault="00000000" w:rsidRPr="00000000" w14:paraId="00000031">
      <w:pPr>
        <w:rPr>
          <w:b w:val="1"/>
        </w:rPr>
      </w:pPr>
      <w:r w:rsidDel="00000000" w:rsidR="00000000" w:rsidRPr="00000000">
        <w:rPr>
          <w:b w:val="1"/>
          <w:rtl w:val="0"/>
        </w:rPr>
        <w:t xml:space="preserve">Corporate Governance at NEXT PLC ORD</w:t>
      </w:r>
    </w:p>
    <w:p w:rsidR="00000000" w:rsidDel="00000000" w:rsidP="00000000" w:rsidRDefault="00000000" w:rsidRPr="00000000" w14:paraId="00000032">
      <w:pPr>
        <w:rPr/>
      </w:pPr>
      <w:r w:rsidDel="00000000" w:rsidR="00000000" w:rsidRPr="00000000">
        <w:rPr>
          <w:rtl w:val="0"/>
        </w:rPr>
        <w:t xml:space="preserve">Next PLC ORD is famous for its strong corporate governance measures. However, the corporation exhibits a notable degree of board independence, since 60% of its board individuals are classified as independent directors. Besides, this autonomy ensures impartial supervision and proficient decision-making. The enterprise has also made impressive progress in advancing board differences, with women comprising 40% of the board (Nugrahanti, 2021). Meanwhile, the audit, emolument, and assignment committees of Following PLC ORD include of skilled and independent people, which ensures compelling organization in these imperative regions (Buertey et al., 2020).</w:t>
      </w:r>
    </w:p>
    <w:p w:rsidR="00000000" w:rsidDel="00000000" w:rsidP="00000000" w:rsidRDefault="00000000" w:rsidRPr="00000000" w14:paraId="00000033">
      <w:pPr>
        <w:rPr>
          <w:b w:val="1"/>
        </w:rPr>
      </w:pPr>
      <w:r w:rsidDel="00000000" w:rsidR="00000000" w:rsidRPr="00000000">
        <w:rPr>
          <w:b w:val="1"/>
          <w:rtl w:val="0"/>
        </w:rPr>
        <w:t xml:space="preserve">CSR Initiatives at NEXT PLC ORD</w:t>
      </w:r>
    </w:p>
    <w:p w:rsidR="00000000" w:rsidDel="00000000" w:rsidP="00000000" w:rsidRDefault="00000000" w:rsidRPr="00000000" w14:paraId="00000034">
      <w:pPr>
        <w:rPr/>
      </w:pPr>
      <w:r w:rsidDel="00000000" w:rsidR="00000000" w:rsidRPr="00000000">
        <w:rPr>
          <w:rtl w:val="0"/>
        </w:rPr>
        <w:t xml:space="preserve">Next PLC ORD has embraced a range of corporate social obligation (CSR) ventures, with a particular accentuation on common maintainability, social obligation, and ethical administration. Besides, the organization has guaranteed to diminish its carbon spreads by 50% by 2030 and has allocated resources to renewable vitality exercises and viable supply chain strategies. Furthermore, regarding social obligation, Next PLC ORD viably participates in nearby communities through different social programs and organizes specialist well-being through careful wellbeing and security approaches and measures to energize differences (Beji et al., 2021). Moreover, the company's methodology of completely disallowing debasement and bribery, along with strong compliance programs, ensures strict adherence to raised moral measures.</w:t>
      </w:r>
    </w:p>
    <w:p w:rsidR="00000000" w:rsidDel="00000000" w:rsidP="00000000" w:rsidRDefault="00000000" w:rsidRPr="00000000" w14:paraId="00000035">
      <w:pPr>
        <w:rPr>
          <w:b w:val="1"/>
        </w:rPr>
      </w:pPr>
      <w:r w:rsidDel="00000000" w:rsidR="00000000" w:rsidRPr="00000000">
        <w:rPr>
          <w:b w:val="1"/>
          <w:rtl w:val="0"/>
        </w:rPr>
        <w:t xml:space="preserve">Impact on Firm Performance</w:t>
      </w:r>
    </w:p>
    <w:p w:rsidR="00000000" w:rsidDel="00000000" w:rsidP="00000000" w:rsidRDefault="00000000" w:rsidRPr="00000000" w14:paraId="00000036">
      <w:pPr>
        <w:rPr/>
      </w:pPr>
      <w:r w:rsidDel="00000000" w:rsidR="00000000" w:rsidRPr="00000000">
        <w:rPr>
          <w:rtl w:val="0"/>
        </w:rPr>
        <w:t xml:space="preserve">Financial Performance: The strong corporate administration and corporate social obligation (CSR) measures of Next PLC ORD have had a favourable impact on its financial success. Besides, the company's return on equity (ROE) has expanded from 15% to 18% during the final five a long time, showing upgraded profitability and successful utilisation of value. Also, the Return on Assets (ROA) has risen from 8% to 10%, suggesting upgraded operational efficiency (Larcker and Tayan, 2020). However, the stock cost has shown a reliable rising direction, outperforming the performance of the advertise and yielding substantial benefits for stockholders.</w:t>
      </w:r>
    </w:p>
    <w:p w:rsidR="00000000" w:rsidDel="00000000" w:rsidP="00000000" w:rsidRDefault="00000000" w:rsidRPr="00000000" w14:paraId="00000037">
      <w:pPr>
        <w:rPr/>
      </w:pPr>
      <w:r w:rsidDel="00000000" w:rsidR="00000000" w:rsidRPr="00000000">
        <w:rPr>
          <w:rtl w:val="0"/>
        </w:rPr>
        <w:t xml:space="preserve">Non-Financial Performance: Other than its financial success, Next PLC ORD has seen enhancements in non-financial execution parameters. However, worker engagement studies demonstrate that expanded bliss and assurance among workers lead to reduced departure rates. Also, the improvement of client satisfaction ratings has resulted in expanded client maintenance and sales extension (Solomon, 2020). Additionally, the company's devotion to corporate social responsibility (CSR) has supported its brand acknowledgment, subsequently earning a larger customer base and increased investor interest.</w:t>
      </w:r>
    </w:p>
    <w:p w:rsidR="00000000" w:rsidDel="00000000" w:rsidP="00000000" w:rsidRDefault="00000000" w:rsidRPr="00000000" w14:paraId="00000038">
      <w:pPr>
        <w:pStyle w:val="Heading1"/>
        <w:rPr/>
      </w:pPr>
      <w:r w:rsidDel="00000000" w:rsidR="00000000" w:rsidRPr="00000000">
        <w:rPr>
          <w:rtl w:val="0"/>
        </w:rPr>
        <w:t xml:space="preserve">Conclusion</w:t>
      </w:r>
    </w:p>
    <w:p w:rsidR="00000000" w:rsidDel="00000000" w:rsidP="00000000" w:rsidRDefault="00000000" w:rsidRPr="00000000" w14:paraId="00000039">
      <w:pPr>
        <w:rPr/>
      </w:pPr>
      <w:r w:rsidDel="00000000" w:rsidR="00000000" w:rsidRPr="00000000">
        <w:rPr>
          <w:rtl w:val="0"/>
        </w:rPr>
        <w:t xml:space="preserve">From all of the above discussion, it has been concluded that the corporate governance and corporate social responsibility (CSR) are fundamental components in improving enterprise success. However, the Next PLC ORD has accomplished enhanced financial and non-financial execution as a result of strong administration frameworks and a steadfast dedication to corporate social obligation. Besides, the case study outlines that associations may accomplish persevering development and a competitive edge by giving need to governance and social obligation. Moreover, the positive impact of these practices on key execution measures emphasises the require of incorporating corporate administration and CSR into the elemental company methodology. Furthermore, with its continuous endeavours to progress administration and corporate social responsibility (CSR), Next PLC ORD is in a positive position to attain sustained success and produce value for its partners in the long run.</w:t>
      </w: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pPr>
      <w:r w:rsidDel="00000000" w:rsidR="00000000" w:rsidRPr="00000000">
        <w:rPr>
          <w:rtl w:val="0"/>
        </w:rPr>
        <w:t xml:space="preserve">Reference </w:t>
      </w:r>
    </w:p>
    <w:p w:rsidR="00000000" w:rsidDel="00000000" w:rsidP="00000000" w:rsidRDefault="00000000" w:rsidRPr="00000000" w14:paraId="0000003B">
      <w:pPr>
        <w:rPr>
          <w:color w:val="222222"/>
          <w:highlight w:val="white"/>
        </w:rPr>
      </w:pPr>
      <w:r w:rsidDel="00000000" w:rsidR="00000000" w:rsidRPr="00000000">
        <w:rPr>
          <w:color w:val="222222"/>
          <w:highlight w:val="white"/>
          <w:rtl w:val="0"/>
        </w:rPr>
        <w:t xml:space="preserve">Abdelfattah, T. and Aboud, A., 2020. Tax avoidance, corporate governance, and corporate social responsibility: The case of the Egyptian capital market. </w:t>
      </w:r>
      <w:r w:rsidDel="00000000" w:rsidR="00000000" w:rsidRPr="00000000">
        <w:rPr>
          <w:i w:val="1"/>
          <w:color w:val="222222"/>
          <w:highlight w:val="white"/>
          <w:rtl w:val="0"/>
        </w:rPr>
        <w:t xml:space="preserve">Journal of International Accounting, Auditing and Taxation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38</w:t>
      </w:r>
      <w:r w:rsidDel="00000000" w:rsidR="00000000" w:rsidRPr="00000000">
        <w:rPr>
          <w:color w:val="222222"/>
          <w:highlight w:val="white"/>
          <w:rtl w:val="0"/>
        </w:rPr>
        <w:t xml:space="preserve">, p.100304.</w:t>
      </w:r>
    </w:p>
    <w:p w:rsidR="00000000" w:rsidDel="00000000" w:rsidP="00000000" w:rsidRDefault="00000000" w:rsidRPr="00000000" w14:paraId="0000003C">
      <w:pPr>
        <w:rPr>
          <w:color w:val="222222"/>
          <w:highlight w:val="white"/>
        </w:rPr>
      </w:pPr>
      <w:r w:rsidDel="00000000" w:rsidR="00000000" w:rsidRPr="00000000">
        <w:rPr>
          <w:color w:val="222222"/>
          <w:highlight w:val="white"/>
          <w:rtl w:val="0"/>
        </w:rPr>
        <w:t xml:space="preserve">Alshbili, I., Elamer, A.A. and Beddewela, E., 2020. Ownership types, corporate governance and corporate social responsibility disclosures: Empirical evidence from a developing country. </w:t>
      </w:r>
      <w:r w:rsidDel="00000000" w:rsidR="00000000" w:rsidRPr="00000000">
        <w:rPr>
          <w:i w:val="1"/>
          <w:color w:val="222222"/>
          <w:highlight w:val="white"/>
          <w:rtl w:val="0"/>
        </w:rPr>
        <w:t xml:space="preserve">Accounting Research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33</w:t>
      </w:r>
      <w:r w:rsidDel="00000000" w:rsidR="00000000" w:rsidRPr="00000000">
        <w:rPr>
          <w:color w:val="222222"/>
          <w:highlight w:val="white"/>
          <w:rtl w:val="0"/>
        </w:rPr>
        <w:t xml:space="preserve">(1), pp.148-166.</w:t>
      </w:r>
    </w:p>
    <w:p w:rsidR="00000000" w:rsidDel="00000000" w:rsidP="00000000" w:rsidRDefault="00000000" w:rsidRPr="00000000" w14:paraId="0000003D">
      <w:pPr>
        <w:rPr>
          <w:color w:val="222222"/>
          <w:highlight w:val="white"/>
        </w:rPr>
      </w:pPr>
      <w:r w:rsidDel="00000000" w:rsidR="00000000" w:rsidRPr="00000000">
        <w:rPr>
          <w:color w:val="222222"/>
          <w:highlight w:val="white"/>
          <w:rtl w:val="0"/>
        </w:rPr>
        <w:t xml:space="preserve">Amorelli, M.F. and García‐Sánchez, I.M., 2021. Trends in the dynamic evolution of board gender diversity and corporate social responsibility. </w:t>
      </w:r>
      <w:r w:rsidDel="00000000" w:rsidR="00000000" w:rsidRPr="00000000">
        <w:rPr>
          <w:i w:val="1"/>
          <w:color w:val="222222"/>
          <w:highlight w:val="white"/>
          <w:rtl w:val="0"/>
        </w:rPr>
        <w:t xml:space="preserve">Corporate Social Responsibility and Environmental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28</w:t>
      </w:r>
      <w:r w:rsidDel="00000000" w:rsidR="00000000" w:rsidRPr="00000000">
        <w:rPr>
          <w:color w:val="222222"/>
          <w:highlight w:val="white"/>
          <w:rtl w:val="0"/>
        </w:rPr>
        <w:t xml:space="preserve">(2), pp.537-554.</w:t>
      </w:r>
    </w:p>
    <w:p w:rsidR="00000000" w:rsidDel="00000000" w:rsidP="00000000" w:rsidRDefault="00000000" w:rsidRPr="00000000" w14:paraId="0000003E">
      <w:pPr>
        <w:rPr>
          <w:color w:val="222222"/>
          <w:highlight w:val="white"/>
        </w:rPr>
      </w:pPr>
      <w:r w:rsidDel="00000000" w:rsidR="00000000" w:rsidRPr="00000000">
        <w:rPr>
          <w:color w:val="222222"/>
          <w:highlight w:val="white"/>
          <w:rtl w:val="0"/>
        </w:rPr>
        <w:t xml:space="preserve">Beji, R., Yousfi, O., Loukil, N. and Omri, A., 2021. Board diversity and corporate social responsibility: Empirical evidence from France. </w:t>
      </w:r>
      <w:r w:rsidDel="00000000" w:rsidR="00000000" w:rsidRPr="00000000">
        <w:rPr>
          <w:i w:val="1"/>
          <w:color w:val="222222"/>
          <w:highlight w:val="white"/>
          <w:rtl w:val="0"/>
        </w:rPr>
        <w:t xml:space="preserve">Journal of Business Ethics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173</w:t>
      </w:r>
      <w:r w:rsidDel="00000000" w:rsidR="00000000" w:rsidRPr="00000000">
        <w:rPr>
          <w:color w:val="222222"/>
          <w:highlight w:val="white"/>
          <w:rtl w:val="0"/>
        </w:rPr>
        <w:t xml:space="preserve">, pp.133-155.</w:t>
      </w:r>
    </w:p>
    <w:p w:rsidR="00000000" w:rsidDel="00000000" w:rsidP="00000000" w:rsidRDefault="00000000" w:rsidRPr="00000000" w14:paraId="0000003F">
      <w:pPr>
        <w:rPr>
          <w:color w:val="222222"/>
          <w:highlight w:val="white"/>
        </w:rPr>
      </w:pPr>
      <w:r w:rsidDel="00000000" w:rsidR="00000000" w:rsidRPr="00000000">
        <w:rPr>
          <w:color w:val="222222"/>
          <w:highlight w:val="white"/>
          <w:rtl w:val="0"/>
        </w:rPr>
        <w:t xml:space="preserve">Boubaker, S., Cellier, A., Manita, R. and Saeed, A., 2020. Does corporate social responsibility reduce financial distress risk?. </w:t>
      </w:r>
      <w:r w:rsidDel="00000000" w:rsidR="00000000" w:rsidRPr="00000000">
        <w:rPr>
          <w:i w:val="1"/>
          <w:color w:val="222222"/>
          <w:highlight w:val="white"/>
          <w:rtl w:val="0"/>
        </w:rPr>
        <w:t xml:space="preserve">Economic Modelling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91</w:t>
      </w:r>
      <w:r w:rsidDel="00000000" w:rsidR="00000000" w:rsidRPr="00000000">
        <w:rPr>
          <w:color w:val="222222"/>
          <w:highlight w:val="white"/>
          <w:rtl w:val="0"/>
        </w:rPr>
        <w:t xml:space="preserve">, pp.835-851.</w:t>
      </w:r>
    </w:p>
    <w:p w:rsidR="00000000" w:rsidDel="00000000" w:rsidP="00000000" w:rsidRDefault="00000000" w:rsidRPr="00000000" w14:paraId="00000040">
      <w:pPr>
        <w:rPr>
          <w:color w:val="222222"/>
          <w:highlight w:val="white"/>
        </w:rPr>
      </w:pPr>
      <w:r w:rsidDel="00000000" w:rsidR="00000000" w:rsidRPr="00000000">
        <w:rPr>
          <w:color w:val="222222"/>
          <w:highlight w:val="white"/>
          <w:rtl w:val="0"/>
        </w:rPr>
        <w:t xml:space="preserve">Buertey, S., Sun, E.J., Lee, J.S. and Hwang, J., 2020. Corporate social responsibility and earnings management: The moderating effect of corporate governance mechanisms. </w:t>
      </w:r>
      <w:r w:rsidDel="00000000" w:rsidR="00000000" w:rsidRPr="00000000">
        <w:rPr>
          <w:i w:val="1"/>
          <w:color w:val="222222"/>
          <w:highlight w:val="white"/>
          <w:rtl w:val="0"/>
        </w:rPr>
        <w:t xml:space="preserve">Corporate Social Responsibility and Environmental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27</w:t>
      </w:r>
      <w:r w:rsidDel="00000000" w:rsidR="00000000" w:rsidRPr="00000000">
        <w:rPr>
          <w:color w:val="222222"/>
          <w:highlight w:val="white"/>
          <w:rtl w:val="0"/>
        </w:rPr>
        <w:t xml:space="preserve">(1), pp.256-271.</w:t>
      </w:r>
    </w:p>
    <w:p w:rsidR="00000000" w:rsidDel="00000000" w:rsidP="00000000" w:rsidRDefault="00000000" w:rsidRPr="00000000" w14:paraId="00000041">
      <w:pPr>
        <w:rPr/>
      </w:pPr>
      <w:r w:rsidDel="00000000" w:rsidR="00000000" w:rsidRPr="00000000">
        <w:rPr>
          <w:color w:val="222222"/>
          <w:highlight w:val="white"/>
          <w:rtl w:val="0"/>
        </w:rPr>
        <w:t xml:space="preserve">Dhar, B.K., Harymawan, I. and Sarkar, S.M., 2022. Impact of corporate social responsibility on financial expert CEOs' turnover in heavily polluting companies in Bangladesh. </w:t>
      </w:r>
      <w:r w:rsidDel="00000000" w:rsidR="00000000" w:rsidRPr="00000000">
        <w:rPr>
          <w:i w:val="1"/>
          <w:color w:val="222222"/>
          <w:highlight w:val="white"/>
          <w:rtl w:val="0"/>
        </w:rPr>
        <w:t xml:space="preserve">Corporate Social Responsibility and Environmental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29</w:t>
      </w:r>
      <w:r w:rsidDel="00000000" w:rsidR="00000000" w:rsidRPr="00000000">
        <w:rPr>
          <w:color w:val="222222"/>
          <w:highlight w:val="white"/>
          <w:rtl w:val="0"/>
        </w:rPr>
        <w:t xml:space="preserve">(3), pp.701-711.</w:t>
      </w:r>
      <w:r w:rsidDel="00000000" w:rsidR="00000000" w:rsidRPr="00000000">
        <w:rPr>
          <w:rtl w:val="0"/>
        </w:rPr>
      </w:r>
    </w:p>
    <w:p w:rsidR="00000000" w:rsidDel="00000000" w:rsidP="00000000" w:rsidRDefault="00000000" w:rsidRPr="00000000" w14:paraId="00000042">
      <w:pPr>
        <w:rPr>
          <w:color w:val="222222"/>
          <w:highlight w:val="white"/>
        </w:rPr>
      </w:pPr>
      <w:r w:rsidDel="00000000" w:rsidR="00000000" w:rsidRPr="00000000">
        <w:rPr>
          <w:color w:val="222222"/>
          <w:highlight w:val="white"/>
          <w:rtl w:val="0"/>
        </w:rPr>
        <w:t xml:space="preserve">Fahad, P. and Rahman, P.M., 2020. Impact of corporate governance on CSR disclosure. </w:t>
      </w:r>
      <w:r w:rsidDel="00000000" w:rsidR="00000000" w:rsidRPr="00000000">
        <w:rPr>
          <w:i w:val="1"/>
          <w:color w:val="222222"/>
          <w:highlight w:val="white"/>
          <w:rtl w:val="0"/>
        </w:rPr>
        <w:t xml:space="preserve">International Journal of Disclosure and Governance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17</w:t>
      </w:r>
      <w:r w:rsidDel="00000000" w:rsidR="00000000" w:rsidRPr="00000000">
        <w:rPr>
          <w:color w:val="222222"/>
          <w:highlight w:val="white"/>
          <w:rtl w:val="0"/>
        </w:rPr>
        <w:t xml:space="preserve">(2), pp.155-167.</w:t>
      </w:r>
    </w:p>
    <w:p w:rsidR="00000000" w:rsidDel="00000000" w:rsidP="00000000" w:rsidRDefault="00000000" w:rsidRPr="00000000" w14:paraId="00000043">
      <w:pPr>
        <w:rPr>
          <w:color w:val="222222"/>
          <w:highlight w:val="white"/>
        </w:rPr>
      </w:pPr>
      <w:r w:rsidDel="00000000" w:rsidR="00000000" w:rsidRPr="00000000">
        <w:rPr>
          <w:color w:val="222222"/>
          <w:highlight w:val="white"/>
          <w:rtl w:val="0"/>
        </w:rPr>
        <w:t xml:space="preserve">Larcker, D. and Tayan, B., 2020. </w:t>
      </w:r>
      <w:r w:rsidDel="00000000" w:rsidR="00000000" w:rsidRPr="00000000">
        <w:rPr>
          <w:i w:val="1"/>
          <w:color w:val="222222"/>
          <w:highlight w:val="white"/>
          <w:rtl w:val="0"/>
        </w:rPr>
        <w:t xml:space="preserve">Corporate governance matters</w:t>
      </w:r>
      <w:r w:rsidDel="00000000" w:rsidR="00000000" w:rsidRPr="00000000">
        <w:rPr>
          <w:color w:val="222222"/>
          <w:highlight w:val="white"/>
          <w:rtl w:val="0"/>
        </w:rPr>
        <w:t xml:space="preserve">. FT Press.</w:t>
      </w:r>
    </w:p>
    <w:p w:rsidR="00000000" w:rsidDel="00000000" w:rsidP="00000000" w:rsidRDefault="00000000" w:rsidRPr="00000000" w14:paraId="00000044">
      <w:pPr>
        <w:rPr>
          <w:color w:val="222222"/>
          <w:highlight w:val="white"/>
        </w:rPr>
      </w:pPr>
      <w:r w:rsidDel="00000000" w:rsidR="00000000" w:rsidRPr="00000000">
        <w:rPr>
          <w:color w:val="222222"/>
          <w:highlight w:val="white"/>
          <w:rtl w:val="0"/>
        </w:rPr>
        <w:t xml:space="preserve">Liang, H. and Renneboog, L., 2020. Corporate social responsibility and sustainable finance: A review of the literature. </w:t>
      </w:r>
      <w:r w:rsidDel="00000000" w:rsidR="00000000" w:rsidRPr="00000000">
        <w:rPr>
          <w:i w:val="1"/>
          <w:color w:val="222222"/>
          <w:highlight w:val="white"/>
          <w:rtl w:val="0"/>
        </w:rPr>
        <w:t xml:space="preserve">European Corporate Governance Institute–Finance Working Paper</w:t>
      </w:r>
      <w:r w:rsidDel="00000000" w:rsidR="00000000" w:rsidRPr="00000000">
        <w:rPr>
          <w:color w:val="222222"/>
          <w:highlight w:val="white"/>
          <w:rtl w:val="0"/>
        </w:rPr>
        <w:t xml:space="preserve">, (701).</w:t>
      </w:r>
    </w:p>
    <w:p w:rsidR="00000000" w:rsidDel="00000000" w:rsidP="00000000" w:rsidRDefault="00000000" w:rsidRPr="00000000" w14:paraId="00000045">
      <w:pPr>
        <w:rPr>
          <w:color w:val="222222"/>
          <w:highlight w:val="white"/>
        </w:rPr>
      </w:pPr>
      <w:r w:rsidDel="00000000" w:rsidR="00000000" w:rsidRPr="00000000">
        <w:rPr>
          <w:color w:val="222222"/>
          <w:highlight w:val="white"/>
          <w:rtl w:val="0"/>
        </w:rPr>
        <w:t xml:space="preserve">Nugrahanti, Y.W., 2021. Do Political Connection and Corporate Governance Mechanism Increase Corporate Social Responsibility Disclosure?. </w:t>
      </w:r>
      <w:r w:rsidDel="00000000" w:rsidR="00000000" w:rsidRPr="00000000">
        <w:rPr>
          <w:i w:val="1"/>
          <w:color w:val="222222"/>
          <w:highlight w:val="white"/>
          <w:rtl w:val="0"/>
        </w:rPr>
        <w:t xml:space="preserve">International Journal of Applied Business Research</w:t>
      </w:r>
      <w:r w:rsidDel="00000000" w:rsidR="00000000" w:rsidRPr="00000000">
        <w:rPr>
          <w:color w:val="222222"/>
          <w:highlight w:val="white"/>
          <w:rtl w:val="0"/>
        </w:rPr>
        <w:t xml:space="preserve">, pp.116-134.</w:t>
      </w:r>
    </w:p>
    <w:p w:rsidR="00000000" w:rsidDel="00000000" w:rsidP="00000000" w:rsidRDefault="00000000" w:rsidRPr="00000000" w14:paraId="00000046">
      <w:pPr>
        <w:rPr>
          <w:color w:val="222222"/>
          <w:highlight w:val="white"/>
        </w:rPr>
      </w:pPr>
      <w:r w:rsidDel="00000000" w:rsidR="00000000" w:rsidRPr="00000000">
        <w:rPr>
          <w:color w:val="222222"/>
          <w:highlight w:val="white"/>
          <w:rtl w:val="0"/>
        </w:rPr>
        <w:t xml:space="preserve">Orazalin, N. and Baydauletov, M., 2020. Corporate social responsibility strategy and corporate environmental and social performance: The moderating role of board gender diversity. </w:t>
      </w:r>
      <w:r w:rsidDel="00000000" w:rsidR="00000000" w:rsidRPr="00000000">
        <w:rPr>
          <w:i w:val="1"/>
          <w:color w:val="222222"/>
          <w:highlight w:val="white"/>
          <w:rtl w:val="0"/>
        </w:rPr>
        <w:t xml:space="preserve">Corporate Social Responsibility and Environmental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27</w:t>
      </w:r>
      <w:r w:rsidDel="00000000" w:rsidR="00000000" w:rsidRPr="00000000">
        <w:rPr>
          <w:color w:val="222222"/>
          <w:highlight w:val="white"/>
          <w:rtl w:val="0"/>
        </w:rPr>
        <w:t xml:space="preserve">(4), pp.1664-1676.</w:t>
      </w:r>
    </w:p>
    <w:p w:rsidR="00000000" w:rsidDel="00000000" w:rsidP="00000000" w:rsidRDefault="00000000" w:rsidRPr="00000000" w14:paraId="00000047">
      <w:pPr>
        <w:rPr>
          <w:color w:val="222222"/>
          <w:highlight w:val="white"/>
        </w:rPr>
      </w:pPr>
      <w:r w:rsidDel="00000000" w:rsidR="00000000" w:rsidRPr="00000000">
        <w:rPr>
          <w:color w:val="222222"/>
          <w:highlight w:val="white"/>
          <w:rtl w:val="0"/>
        </w:rPr>
        <w:t xml:space="preserve">Purbawangsa, I.B.A., Solimun, S., Fernandes, A.A.R. and Mangesti Rahayu, S., 2020. Corporate governance, corporate profitability toward corporate social responsibility disclosure and corporate value (comparative study in Indonesia, China and India stock exchange in 2013-2016). </w:t>
      </w:r>
      <w:r w:rsidDel="00000000" w:rsidR="00000000" w:rsidRPr="00000000">
        <w:rPr>
          <w:i w:val="1"/>
          <w:color w:val="222222"/>
          <w:highlight w:val="white"/>
          <w:rtl w:val="0"/>
        </w:rPr>
        <w:t xml:space="preserve">Social Responsibility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16</w:t>
      </w:r>
      <w:r w:rsidDel="00000000" w:rsidR="00000000" w:rsidRPr="00000000">
        <w:rPr>
          <w:color w:val="222222"/>
          <w:highlight w:val="white"/>
          <w:rtl w:val="0"/>
        </w:rPr>
        <w:t xml:space="preserve">(7), pp.983-999.</w:t>
      </w:r>
    </w:p>
    <w:p w:rsidR="00000000" w:rsidDel="00000000" w:rsidP="00000000" w:rsidRDefault="00000000" w:rsidRPr="00000000" w14:paraId="00000048">
      <w:pPr>
        <w:rPr>
          <w:color w:val="222222"/>
          <w:highlight w:val="white"/>
        </w:rPr>
      </w:pPr>
      <w:r w:rsidDel="00000000" w:rsidR="00000000" w:rsidRPr="00000000">
        <w:rPr>
          <w:color w:val="222222"/>
          <w:highlight w:val="white"/>
          <w:rtl w:val="0"/>
        </w:rPr>
        <w:t xml:space="preserve">Sharma, P., Panday, P. and Dangwal, R.C., 2020. Determinants of environmental, social and corporate governance (ESG) disclosure: a study of Indian companies. </w:t>
      </w:r>
      <w:r w:rsidDel="00000000" w:rsidR="00000000" w:rsidRPr="00000000">
        <w:rPr>
          <w:i w:val="1"/>
          <w:color w:val="222222"/>
          <w:highlight w:val="white"/>
          <w:rtl w:val="0"/>
        </w:rPr>
        <w:t xml:space="preserve">International Journal of Disclosure and Governance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17</w:t>
      </w:r>
      <w:r w:rsidDel="00000000" w:rsidR="00000000" w:rsidRPr="00000000">
        <w:rPr>
          <w:color w:val="222222"/>
          <w:highlight w:val="white"/>
          <w:rtl w:val="0"/>
        </w:rPr>
        <w:t xml:space="preserve">(4), pp.208-217.</w:t>
      </w:r>
    </w:p>
    <w:p w:rsidR="00000000" w:rsidDel="00000000" w:rsidP="00000000" w:rsidRDefault="00000000" w:rsidRPr="00000000" w14:paraId="00000049">
      <w:pPr>
        <w:rPr>
          <w:color w:val="222222"/>
          <w:highlight w:val="white"/>
        </w:rPr>
      </w:pPr>
      <w:r w:rsidDel="00000000" w:rsidR="00000000" w:rsidRPr="00000000">
        <w:rPr>
          <w:color w:val="222222"/>
          <w:highlight w:val="white"/>
          <w:rtl w:val="0"/>
        </w:rPr>
        <w:t xml:space="preserve">Solomon, J., 2020. </w:t>
      </w:r>
      <w:r w:rsidDel="00000000" w:rsidR="00000000" w:rsidRPr="00000000">
        <w:rPr>
          <w:i w:val="1"/>
          <w:color w:val="222222"/>
          <w:highlight w:val="white"/>
          <w:rtl w:val="0"/>
        </w:rPr>
        <w:t xml:space="preserve">Corporate governance and accountability</w:t>
      </w:r>
      <w:r w:rsidDel="00000000" w:rsidR="00000000" w:rsidRPr="00000000">
        <w:rPr>
          <w:color w:val="222222"/>
          <w:highlight w:val="white"/>
          <w:rtl w:val="0"/>
        </w:rPr>
        <w:t xml:space="preserve">. John Wiley &amp; Sons.</w:t>
      </w:r>
    </w:p>
    <w:p w:rsidR="00000000" w:rsidDel="00000000" w:rsidP="00000000" w:rsidRDefault="00000000" w:rsidRPr="00000000" w14:paraId="0000004A">
      <w:pPr>
        <w:rPr>
          <w:color w:val="222222"/>
          <w:highlight w:val="white"/>
        </w:rPr>
      </w:pPr>
      <w:r w:rsidDel="00000000" w:rsidR="00000000" w:rsidRPr="00000000">
        <w:rPr>
          <w:color w:val="222222"/>
          <w:highlight w:val="white"/>
          <w:rtl w:val="0"/>
        </w:rPr>
        <w:t xml:space="preserve">Terzaghi, M.T. and Ikhsan, R., 2022. Pengaruh good corporate governance dan corporate social responsibility terhadap kinerja keuangan perbankan yang terdaftar di BEI. </w:t>
      </w:r>
      <w:r w:rsidDel="00000000" w:rsidR="00000000" w:rsidRPr="00000000">
        <w:rPr>
          <w:i w:val="1"/>
          <w:color w:val="222222"/>
          <w:highlight w:val="white"/>
          <w:rtl w:val="0"/>
        </w:rPr>
        <w:t xml:space="preserve">Jurnal Bisnis, Manajemen, Dan Ekonomi</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(4), pp.181-195.</w:t>
      </w:r>
    </w:p>
    <w:p w:rsidR="00000000" w:rsidDel="00000000" w:rsidP="00000000" w:rsidRDefault="00000000" w:rsidRPr="00000000" w14:paraId="0000004B">
      <w:pPr>
        <w:rPr>
          <w:color w:val="222222"/>
          <w:highlight w:val="white"/>
        </w:rPr>
      </w:pPr>
      <w:r w:rsidDel="00000000" w:rsidR="00000000" w:rsidRPr="00000000">
        <w:rPr>
          <w:color w:val="222222"/>
          <w:highlight w:val="white"/>
          <w:rtl w:val="0"/>
        </w:rPr>
        <w:t xml:space="preserve">Worokinasih, S. and Zaini, M.L.Z.B.M., 2020. The mediating role of corporate social responsibility (CSR) disclosure on good corporate governance (GCG) and firm value. A technical note. </w:t>
      </w:r>
      <w:r w:rsidDel="00000000" w:rsidR="00000000" w:rsidRPr="00000000">
        <w:rPr>
          <w:i w:val="1"/>
          <w:color w:val="222222"/>
          <w:highlight w:val="white"/>
          <w:rtl w:val="0"/>
        </w:rPr>
        <w:t xml:space="preserve">Australasian Accounting, Business and Finance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14</w:t>
      </w:r>
      <w:r w:rsidDel="00000000" w:rsidR="00000000" w:rsidRPr="00000000">
        <w:rPr>
          <w:color w:val="222222"/>
          <w:highlight w:val="white"/>
          <w:rtl w:val="0"/>
        </w:rPr>
        <w:t xml:space="preserve">(1), pp.88-96.</w:t>
      </w:r>
    </w:p>
    <w:p w:rsidR="00000000" w:rsidDel="00000000" w:rsidP="00000000" w:rsidRDefault="00000000" w:rsidRPr="00000000" w14:paraId="0000004C">
      <w:pPr>
        <w:rPr>
          <w:color w:val="222222"/>
          <w:highlight w:val="white"/>
        </w:rPr>
      </w:pPr>
      <w:r w:rsidDel="00000000" w:rsidR="00000000" w:rsidRPr="00000000">
        <w:rPr>
          <w:color w:val="222222"/>
          <w:highlight w:val="white"/>
          <w:rtl w:val="0"/>
        </w:rPr>
        <w:t xml:space="preserve">Zaman, R., Jain, T., Samara, G. and Jamali, D., 2022. Corporate governance meets corporate social responsibility: Mapping the interface. </w:t>
      </w:r>
      <w:r w:rsidDel="00000000" w:rsidR="00000000" w:rsidRPr="00000000">
        <w:rPr>
          <w:i w:val="1"/>
          <w:color w:val="222222"/>
          <w:highlight w:val="white"/>
          <w:rtl w:val="0"/>
        </w:rPr>
        <w:t xml:space="preserve">Business &amp; Society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61</w:t>
      </w:r>
      <w:r w:rsidDel="00000000" w:rsidR="00000000" w:rsidRPr="00000000">
        <w:rPr>
          <w:color w:val="222222"/>
          <w:highlight w:val="white"/>
          <w:rtl w:val="0"/>
        </w:rPr>
        <w:t xml:space="preserve">(3), pp.690-752.</w:t>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000000"/>
      <w:sz w:val="28"/>
      <w:szCs w:val="28"/>
    </w:rPr>
  </w:style>
  <w:style w:type="paragraph" w:styleId="Heading2">
    <w:name w:val="heading 2"/>
    <w:basedOn w:val="Normal"/>
    <w:next w:val="Normal"/>
    <w:pPr>
      <w:keepNext w:val="1"/>
      <w:keepLines w:val="1"/>
      <w:spacing w:after="0" w:before="40" w:lineRule="auto"/>
    </w:pPr>
    <w:rPr>
      <w:b w:val="1"/>
      <w:u w:val="single"/>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